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FCAA28" w14:textId="1299D862" w:rsidR="00EA5F73" w:rsidRDefault="00EA5F73" w:rsidP="00EA5F73">
      <w:pPr>
        <w:spacing w:line="480" w:lineRule="auto"/>
        <w:jc w:val="center"/>
        <w:rPr>
          <w:rFonts w:ascii="Times New Roman" w:hAnsi="Times New Roman" w:cs="Times New Roman"/>
          <w:b/>
          <w:sz w:val="48"/>
          <w:szCs w:val="48"/>
        </w:rPr>
      </w:pPr>
      <w:r>
        <w:rPr>
          <w:rFonts w:ascii="Times New Roman" w:hAnsi="Times New Roman" w:cs="Times New Roman"/>
          <w:b/>
          <w:noProof/>
          <w:sz w:val="48"/>
          <w:szCs w:val="48"/>
          <w:lang w:val="en-GB"/>
        </w:rPr>
        <w:drawing>
          <wp:inline distT="0" distB="0" distL="0" distR="0" wp14:anchorId="13AE067A" wp14:editId="17DE6451">
            <wp:extent cx="5450774" cy="3423798"/>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3910" cy="3438330"/>
                    </a:xfrm>
                    <a:prstGeom prst="rect">
                      <a:avLst/>
                    </a:prstGeom>
                    <a:noFill/>
                  </pic:spPr>
                </pic:pic>
              </a:graphicData>
            </a:graphic>
          </wp:inline>
        </w:drawing>
      </w:r>
    </w:p>
    <w:p w14:paraId="3A4B8D21" w14:textId="0A1FAACE" w:rsidR="00EA5F73" w:rsidRPr="00EA5F73" w:rsidRDefault="00EA5F73" w:rsidP="00EA5F73">
      <w:pPr>
        <w:spacing w:line="480" w:lineRule="auto"/>
        <w:jc w:val="center"/>
        <w:rPr>
          <w:rFonts w:ascii="Times New Roman" w:hAnsi="Times New Roman" w:cs="Times New Roman"/>
          <w:b/>
          <w:sz w:val="44"/>
          <w:szCs w:val="44"/>
        </w:rPr>
      </w:pPr>
      <w:r w:rsidRPr="00EA5F73">
        <w:rPr>
          <w:rFonts w:ascii="Times New Roman" w:hAnsi="Times New Roman" w:cs="Times New Roman"/>
          <w:b/>
          <w:sz w:val="44"/>
          <w:szCs w:val="44"/>
        </w:rPr>
        <w:t>Yahui Wen</w:t>
      </w:r>
    </w:p>
    <w:p w14:paraId="7BE86192" w14:textId="46FFDEC5" w:rsidR="00EA5F73" w:rsidRPr="00EA5F73" w:rsidRDefault="00EA5F73" w:rsidP="00EA5F73">
      <w:pPr>
        <w:spacing w:line="360" w:lineRule="auto"/>
        <w:jc w:val="center"/>
        <w:rPr>
          <w:rFonts w:ascii="Times New Roman" w:hAnsi="Times New Roman" w:cs="Times New Roman"/>
          <w:sz w:val="44"/>
          <w:szCs w:val="44"/>
        </w:rPr>
      </w:pPr>
      <w:r w:rsidRPr="00EA5F73">
        <w:rPr>
          <w:rFonts w:ascii="Times New Roman" w:hAnsi="Times New Roman" w:cs="Times New Roman"/>
          <w:sz w:val="44"/>
          <w:szCs w:val="44"/>
        </w:rPr>
        <w:t>University of Sheffield</w:t>
      </w:r>
    </w:p>
    <w:p w14:paraId="1D4EB63C" w14:textId="65D911A8" w:rsidR="00EA5F73" w:rsidRDefault="00EA5F73" w:rsidP="00EA5F73">
      <w:pPr>
        <w:spacing w:line="360" w:lineRule="auto"/>
        <w:jc w:val="center"/>
        <w:rPr>
          <w:rFonts w:ascii="Times New Roman" w:hAnsi="Times New Roman" w:cs="Times New Roman"/>
          <w:sz w:val="44"/>
          <w:szCs w:val="44"/>
        </w:rPr>
      </w:pPr>
      <w:r w:rsidRPr="00EA5F73">
        <w:rPr>
          <w:rFonts w:ascii="Times New Roman" w:hAnsi="Times New Roman" w:cs="Times New Roman"/>
          <w:sz w:val="44"/>
          <w:szCs w:val="44"/>
        </w:rPr>
        <w:t>Department of Materials Science and Engineering</w:t>
      </w:r>
    </w:p>
    <w:p w14:paraId="542FB34C" w14:textId="5868A1F4" w:rsidR="00EA5F73" w:rsidRDefault="00201606" w:rsidP="00EA5F73">
      <w:pPr>
        <w:spacing w:line="360" w:lineRule="auto"/>
        <w:jc w:val="center"/>
        <w:rPr>
          <w:rFonts w:ascii="Times New Roman" w:hAnsi="Times New Roman" w:cs="Times New Roman"/>
          <w:sz w:val="44"/>
          <w:szCs w:val="44"/>
        </w:rPr>
      </w:pPr>
      <w:r>
        <w:rPr>
          <w:rFonts w:ascii="Times New Roman" w:hAnsi="Times New Roman" w:cs="Times New Roman"/>
          <w:sz w:val="44"/>
          <w:szCs w:val="44"/>
        </w:rPr>
        <w:t>December 2017</w:t>
      </w:r>
    </w:p>
    <w:p w14:paraId="6C9B3792" w14:textId="1E4AC460" w:rsidR="00EA5F73" w:rsidRDefault="00EA5F73" w:rsidP="00EA5F73">
      <w:pPr>
        <w:spacing w:line="360" w:lineRule="auto"/>
        <w:jc w:val="center"/>
        <w:rPr>
          <w:rFonts w:ascii="Times New Roman" w:hAnsi="Times New Roman" w:cs="Times New Roman"/>
          <w:sz w:val="44"/>
          <w:szCs w:val="44"/>
        </w:rPr>
      </w:pPr>
    </w:p>
    <w:p w14:paraId="3BFE6B7B" w14:textId="5585F287" w:rsidR="00EA5F73" w:rsidRPr="00EA5F73" w:rsidRDefault="00EA5F73" w:rsidP="00EA5F73">
      <w:pPr>
        <w:spacing w:line="360" w:lineRule="auto"/>
        <w:jc w:val="center"/>
        <w:rPr>
          <w:rFonts w:ascii="Times New Roman" w:hAnsi="Times New Roman" w:cs="Times New Roman"/>
          <w:sz w:val="32"/>
          <w:szCs w:val="32"/>
        </w:rPr>
        <w:sectPr w:rsidR="00EA5F73" w:rsidRPr="00EA5F73" w:rsidSect="0094775B">
          <w:footerReference w:type="default" r:id="rId9"/>
          <w:pgSz w:w="12240" w:h="15840"/>
          <w:pgMar w:top="1440" w:right="1440" w:bottom="1440" w:left="1440" w:header="720" w:footer="720" w:gutter="0"/>
          <w:pgNumType w:fmt="lowerRoman" w:start="1"/>
          <w:cols w:space="720"/>
          <w:docGrid w:linePitch="360"/>
        </w:sectPr>
      </w:pPr>
      <w:r w:rsidRPr="00EA5F73">
        <w:rPr>
          <w:rFonts w:ascii="Times New Roman" w:hAnsi="Times New Roman" w:cs="Times New Roman"/>
          <w:sz w:val="32"/>
          <w:szCs w:val="32"/>
        </w:rPr>
        <w:t>A thesis submitted to the University of Sheffield for the degree of Doctor of Philosophy</w:t>
      </w:r>
    </w:p>
    <w:p w14:paraId="6A528993" w14:textId="61E6DC3E" w:rsidR="000E7129" w:rsidRPr="001733A4" w:rsidRDefault="000E7129" w:rsidP="000E7129">
      <w:pPr>
        <w:spacing w:line="480" w:lineRule="auto"/>
        <w:jc w:val="both"/>
        <w:rPr>
          <w:rFonts w:ascii="Times New Roman" w:hAnsi="Times New Roman" w:cs="Times New Roman"/>
          <w:b/>
          <w:sz w:val="48"/>
          <w:szCs w:val="48"/>
        </w:rPr>
      </w:pPr>
      <w:r w:rsidRPr="001733A4">
        <w:rPr>
          <w:rFonts w:ascii="Times New Roman" w:hAnsi="Times New Roman" w:cs="Times New Roman"/>
          <w:b/>
          <w:sz w:val="48"/>
          <w:szCs w:val="48"/>
        </w:rPr>
        <w:lastRenderedPageBreak/>
        <w:t>Abstract</w:t>
      </w:r>
    </w:p>
    <w:p w14:paraId="7B74B67F" w14:textId="77777777" w:rsidR="000E7129" w:rsidRDefault="000E7129" w:rsidP="000E7129">
      <w:pPr>
        <w:spacing w:line="480" w:lineRule="auto"/>
        <w:jc w:val="both"/>
        <w:rPr>
          <w:rFonts w:ascii="Times New Roman" w:hAnsi="Times New Roman" w:cs="Times New Roman"/>
          <w:sz w:val="24"/>
          <w:szCs w:val="24"/>
        </w:rPr>
      </w:pPr>
      <w:r w:rsidRPr="00FC07CA">
        <w:rPr>
          <w:rFonts w:ascii="Times New Roman" w:hAnsi="Times New Roman" w:cs="Times New Roman"/>
          <w:sz w:val="24"/>
          <w:szCs w:val="24"/>
        </w:rPr>
        <w:t>Graphene ha</w:t>
      </w:r>
      <w:r>
        <w:rPr>
          <w:rFonts w:ascii="Times New Roman" w:hAnsi="Times New Roman" w:cs="Times New Roman"/>
          <w:sz w:val="24"/>
          <w:szCs w:val="24"/>
        </w:rPr>
        <w:t>s attracted tremendous</w:t>
      </w:r>
      <w:r w:rsidRPr="00FC07CA">
        <w:rPr>
          <w:rFonts w:ascii="Times New Roman" w:hAnsi="Times New Roman" w:cs="Times New Roman"/>
          <w:sz w:val="24"/>
          <w:szCs w:val="24"/>
        </w:rPr>
        <w:t xml:space="preserve"> interests from scientis</w:t>
      </w:r>
      <w:r>
        <w:rPr>
          <w:rFonts w:ascii="Times New Roman" w:hAnsi="Times New Roman" w:cs="Times New Roman"/>
          <w:sz w:val="24"/>
          <w:szCs w:val="24"/>
        </w:rPr>
        <w:t xml:space="preserve">ts and researchers due to its </w:t>
      </w:r>
      <w:r w:rsidRPr="00FC07CA">
        <w:rPr>
          <w:rFonts w:ascii="Times New Roman" w:hAnsi="Times New Roman" w:cs="Times New Roman"/>
          <w:sz w:val="24"/>
          <w:szCs w:val="24"/>
        </w:rPr>
        <w:t xml:space="preserve">excellent physical </w:t>
      </w:r>
      <w:r>
        <w:rPr>
          <w:rFonts w:ascii="Times New Roman" w:hAnsi="Times New Roman" w:cs="Times New Roman"/>
          <w:sz w:val="24"/>
          <w:szCs w:val="24"/>
        </w:rPr>
        <w:t xml:space="preserve">such as strong mechanical properties, excellent thermal and electrical conductivity, and low cost. In this work, graphene oxide (GO) was synthesized by Hummers method. Graphene </w:t>
      </w:r>
      <w:r w:rsidRPr="00FC07CA">
        <w:rPr>
          <w:rFonts w:ascii="Times New Roman" w:hAnsi="Times New Roman" w:cs="Times New Roman"/>
          <w:sz w:val="24"/>
          <w:szCs w:val="24"/>
        </w:rPr>
        <w:t xml:space="preserve">based unsaturated polyester (UPR) </w:t>
      </w:r>
      <w:r>
        <w:rPr>
          <w:rFonts w:ascii="Times New Roman" w:hAnsi="Times New Roman" w:cs="Times New Roman"/>
          <w:sz w:val="24"/>
          <w:szCs w:val="24"/>
        </w:rPr>
        <w:t>nanocomposites were</w:t>
      </w:r>
      <w:r w:rsidRPr="00FC07CA">
        <w:rPr>
          <w:rFonts w:ascii="Times New Roman" w:hAnsi="Times New Roman" w:cs="Times New Roman"/>
          <w:sz w:val="24"/>
          <w:szCs w:val="24"/>
        </w:rPr>
        <w:t xml:space="preserve"> prepared </w:t>
      </w:r>
      <w:r>
        <w:rPr>
          <w:rFonts w:ascii="Times New Roman" w:hAnsi="Times New Roman" w:cs="Times New Roman"/>
          <w:sz w:val="24"/>
          <w:szCs w:val="24"/>
        </w:rPr>
        <w:t xml:space="preserve">by simple mixing method with and without organic solvent. Tensile test, 3-point bending test, </w:t>
      </w:r>
      <w:r w:rsidRPr="00A11EFD">
        <w:rPr>
          <w:rFonts w:ascii="Times New Roman" w:hAnsi="Times New Roman" w:cs="Times New Roman"/>
          <w:sz w:val="24"/>
          <w:szCs w:val="24"/>
        </w:rPr>
        <w:t>Dynamic mechanical analysis</w:t>
      </w:r>
      <w:r>
        <w:rPr>
          <w:rFonts w:ascii="Times New Roman" w:hAnsi="Times New Roman" w:cs="Times New Roman"/>
          <w:sz w:val="24"/>
          <w:szCs w:val="24"/>
        </w:rPr>
        <w:t xml:space="preserve"> (DMA), </w:t>
      </w:r>
      <w:r w:rsidRPr="00A11EFD">
        <w:rPr>
          <w:rFonts w:ascii="Times New Roman" w:hAnsi="Times New Roman" w:cs="Times New Roman"/>
          <w:sz w:val="24"/>
          <w:szCs w:val="24"/>
        </w:rPr>
        <w:t>Thermogravimetric analysis</w:t>
      </w:r>
      <w:r>
        <w:rPr>
          <w:rFonts w:ascii="Times New Roman" w:hAnsi="Times New Roman" w:cs="Times New Roman"/>
          <w:sz w:val="24"/>
          <w:szCs w:val="24"/>
        </w:rPr>
        <w:t xml:space="preserve"> (TGA) were carried out to study the effect of GO on mechanical properties, glass transition temperature, and thermal stability of UPR. </w:t>
      </w:r>
      <w:r w:rsidRPr="00A11EFD">
        <w:rPr>
          <w:rFonts w:ascii="Times New Roman" w:hAnsi="Times New Roman" w:cs="Times New Roman"/>
          <w:sz w:val="24"/>
          <w:szCs w:val="24"/>
        </w:rPr>
        <w:t>Scanning electron microscope</w:t>
      </w:r>
      <w:r>
        <w:rPr>
          <w:rFonts w:ascii="Times New Roman" w:hAnsi="Times New Roman" w:cs="Times New Roman"/>
          <w:sz w:val="24"/>
          <w:szCs w:val="24"/>
        </w:rPr>
        <w:t xml:space="preserve"> (SEM) and </w:t>
      </w:r>
      <w:r w:rsidRPr="00A11EFD">
        <w:rPr>
          <w:rFonts w:ascii="Times New Roman" w:hAnsi="Times New Roman" w:cs="Times New Roman"/>
          <w:sz w:val="24"/>
          <w:szCs w:val="24"/>
        </w:rPr>
        <w:t>F</w:t>
      </w:r>
      <w:bookmarkStart w:id="0" w:name="_GoBack"/>
      <w:bookmarkEnd w:id="0"/>
      <w:r w:rsidRPr="00A11EFD">
        <w:rPr>
          <w:rFonts w:ascii="Times New Roman" w:hAnsi="Times New Roman" w:cs="Times New Roman"/>
          <w:sz w:val="24"/>
          <w:szCs w:val="24"/>
        </w:rPr>
        <w:t>ourier-transform infrared spectroscopy</w:t>
      </w:r>
      <w:r>
        <w:rPr>
          <w:rFonts w:ascii="Times New Roman" w:hAnsi="Times New Roman" w:cs="Times New Roman"/>
          <w:sz w:val="24"/>
          <w:szCs w:val="24"/>
        </w:rPr>
        <w:t xml:space="preserve"> (FTIR) were employed to investigate the fracture surface of composites and the chemical structure of composites, respectively. In addition, the influence of GO on the crosslinking density of UPR was studied as well.</w:t>
      </w:r>
    </w:p>
    <w:p w14:paraId="478A2E22" w14:textId="77777777" w:rsidR="000E7129" w:rsidRDefault="000E7129" w:rsidP="000E7129">
      <w:pPr>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L-ascorbic acid (vitamin C) is a non-toxic reductant for reducing of GO, which exhibit similar electrical conductivity as rGO reduced by </w:t>
      </w:r>
      <w:r w:rsidRPr="001A5452">
        <w:rPr>
          <w:rFonts w:ascii="Times New Roman" w:hAnsi="Times New Roman" w:cs="Times New Roman"/>
          <w:sz w:val="24"/>
          <w:szCs w:val="24"/>
        </w:rPr>
        <w:t>Hydrazine hydrate</w:t>
      </w:r>
      <w:r>
        <w:rPr>
          <w:rFonts w:ascii="Times New Roman" w:hAnsi="Times New Roman" w:cs="Times New Roman"/>
          <w:sz w:val="24"/>
          <w:szCs w:val="24"/>
        </w:rPr>
        <w:t>. To enable the insulating UPR to be electrical conductive, UPR/rGO composites were synthesized in two method: 1) the reduction of GO was carried out prior to the synthesis of UPR composites. 2) The reduction of GO was carried out during the synthesis of UPR composites. Electrical conductivity, thermal conductivity, thermal stability, glass transition temperature and mechanical properties were investigated.</w:t>
      </w:r>
    </w:p>
    <w:p w14:paraId="1B189BE8" w14:textId="415F4EBD" w:rsidR="000E7129" w:rsidRDefault="000E7129" w:rsidP="000E7129">
      <w:pPr>
        <w:spacing w:line="480" w:lineRule="auto"/>
        <w:jc w:val="both"/>
        <w:rPr>
          <w:rFonts w:ascii="Times New Roman" w:hAnsi="Times New Roman" w:cs="Times New Roman"/>
          <w:sz w:val="24"/>
          <w:szCs w:val="24"/>
        </w:rPr>
      </w:pPr>
      <w:r w:rsidRPr="00076679">
        <w:rPr>
          <w:rFonts w:ascii="Times New Roman" w:hAnsi="Times New Roman" w:cs="Times New Roman"/>
          <w:sz w:val="24"/>
          <w:szCs w:val="24"/>
        </w:rPr>
        <w:t>A 100% eco-friendly and toxic free method was employed for bio-based hyperbranched polyester (HBPE) with water resistance, partially automati</w:t>
      </w:r>
      <w:r>
        <w:rPr>
          <w:rFonts w:ascii="Times New Roman" w:hAnsi="Times New Roman" w:cs="Times New Roman"/>
          <w:sz w:val="24"/>
          <w:szCs w:val="24"/>
        </w:rPr>
        <w:t xml:space="preserve">cally self–healing properties. Stable GO/ethanol dispersion was achieved by modification of GO by </w:t>
      </w:r>
      <w:r w:rsidRPr="00C070B7">
        <w:rPr>
          <w:rFonts w:ascii="Times New Roman" w:hAnsi="Times New Roman" w:cs="Times New Roman"/>
          <w:sz w:val="24"/>
          <w:szCs w:val="24"/>
        </w:rPr>
        <w:t>Paraphenylenediamine (PPD)</w:t>
      </w:r>
      <w:r>
        <w:rPr>
          <w:rFonts w:ascii="Times New Roman" w:hAnsi="Times New Roman" w:cs="Times New Roman"/>
          <w:sz w:val="24"/>
          <w:szCs w:val="24"/>
        </w:rPr>
        <w:t xml:space="preserve">, which can last for few months without precipitation. </w:t>
      </w:r>
      <w:r w:rsidRPr="00076679">
        <w:rPr>
          <w:rFonts w:ascii="Times New Roman" w:hAnsi="Times New Roman" w:cs="Times New Roman"/>
          <w:sz w:val="24"/>
          <w:szCs w:val="24"/>
        </w:rPr>
        <w:t>A series of HBPE/</w:t>
      </w:r>
      <w:r>
        <w:rPr>
          <w:rFonts w:ascii="Times New Roman" w:hAnsi="Times New Roman" w:cs="Times New Roman"/>
          <w:sz w:val="24"/>
          <w:szCs w:val="24"/>
        </w:rPr>
        <w:t>P-r</w:t>
      </w:r>
      <w:r w:rsidRPr="00076679">
        <w:rPr>
          <w:rFonts w:ascii="Times New Roman" w:hAnsi="Times New Roman" w:cs="Times New Roman"/>
          <w:sz w:val="24"/>
          <w:szCs w:val="24"/>
        </w:rPr>
        <w:t xml:space="preserve">GO nanocomposites were synthesized </w:t>
      </w:r>
      <w:r>
        <w:rPr>
          <w:rFonts w:ascii="Times New Roman" w:hAnsi="Times New Roman" w:cs="Times New Roman"/>
          <w:sz w:val="24"/>
          <w:szCs w:val="24"/>
        </w:rPr>
        <w:t xml:space="preserve">by </w:t>
      </w:r>
      <w:r w:rsidRPr="00076679">
        <w:rPr>
          <w:rFonts w:ascii="Times New Roman" w:hAnsi="Times New Roman" w:cs="Times New Roman"/>
          <w:sz w:val="24"/>
          <w:szCs w:val="24"/>
        </w:rPr>
        <w:t xml:space="preserve">using </w:t>
      </w:r>
      <w:r w:rsidRPr="00C070B7">
        <w:rPr>
          <w:rFonts w:ascii="Times New Roman" w:hAnsi="Times New Roman" w:cs="Times New Roman"/>
          <w:i/>
          <w:sz w:val="24"/>
          <w:szCs w:val="24"/>
        </w:rPr>
        <w:t>in situ</w:t>
      </w:r>
      <w:r>
        <w:rPr>
          <w:rFonts w:ascii="Times New Roman" w:hAnsi="Times New Roman" w:cs="Times New Roman"/>
          <w:sz w:val="24"/>
          <w:szCs w:val="24"/>
        </w:rPr>
        <w:t xml:space="preserve"> polymerization</w:t>
      </w:r>
      <w:r w:rsidRPr="00076679">
        <w:rPr>
          <w:rFonts w:ascii="Times New Roman" w:hAnsi="Times New Roman" w:cs="Times New Roman"/>
          <w:sz w:val="24"/>
          <w:szCs w:val="24"/>
        </w:rPr>
        <w:t>. Nuclear Magnetic Resonance (1H NMR, 13C NMR</w:t>
      </w:r>
      <w:r>
        <w:rPr>
          <w:rFonts w:ascii="Times New Roman" w:hAnsi="Times New Roman" w:cs="Times New Roman"/>
          <w:sz w:val="24"/>
          <w:szCs w:val="24"/>
        </w:rPr>
        <w:t xml:space="preserve">), </w:t>
      </w:r>
      <w:r w:rsidRPr="00076679">
        <w:rPr>
          <w:rFonts w:ascii="Times New Roman" w:hAnsi="Times New Roman" w:cs="Times New Roman"/>
          <w:sz w:val="24"/>
          <w:szCs w:val="24"/>
        </w:rPr>
        <w:t xml:space="preserve">titration were performed to characterize neat HBPE. </w:t>
      </w:r>
      <w:r>
        <w:rPr>
          <w:rFonts w:ascii="Times New Roman" w:hAnsi="Times New Roman" w:cs="Times New Roman"/>
          <w:sz w:val="24"/>
          <w:szCs w:val="24"/>
        </w:rPr>
        <w:t>DMA was</w:t>
      </w:r>
      <w:r w:rsidRPr="00076679">
        <w:rPr>
          <w:rFonts w:ascii="Times New Roman" w:hAnsi="Times New Roman" w:cs="Times New Roman"/>
          <w:sz w:val="24"/>
          <w:szCs w:val="24"/>
        </w:rPr>
        <w:t xml:space="preserve"> used to investigate the glass transmission temperature (Tg) of HBPE in nanocomposites. </w:t>
      </w:r>
      <w:r>
        <w:rPr>
          <w:rFonts w:ascii="Times New Roman" w:hAnsi="Times New Roman" w:cs="Times New Roman"/>
          <w:sz w:val="24"/>
          <w:szCs w:val="24"/>
        </w:rPr>
        <w:t>TGA</w:t>
      </w:r>
      <w:r w:rsidRPr="00076679">
        <w:rPr>
          <w:rFonts w:ascii="Times New Roman" w:hAnsi="Times New Roman" w:cs="Times New Roman"/>
          <w:sz w:val="24"/>
          <w:szCs w:val="24"/>
        </w:rPr>
        <w:t xml:space="preserve"> was employed to study the thermal properties. Tensile tests were carried out for the investigation of hysteresis properties, me</w:t>
      </w:r>
      <w:r>
        <w:rPr>
          <w:rFonts w:ascii="Times New Roman" w:hAnsi="Times New Roman" w:cs="Times New Roman"/>
          <w:sz w:val="24"/>
          <w:szCs w:val="24"/>
        </w:rPr>
        <w:t>chanical properties, and self–</w:t>
      </w:r>
      <w:r w:rsidRPr="00076679">
        <w:rPr>
          <w:rFonts w:ascii="Times New Roman" w:hAnsi="Times New Roman" w:cs="Times New Roman"/>
          <w:sz w:val="24"/>
          <w:szCs w:val="24"/>
        </w:rPr>
        <w:t xml:space="preserve">healing </w:t>
      </w:r>
      <w:r w:rsidR="003A43E2" w:rsidRPr="00076679">
        <w:rPr>
          <w:rFonts w:ascii="Times New Roman" w:hAnsi="Times New Roman" w:cs="Times New Roman"/>
          <w:sz w:val="24"/>
          <w:szCs w:val="24"/>
        </w:rPr>
        <w:t>behavior</w:t>
      </w:r>
      <w:r w:rsidRPr="00076679">
        <w:rPr>
          <w:rFonts w:ascii="Times New Roman" w:hAnsi="Times New Roman" w:cs="Times New Roman"/>
          <w:sz w:val="24"/>
          <w:szCs w:val="24"/>
        </w:rPr>
        <w:t>.</w:t>
      </w:r>
    </w:p>
    <w:p w14:paraId="1A21C6AF" w14:textId="1131F20B" w:rsidR="000E7129" w:rsidRDefault="000E7129" w:rsidP="000E7129">
      <w:pPr>
        <w:spacing w:line="480" w:lineRule="auto"/>
        <w:jc w:val="both"/>
        <w:rPr>
          <w:rFonts w:ascii="Times New Roman" w:hAnsi="Times New Roman" w:cs="Times New Roman"/>
          <w:sz w:val="24"/>
          <w:szCs w:val="24"/>
        </w:rPr>
      </w:pPr>
    </w:p>
    <w:p w14:paraId="441F481E" w14:textId="6E8CFE93" w:rsidR="001733A4" w:rsidRDefault="001733A4" w:rsidP="000E7129">
      <w:pPr>
        <w:spacing w:line="480" w:lineRule="auto"/>
        <w:jc w:val="both"/>
        <w:rPr>
          <w:rFonts w:ascii="Times New Roman" w:hAnsi="Times New Roman" w:cs="Times New Roman"/>
          <w:sz w:val="24"/>
          <w:szCs w:val="24"/>
        </w:rPr>
      </w:pPr>
    </w:p>
    <w:p w14:paraId="320F4883" w14:textId="0A85E13F" w:rsidR="001733A4" w:rsidRDefault="001733A4" w:rsidP="000E7129">
      <w:pPr>
        <w:spacing w:line="480" w:lineRule="auto"/>
        <w:jc w:val="both"/>
        <w:rPr>
          <w:rFonts w:ascii="Times New Roman" w:hAnsi="Times New Roman" w:cs="Times New Roman"/>
          <w:sz w:val="24"/>
          <w:szCs w:val="24"/>
        </w:rPr>
      </w:pPr>
    </w:p>
    <w:p w14:paraId="4D1EE9AE" w14:textId="57B45182" w:rsidR="001733A4" w:rsidRDefault="001733A4" w:rsidP="000E7129">
      <w:pPr>
        <w:spacing w:line="480" w:lineRule="auto"/>
        <w:jc w:val="both"/>
        <w:rPr>
          <w:rFonts w:ascii="Times New Roman" w:hAnsi="Times New Roman" w:cs="Times New Roman"/>
          <w:sz w:val="24"/>
          <w:szCs w:val="24"/>
        </w:rPr>
      </w:pPr>
    </w:p>
    <w:p w14:paraId="3BA7D5EC" w14:textId="1AED1E54" w:rsidR="001733A4" w:rsidRDefault="001733A4" w:rsidP="000E7129">
      <w:pPr>
        <w:spacing w:line="480" w:lineRule="auto"/>
        <w:jc w:val="both"/>
        <w:rPr>
          <w:rFonts w:ascii="Times New Roman" w:hAnsi="Times New Roman" w:cs="Times New Roman"/>
          <w:sz w:val="24"/>
          <w:szCs w:val="24"/>
        </w:rPr>
      </w:pPr>
    </w:p>
    <w:p w14:paraId="15B13BD5" w14:textId="0D92CFC5" w:rsidR="001733A4" w:rsidRDefault="001733A4" w:rsidP="000E7129">
      <w:pPr>
        <w:spacing w:line="480" w:lineRule="auto"/>
        <w:jc w:val="both"/>
        <w:rPr>
          <w:rFonts w:ascii="Times New Roman" w:hAnsi="Times New Roman" w:cs="Times New Roman"/>
          <w:sz w:val="24"/>
          <w:szCs w:val="24"/>
        </w:rPr>
      </w:pPr>
    </w:p>
    <w:p w14:paraId="543962C0" w14:textId="328D1C54" w:rsidR="001733A4" w:rsidRDefault="001733A4" w:rsidP="000E7129">
      <w:pPr>
        <w:spacing w:line="480" w:lineRule="auto"/>
        <w:jc w:val="both"/>
        <w:rPr>
          <w:rFonts w:ascii="Times New Roman" w:hAnsi="Times New Roman" w:cs="Times New Roman"/>
          <w:sz w:val="24"/>
          <w:szCs w:val="24"/>
        </w:rPr>
      </w:pPr>
    </w:p>
    <w:p w14:paraId="6A84807B" w14:textId="4658BE12" w:rsidR="001733A4" w:rsidRDefault="001733A4" w:rsidP="000E7129">
      <w:pPr>
        <w:spacing w:line="480" w:lineRule="auto"/>
        <w:jc w:val="both"/>
        <w:rPr>
          <w:rFonts w:ascii="Times New Roman" w:hAnsi="Times New Roman" w:cs="Times New Roman"/>
          <w:sz w:val="24"/>
          <w:szCs w:val="24"/>
        </w:rPr>
      </w:pPr>
    </w:p>
    <w:p w14:paraId="5580930D" w14:textId="2EC1A6C8" w:rsidR="001733A4" w:rsidRDefault="001733A4" w:rsidP="000E7129">
      <w:pPr>
        <w:spacing w:line="480" w:lineRule="auto"/>
        <w:jc w:val="both"/>
        <w:rPr>
          <w:rFonts w:ascii="Times New Roman" w:hAnsi="Times New Roman" w:cs="Times New Roman"/>
          <w:sz w:val="24"/>
          <w:szCs w:val="24"/>
        </w:rPr>
      </w:pPr>
    </w:p>
    <w:p w14:paraId="56280DE9" w14:textId="252ABAF9" w:rsidR="001733A4" w:rsidRDefault="001733A4" w:rsidP="000E7129">
      <w:pPr>
        <w:spacing w:line="480" w:lineRule="auto"/>
        <w:jc w:val="both"/>
        <w:rPr>
          <w:rFonts w:ascii="Times New Roman" w:hAnsi="Times New Roman" w:cs="Times New Roman"/>
          <w:sz w:val="24"/>
          <w:szCs w:val="24"/>
        </w:rPr>
      </w:pPr>
    </w:p>
    <w:p w14:paraId="7353B074" w14:textId="24C62713" w:rsidR="001733A4" w:rsidRDefault="001733A4" w:rsidP="000E7129">
      <w:pPr>
        <w:spacing w:line="480" w:lineRule="auto"/>
        <w:jc w:val="both"/>
        <w:rPr>
          <w:rFonts w:ascii="Times New Roman" w:hAnsi="Times New Roman" w:cs="Times New Roman"/>
          <w:sz w:val="24"/>
          <w:szCs w:val="24"/>
        </w:rPr>
      </w:pPr>
    </w:p>
    <w:p w14:paraId="60D5CA2F" w14:textId="20FF9554" w:rsidR="001733A4" w:rsidRDefault="001733A4" w:rsidP="000E7129">
      <w:pPr>
        <w:spacing w:line="480" w:lineRule="auto"/>
        <w:jc w:val="both"/>
        <w:rPr>
          <w:rFonts w:ascii="Times New Roman" w:hAnsi="Times New Roman" w:cs="Times New Roman"/>
          <w:sz w:val="24"/>
          <w:szCs w:val="24"/>
        </w:rPr>
      </w:pPr>
    </w:p>
    <w:p w14:paraId="081088E5" w14:textId="6140A666" w:rsidR="001733A4" w:rsidRDefault="001733A4" w:rsidP="000E7129">
      <w:pPr>
        <w:spacing w:line="480" w:lineRule="auto"/>
        <w:jc w:val="both"/>
        <w:rPr>
          <w:rFonts w:ascii="Times New Roman" w:hAnsi="Times New Roman" w:cs="Times New Roman"/>
          <w:sz w:val="24"/>
          <w:szCs w:val="24"/>
        </w:rPr>
      </w:pPr>
    </w:p>
    <w:p w14:paraId="083C6F19" w14:textId="77777777" w:rsidR="001733A4" w:rsidRPr="00076679" w:rsidRDefault="001733A4" w:rsidP="000E7129">
      <w:pPr>
        <w:spacing w:line="480" w:lineRule="auto"/>
        <w:jc w:val="both"/>
        <w:rPr>
          <w:rFonts w:ascii="Times New Roman" w:hAnsi="Times New Roman" w:cs="Times New Roman"/>
          <w:sz w:val="24"/>
          <w:szCs w:val="24"/>
        </w:rPr>
      </w:pPr>
    </w:p>
    <w:p w14:paraId="1CCFF248" w14:textId="77777777" w:rsidR="000E7129" w:rsidRPr="001024F8" w:rsidRDefault="000E7129" w:rsidP="000E7129">
      <w:pPr>
        <w:spacing w:line="480" w:lineRule="auto"/>
        <w:jc w:val="both"/>
        <w:rPr>
          <w:rFonts w:ascii="Times New Roman" w:hAnsi="Times New Roman" w:cs="Times New Roman"/>
          <w:b/>
          <w:sz w:val="48"/>
          <w:szCs w:val="48"/>
        </w:rPr>
      </w:pPr>
      <w:r w:rsidRPr="00830A4F">
        <w:rPr>
          <w:rFonts w:ascii="Times New Roman" w:hAnsi="Times New Roman" w:cs="Times New Roman"/>
          <w:b/>
          <w:sz w:val="48"/>
          <w:szCs w:val="48"/>
        </w:rPr>
        <w:t>Acknowledgement</w:t>
      </w:r>
    </w:p>
    <w:p w14:paraId="708E6B4D" w14:textId="0F5ACE38" w:rsidR="000E7129" w:rsidRDefault="000E7129" w:rsidP="000E7129">
      <w:pPr>
        <w:spacing w:line="480" w:lineRule="auto"/>
        <w:jc w:val="both"/>
        <w:rPr>
          <w:rFonts w:ascii="Times New Roman" w:hAnsi="Times New Roman" w:cs="Times New Roman"/>
          <w:sz w:val="24"/>
          <w:szCs w:val="24"/>
        </w:rPr>
      </w:pPr>
      <w:r w:rsidRPr="00B70AFE">
        <w:rPr>
          <w:rFonts w:ascii="Times New Roman" w:hAnsi="Times New Roman" w:cs="Times New Roman"/>
          <w:sz w:val="24"/>
          <w:szCs w:val="24"/>
        </w:rPr>
        <w:t xml:space="preserve">First of all, I am </w:t>
      </w:r>
      <w:r w:rsidR="006D50FA">
        <w:rPr>
          <w:rFonts w:ascii="Times New Roman" w:hAnsi="Times New Roman" w:cs="Times New Roman"/>
          <w:sz w:val="24"/>
          <w:szCs w:val="24"/>
        </w:rPr>
        <w:t>much</w:t>
      </w:r>
      <w:r w:rsidRPr="00B70AFE">
        <w:rPr>
          <w:rFonts w:ascii="Times New Roman" w:hAnsi="Times New Roman" w:cs="Times New Roman"/>
          <w:sz w:val="24"/>
          <w:szCs w:val="24"/>
        </w:rPr>
        <w:t xml:space="preserve"> appreciated that</w:t>
      </w:r>
      <w:r>
        <w:rPr>
          <w:rFonts w:ascii="Times New Roman" w:hAnsi="Times New Roman" w:cs="Times New Roman"/>
          <w:sz w:val="24"/>
          <w:szCs w:val="24"/>
        </w:rPr>
        <w:t xml:space="preserve"> I got so much help and guidance from</w:t>
      </w:r>
      <w:r w:rsidR="00AF00E5">
        <w:rPr>
          <w:rFonts w:ascii="Times New Roman" w:hAnsi="Times New Roman" w:cs="Times New Roman"/>
          <w:sz w:val="24"/>
          <w:szCs w:val="24"/>
        </w:rPr>
        <w:t xml:space="preserve"> my Supervisor Professor</w:t>
      </w:r>
      <w:r w:rsidRPr="00B70AFE">
        <w:rPr>
          <w:rFonts w:ascii="Times New Roman" w:hAnsi="Times New Roman" w:cs="Times New Roman"/>
          <w:sz w:val="24"/>
          <w:szCs w:val="24"/>
        </w:rPr>
        <w:t xml:space="preserve"> Biqiong</w:t>
      </w:r>
      <w:r>
        <w:rPr>
          <w:rFonts w:ascii="Times New Roman" w:hAnsi="Times New Roman" w:cs="Times New Roman"/>
          <w:sz w:val="24"/>
          <w:szCs w:val="24"/>
        </w:rPr>
        <w:t xml:space="preserve"> Chen. Her knowledge, creativity and </w:t>
      </w:r>
      <w:r w:rsidR="00AC5638">
        <w:rPr>
          <w:rFonts w:ascii="Times New Roman" w:hAnsi="Times New Roman" w:cs="Times New Roman"/>
          <w:sz w:val="24"/>
          <w:szCs w:val="24"/>
        </w:rPr>
        <w:t>rigor</w:t>
      </w:r>
      <w:r>
        <w:rPr>
          <w:rFonts w:ascii="Times New Roman" w:hAnsi="Times New Roman" w:cs="Times New Roman"/>
          <w:sz w:val="24"/>
          <w:szCs w:val="24"/>
        </w:rPr>
        <w:t xml:space="preserve"> attitude on the research work helped me a lot on the experiments, fundamental knowledge, and writing.  </w:t>
      </w:r>
    </w:p>
    <w:p w14:paraId="22B75D30" w14:textId="6CFDA9CD" w:rsidR="000E7129" w:rsidRDefault="000E7129" w:rsidP="000E7129">
      <w:pPr>
        <w:spacing w:line="480" w:lineRule="auto"/>
        <w:jc w:val="both"/>
        <w:rPr>
          <w:rFonts w:ascii="Times New Roman" w:hAnsi="Times New Roman" w:cs="Times New Roman"/>
          <w:sz w:val="24"/>
          <w:szCs w:val="24"/>
        </w:rPr>
      </w:pPr>
      <w:r>
        <w:rPr>
          <w:rFonts w:ascii="Times New Roman" w:hAnsi="Times New Roman" w:cs="Times New Roman"/>
          <w:sz w:val="24"/>
          <w:szCs w:val="24"/>
        </w:rPr>
        <w:t>I am also very appreciate that</w:t>
      </w:r>
      <w:r w:rsidR="00AC5638">
        <w:rPr>
          <w:rFonts w:ascii="Times New Roman" w:hAnsi="Times New Roman" w:cs="Times New Roman"/>
          <w:sz w:val="24"/>
          <w:szCs w:val="24"/>
        </w:rPr>
        <w:t xml:space="preserve"> Dr. J</w:t>
      </w:r>
      <w:r w:rsidRPr="00B70AFE">
        <w:rPr>
          <w:rFonts w:ascii="Times New Roman" w:hAnsi="Times New Roman" w:cs="Times New Roman"/>
          <w:sz w:val="24"/>
          <w:szCs w:val="24"/>
        </w:rPr>
        <w:t xml:space="preserve">oel Foreman for providing me </w:t>
      </w:r>
      <w:r>
        <w:rPr>
          <w:rFonts w:ascii="Times New Roman" w:hAnsi="Times New Roman" w:cs="Times New Roman"/>
          <w:sz w:val="24"/>
          <w:szCs w:val="24"/>
        </w:rPr>
        <w:t xml:space="preserve">lots support when I did some </w:t>
      </w:r>
      <w:r w:rsidRPr="00B70AFE">
        <w:rPr>
          <w:rFonts w:ascii="Times New Roman" w:hAnsi="Times New Roman" w:cs="Times New Roman"/>
          <w:sz w:val="24"/>
          <w:szCs w:val="24"/>
        </w:rPr>
        <w:t>experiment</w:t>
      </w:r>
      <w:r>
        <w:rPr>
          <w:rFonts w:ascii="Times New Roman" w:hAnsi="Times New Roman" w:cs="Times New Roman"/>
          <w:sz w:val="24"/>
          <w:szCs w:val="24"/>
        </w:rPr>
        <w:t>s in Composite Centre, as well as some help duri</w:t>
      </w:r>
      <w:r w:rsidR="00F007FA">
        <w:rPr>
          <w:rFonts w:ascii="Times New Roman" w:hAnsi="Times New Roman" w:cs="Times New Roman"/>
          <w:sz w:val="24"/>
          <w:szCs w:val="24"/>
        </w:rPr>
        <w:t>ng my writing up period after Professor</w:t>
      </w:r>
      <w:r>
        <w:rPr>
          <w:rFonts w:ascii="Times New Roman" w:hAnsi="Times New Roman" w:cs="Times New Roman"/>
          <w:sz w:val="24"/>
          <w:szCs w:val="24"/>
        </w:rPr>
        <w:t xml:space="preserve"> Biqiong Chen left. </w:t>
      </w:r>
    </w:p>
    <w:p w14:paraId="6F7EC9C9" w14:textId="4BD8ED71" w:rsidR="000E7129" w:rsidRDefault="000E7129" w:rsidP="000E7129">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The research fellow, Dr Tongfei Wu shared lots </w:t>
      </w:r>
      <w:r w:rsidR="00AC5638">
        <w:rPr>
          <w:rFonts w:ascii="Times New Roman" w:hAnsi="Times New Roman" w:cs="Times New Roman"/>
          <w:sz w:val="24"/>
          <w:szCs w:val="24"/>
        </w:rPr>
        <w:t>of knowledge</w:t>
      </w:r>
      <w:r>
        <w:rPr>
          <w:rFonts w:ascii="Times New Roman" w:hAnsi="Times New Roman" w:cs="Times New Roman"/>
          <w:sz w:val="24"/>
          <w:szCs w:val="24"/>
        </w:rPr>
        <w:t xml:space="preserve"> and experience with me, which was very helpful during my PhD study. </w:t>
      </w:r>
    </w:p>
    <w:p w14:paraId="6E100B91" w14:textId="77777777" w:rsidR="000E7129" w:rsidRDefault="000E7129" w:rsidP="000E7129">
      <w:pPr>
        <w:spacing w:line="480" w:lineRule="auto"/>
        <w:jc w:val="both"/>
        <w:rPr>
          <w:rFonts w:ascii="Times New Roman" w:hAnsi="Times New Roman" w:cs="Times New Roman"/>
          <w:sz w:val="24"/>
          <w:szCs w:val="24"/>
        </w:rPr>
      </w:pPr>
      <w:r>
        <w:rPr>
          <w:rFonts w:ascii="Times New Roman" w:hAnsi="Times New Roman" w:cs="Times New Roman"/>
          <w:sz w:val="24"/>
          <w:szCs w:val="24"/>
        </w:rPr>
        <w:t>I am very appreciate that I got lots help from my colleagues in my group during my whole PhD study: Dr Richard Justin, Dr Martin Frydrych, Dr Yongzhe Piao, Dr Yasemin Tamer, Xiangshuai Geng, Sungkwon Yoon, Ehssan DJ Al-Bermany, Zaid G Mohammadsalih, and Ahmed Alzahrany.</w:t>
      </w:r>
    </w:p>
    <w:p w14:paraId="7898BB13" w14:textId="77777777" w:rsidR="000E7129" w:rsidRDefault="000E7129" w:rsidP="000E7129">
      <w:pPr>
        <w:spacing w:line="480" w:lineRule="auto"/>
        <w:jc w:val="both"/>
        <w:rPr>
          <w:rFonts w:ascii="Times New Roman" w:hAnsi="Times New Roman" w:cs="Times New Roman"/>
          <w:sz w:val="24"/>
          <w:szCs w:val="24"/>
        </w:rPr>
      </w:pPr>
      <w:r>
        <w:rPr>
          <w:rFonts w:ascii="Times New Roman" w:hAnsi="Times New Roman" w:cs="Times New Roman"/>
          <w:sz w:val="24"/>
          <w:szCs w:val="24"/>
        </w:rPr>
        <w:t>Finally, I would like to say thank you to my beloved parents who support my PhD study in UK.</w:t>
      </w:r>
    </w:p>
    <w:p w14:paraId="5B9B8F83" w14:textId="77777777" w:rsidR="000E7129" w:rsidRDefault="000E7129">
      <w:r>
        <w:rPr>
          <w:b/>
        </w:rPr>
        <w:br w:type="page"/>
      </w:r>
    </w:p>
    <w:sdt>
      <w:sdtPr>
        <w:rPr>
          <w:rFonts w:asciiTheme="minorHAnsi" w:eastAsiaTheme="minorEastAsia" w:hAnsiTheme="minorHAnsi" w:cstheme="minorBidi"/>
          <w:b w:val="0"/>
          <w:color w:val="auto"/>
          <w:sz w:val="22"/>
          <w:szCs w:val="22"/>
          <w:lang w:eastAsia="zh-CN"/>
        </w:rPr>
        <w:id w:val="-2118977736"/>
        <w:docPartObj>
          <w:docPartGallery w:val="Table of Contents"/>
          <w:docPartUnique/>
        </w:docPartObj>
      </w:sdtPr>
      <w:sdtEndPr>
        <w:rPr>
          <w:rFonts w:cs="Times New Roman"/>
          <w:bCs/>
          <w:noProof/>
          <w:sz w:val="24"/>
          <w:szCs w:val="24"/>
        </w:rPr>
      </w:sdtEndPr>
      <w:sdtContent>
        <w:p w14:paraId="01317AEA" w14:textId="7D91C0BA" w:rsidR="00E709EE" w:rsidRPr="001733A4" w:rsidRDefault="00E709EE">
          <w:pPr>
            <w:pStyle w:val="TOCHeading"/>
            <w:rPr>
              <w:sz w:val="48"/>
              <w:szCs w:val="48"/>
            </w:rPr>
          </w:pPr>
          <w:r w:rsidRPr="001733A4">
            <w:rPr>
              <w:sz w:val="48"/>
              <w:szCs w:val="48"/>
            </w:rPr>
            <w:t>Table of Contents</w:t>
          </w:r>
        </w:p>
        <w:p w14:paraId="69B53D5B" w14:textId="77777777" w:rsidR="00E709EE" w:rsidRPr="00E709EE" w:rsidRDefault="00E709EE" w:rsidP="00E709EE">
          <w:pPr>
            <w:rPr>
              <w:lang w:eastAsia="en-US"/>
            </w:rPr>
          </w:pPr>
        </w:p>
        <w:p w14:paraId="3EEC92A6" w14:textId="3B3CDF26" w:rsidR="001B3FB7" w:rsidRPr="001B3FB7" w:rsidRDefault="00E709EE">
          <w:pPr>
            <w:pStyle w:val="TOC1"/>
            <w:rPr>
              <w:noProof/>
            </w:rPr>
          </w:pPr>
          <w:r w:rsidRPr="00E709EE">
            <w:rPr>
              <w:rFonts w:ascii="Times New Roman" w:hAnsi="Times New Roman" w:cs="Times New Roman"/>
              <w:sz w:val="24"/>
              <w:szCs w:val="24"/>
            </w:rPr>
            <w:fldChar w:fldCharType="begin"/>
          </w:r>
          <w:r w:rsidRPr="00E709EE">
            <w:rPr>
              <w:rFonts w:ascii="Times New Roman" w:hAnsi="Times New Roman" w:cs="Times New Roman"/>
              <w:sz w:val="24"/>
              <w:szCs w:val="24"/>
            </w:rPr>
            <w:instrText xml:space="preserve"> TOC \o "1-3" \h \z \u </w:instrText>
          </w:r>
          <w:r w:rsidRPr="00E709EE">
            <w:rPr>
              <w:rFonts w:ascii="Times New Roman" w:hAnsi="Times New Roman" w:cs="Times New Roman"/>
              <w:sz w:val="24"/>
              <w:szCs w:val="24"/>
            </w:rPr>
            <w:fldChar w:fldCharType="separate"/>
          </w:r>
          <w:hyperlink w:anchor="_Toc518823221" w:history="1">
            <w:r w:rsidR="001B3FB7" w:rsidRPr="001B3FB7">
              <w:rPr>
                <w:rStyle w:val="Hyperlink"/>
                <w:noProof/>
              </w:rPr>
              <w:t>Chapter 1: Introduction</w:t>
            </w:r>
            <w:r w:rsidR="001B3FB7" w:rsidRPr="001B3FB7">
              <w:rPr>
                <w:noProof/>
                <w:webHidden/>
              </w:rPr>
              <w:tab/>
            </w:r>
            <w:r w:rsidR="001B3FB7" w:rsidRPr="001B3FB7">
              <w:rPr>
                <w:noProof/>
                <w:webHidden/>
              </w:rPr>
              <w:fldChar w:fldCharType="begin"/>
            </w:r>
            <w:r w:rsidR="001B3FB7" w:rsidRPr="001B3FB7">
              <w:rPr>
                <w:noProof/>
                <w:webHidden/>
              </w:rPr>
              <w:instrText xml:space="preserve"> PAGEREF _Toc518823221 \h </w:instrText>
            </w:r>
            <w:r w:rsidR="001B3FB7" w:rsidRPr="001B3FB7">
              <w:rPr>
                <w:noProof/>
                <w:webHidden/>
              </w:rPr>
            </w:r>
            <w:r w:rsidR="001B3FB7" w:rsidRPr="001B3FB7">
              <w:rPr>
                <w:noProof/>
                <w:webHidden/>
              </w:rPr>
              <w:fldChar w:fldCharType="separate"/>
            </w:r>
            <w:r w:rsidR="001B3FB7" w:rsidRPr="001B3FB7">
              <w:rPr>
                <w:noProof/>
                <w:webHidden/>
              </w:rPr>
              <w:t>2</w:t>
            </w:r>
            <w:r w:rsidR="001B3FB7" w:rsidRPr="001B3FB7">
              <w:rPr>
                <w:noProof/>
                <w:webHidden/>
              </w:rPr>
              <w:fldChar w:fldCharType="end"/>
            </w:r>
          </w:hyperlink>
        </w:p>
        <w:p w14:paraId="14C2B28A" w14:textId="27DA4F49" w:rsidR="001B3FB7" w:rsidRPr="001B3FB7" w:rsidRDefault="001B3FB7">
          <w:pPr>
            <w:pStyle w:val="TOC1"/>
            <w:rPr>
              <w:noProof/>
            </w:rPr>
          </w:pPr>
          <w:hyperlink w:anchor="_Toc518823222" w:history="1">
            <w:r w:rsidRPr="001B3FB7">
              <w:rPr>
                <w:rStyle w:val="Hyperlink"/>
                <w:noProof/>
              </w:rPr>
              <w:t>Chapter 2: Literature review</w:t>
            </w:r>
            <w:r w:rsidRPr="001B3FB7">
              <w:rPr>
                <w:noProof/>
                <w:webHidden/>
              </w:rPr>
              <w:tab/>
            </w:r>
            <w:r w:rsidRPr="001B3FB7">
              <w:rPr>
                <w:noProof/>
                <w:webHidden/>
              </w:rPr>
              <w:fldChar w:fldCharType="begin"/>
            </w:r>
            <w:r w:rsidRPr="001B3FB7">
              <w:rPr>
                <w:noProof/>
                <w:webHidden/>
              </w:rPr>
              <w:instrText xml:space="preserve"> PAGEREF _Toc518823222 \h </w:instrText>
            </w:r>
            <w:r w:rsidRPr="001B3FB7">
              <w:rPr>
                <w:noProof/>
                <w:webHidden/>
              </w:rPr>
            </w:r>
            <w:r w:rsidRPr="001B3FB7">
              <w:rPr>
                <w:noProof/>
                <w:webHidden/>
              </w:rPr>
              <w:fldChar w:fldCharType="separate"/>
            </w:r>
            <w:r w:rsidRPr="001B3FB7">
              <w:rPr>
                <w:noProof/>
                <w:webHidden/>
              </w:rPr>
              <w:t>6</w:t>
            </w:r>
            <w:r w:rsidRPr="001B3FB7">
              <w:rPr>
                <w:noProof/>
                <w:webHidden/>
              </w:rPr>
              <w:fldChar w:fldCharType="end"/>
            </w:r>
          </w:hyperlink>
        </w:p>
        <w:p w14:paraId="0C480F82" w14:textId="7B13E29B" w:rsidR="001B3FB7" w:rsidRPr="001B3FB7" w:rsidRDefault="001B3FB7">
          <w:pPr>
            <w:pStyle w:val="TOC1"/>
            <w:rPr>
              <w:noProof/>
            </w:rPr>
          </w:pPr>
          <w:hyperlink w:anchor="_Toc518823223" w:history="1">
            <w:r w:rsidRPr="001B3FB7">
              <w:rPr>
                <w:rStyle w:val="Hyperlink"/>
                <w:noProof/>
              </w:rPr>
              <w:t>2.1. Composite material and polymer composites</w:t>
            </w:r>
            <w:r w:rsidRPr="001B3FB7">
              <w:rPr>
                <w:noProof/>
                <w:webHidden/>
              </w:rPr>
              <w:tab/>
            </w:r>
            <w:r w:rsidRPr="001B3FB7">
              <w:rPr>
                <w:noProof/>
                <w:webHidden/>
              </w:rPr>
              <w:fldChar w:fldCharType="begin"/>
            </w:r>
            <w:r w:rsidRPr="001B3FB7">
              <w:rPr>
                <w:noProof/>
                <w:webHidden/>
              </w:rPr>
              <w:instrText xml:space="preserve"> PAGEREF _Toc518823223 \h </w:instrText>
            </w:r>
            <w:r w:rsidRPr="001B3FB7">
              <w:rPr>
                <w:noProof/>
                <w:webHidden/>
              </w:rPr>
            </w:r>
            <w:r w:rsidRPr="001B3FB7">
              <w:rPr>
                <w:noProof/>
                <w:webHidden/>
              </w:rPr>
              <w:fldChar w:fldCharType="separate"/>
            </w:r>
            <w:r w:rsidRPr="001B3FB7">
              <w:rPr>
                <w:noProof/>
                <w:webHidden/>
              </w:rPr>
              <w:t>6</w:t>
            </w:r>
            <w:r w:rsidRPr="001B3FB7">
              <w:rPr>
                <w:noProof/>
                <w:webHidden/>
              </w:rPr>
              <w:fldChar w:fldCharType="end"/>
            </w:r>
          </w:hyperlink>
        </w:p>
        <w:p w14:paraId="4387AA9E" w14:textId="4E4B39EE" w:rsidR="001B3FB7" w:rsidRPr="001B3FB7" w:rsidRDefault="001B3FB7">
          <w:pPr>
            <w:pStyle w:val="TOC1"/>
            <w:rPr>
              <w:noProof/>
            </w:rPr>
          </w:pPr>
          <w:hyperlink w:anchor="_Toc518823224" w:history="1">
            <w:r w:rsidRPr="001B3FB7">
              <w:rPr>
                <w:rStyle w:val="Hyperlink"/>
                <w:noProof/>
              </w:rPr>
              <w:t>2.2. Polymer nanocomposites</w:t>
            </w:r>
            <w:r w:rsidRPr="001B3FB7">
              <w:rPr>
                <w:noProof/>
                <w:webHidden/>
              </w:rPr>
              <w:tab/>
            </w:r>
            <w:r w:rsidRPr="001B3FB7">
              <w:rPr>
                <w:noProof/>
                <w:webHidden/>
              </w:rPr>
              <w:fldChar w:fldCharType="begin"/>
            </w:r>
            <w:r w:rsidRPr="001B3FB7">
              <w:rPr>
                <w:noProof/>
                <w:webHidden/>
              </w:rPr>
              <w:instrText xml:space="preserve"> PAGEREF _Toc518823224 \h </w:instrText>
            </w:r>
            <w:r w:rsidRPr="001B3FB7">
              <w:rPr>
                <w:noProof/>
                <w:webHidden/>
              </w:rPr>
            </w:r>
            <w:r w:rsidRPr="001B3FB7">
              <w:rPr>
                <w:noProof/>
                <w:webHidden/>
              </w:rPr>
              <w:fldChar w:fldCharType="separate"/>
            </w:r>
            <w:r w:rsidRPr="001B3FB7">
              <w:rPr>
                <w:noProof/>
                <w:webHidden/>
              </w:rPr>
              <w:t>7</w:t>
            </w:r>
            <w:r w:rsidRPr="001B3FB7">
              <w:rPr>
                <w:noProof/>
                <w:webHidden/>
              </w:rPr>
              <w:fldChar w:fldCharType="end"/>
            </w:r>
          </w:hyperlink>
        </w:p>
        <w:p w14:paraId="46A958AC" w14:textId="5E3DBB91" w:rsidR="001B3FB7" w:rsidRPr="001B3FB7" w:rsidRDefault="001B3FB7">
          <w:pPr>
            <w:pStyle w:val="TOC1"/>
            <w:rPr>
              <w:noProof/>
            </w:rPr>
          </w:pPr>
          <w:hyperlink w:anchor="_Toc518823225" w:history="1">
            <w:r w:rsidRPr="001B3FB7">
              <w:rPr>
                <w:rStyle w:val="Hyperlink"/>
                <w:noProof/>
              </w:rPr>
              <w:t>2.3. Graphene and graphene derivative</w:t>
            </w:r>
            <w:r w:rsidRPr="001B3FB7">
              <w:rPr>
                <w:noProof/>
                <w:webHidden/>
              </w:rPr>
              <w:tab/>
            </w:r>
            <w:r w:rsidRPr="001B3FB7">
              <w:rPr>
                <w:noProof/>
                <w:webHidden/>
              </w:rPr>
              <w:fldChar w:fldCharType="begin"/>
            </w:r>
            <w:r w:rsidRPr="001B3FB7">
              <w:rPr>
                <w:noProof/>
                <w:webHidden/>
              </w:rPr>
              <w:instrText xml:space="preserve"> PAGEREF _Toc518823225 \h </w:instrText>
            </w:r>
            <w:r w:rsidRPr="001B3FB7">
              <w:rPr>
                <w:noProof/>
                <w:webHidden/>
              </w:rPr>
            </w:r>
            <w:r w:rsidRPr="001B3FB7">
              <w:rPr>
                <w:noProof/>
                <w:webHidden/>
              </w:rPr>
              <w:fldChar w:fldCharType="separate"/>
            </w:r>
            <w:r w:rsidRPr="001B3FB7">
              <w:rPr>
                <w:noProof/>
                <w:webHidden/>
              </w:rPr>
              <w:t>8</w:t>
            </w:r>
            <w:r w:rsidRPr="001B3FB7">
              <w:rPr>
                <w:noProof/>
                <w:webHidden/>
              </w:rPr>
              <w:fldChar w:fldCharType="end"/>
            </w:r>
          </w:hyperlink>
        </w:p>
        <w:p w14:paraId="69BBA030" w14:textId="26DC1398" w:rsidR="001B3FB7" w:rsidRPr="001B3FB7" w:rsidRDefault="001B3FB7">
          <w:pPr>
            <w:pStyle w:val="TOC2"/>
            <w:tabs>
              <w:tab w:val="right" w:leader="dot" w:pos="9350"/>
            </w:tabs>
            <w:rPr>
              <w:noProof/>
            </w:rPr>
          </w:pPr>
          <w:hyperlink w:anchor="_Toc518823226" w:history="1">
            <w:r w:rsidRPr="001B3FB7">
              <w:rPr>
                <w:rStyle w:val="Hyperlink"/>
                <w:noProof/>
              </w:rPr>
              <w:t>2.3.1. Graphene</w:t>
            </w:r>
            <w:r w:rsidRPr="001B3FB7">
              <w:rPr>
                <w:noProof/>
                <w:webHidden/>
              </w:rPr>
              <w:tab/>
            </w:r>
            <w:r w:rsidRPr="001B3FB7">
              <w:rPr>
                <w:noProof/>
                <w:webHidden/>
              </w:rPr>
              <w:fldChar w:fldCharType="begin"/>
            </w:r>
            <w:r w:rsidRPr="001B3FB7">
              <w:rPr>
                <w:noProof/>
                <w:webHidden/>
              </w:rPr>
              <w:instrText xml:space="preserve"> PAGEREF _Toc518823226 \h </w:instrText>
            </w:r>
            <w:r w:rsidRPr="001B3FB7">
              <w:rPr>
                <w:noProof/>
                <w:webHidden/>
              </w:rPr>
            </w:r>
            <w:r w:rsidRPr="001B3FB7">
              <w:rPr>
                <w:noProof/>
                <w:webHidden/>
              </w:rPr>
              <w:fldChar w:fldCharType="separate"/>
            </w:r>
            <w:r w:rsidRPr="001B3FB7">
              <w:rPr>
                <w:noProof/>
                <w:webHidden/>
              </w:rPr>
              <w:t>8</w:t>
            </w:r>
            <w:r w:rsidRPr="001B3FB7">
              <w:rPr>
                <w:noProof/>
                <w:webHidden/>
              </w:rPr>
              <w:fldChar w:fldCharType="end"/>
            </w:r>
          </w:hyperlink>
        </w:p>
        <w:p w14:paraId="5DFD4C3E" w14:textId="749C4DCC" w:rsidR="001B3FB7" w:rsidRPr="001B3FB7" w:rsidRDefault="001B3FB7">
          <w:pPr>
            <w:pStyle w:val="TOC2"/>
            <w:tabs>
              <w:tab w:val="right" w:leader="dot" w:pos="9350"/>
            </w:tabs>
            <w:rPr>
              <w:noProof/>
            </w:rPr>
          </w:pPr>
          <w:hyperlink w:anchor="_Toc518823227" w:history="1">
            <w:r w:rsidRPr="001B3FB7">
              <w:rPr>
                <w:rStyle w:val="Hyperlink"/>
                <w:noProof/>
              </w:rPr>
              <w:t>2.3.2. Graphene oxide (GO)</w:t>
            </w:r>
            <w:r w:rsidRPr="001B3FB7">
              <w:rPr>
                <w:noProof/>
                <w:webHidden/>
              </w:rPr>
              <w:tab/>
            </w:r>
            <w:r w:rsidRPr="001B3FB7">
              <w:rPr>
                <w:noProof/>
                <w:webHidden/>
              </w:rPr>
              <w:fldChar w:fldCharType="begin"/>
            </w:r>
            <w:r w:rsidRPr="001B3FB7">
              <w:rPr>
                <w:noProof/>
                <w:webHidden/>
              </w:rPr>
              <w:instrText xml:space="preserve"> PAGEREF _Toc518823227 \h </w:instrText>
            </w:r>
            <w:r w:rsidRPr="001B3FB7">
              <w:rPr>
                <w:noProof/>
                <w:webHidden/>
              </w:rPr>
            </w:r>
            <w:r w:rsidRPr="001B3FB7">
              <w:rPr>
                <w:noProof/>
                <w:webHidden/>
              </w:rPr>
              <w:fldChar w:fldCharType="separate"/>
            </w:r>
            <w:r w:rsidRPr="001B3FB7">
              <w:rPr>
                <w:noProof/>
                <w:webHidden/>
              </w:rPr>
              <w:t>10</w:t>
            </w:r>
            <w:r w:rsidRPr="001B3FB7">
              <w:rPr>
                <w:noProof/>
                <w:webHidden/>
              </w:rPr>
              <w:fldChar w:fldCharType="end"/>
            </w:r>
          </w:hyperlink>
        </w:p>
        <w:p w14:paraId="5962DB8F" w14:textId="77B605BE" w:rsidR="001B3FB7" w:rsidRPr="001B3FB7" w:rsidRDefault="001B3FB7">
          <w:pPr>
            <w:pStyle w:val="TOC2"/>
            <w:tabs>
              <w:tab w:val="right" w:leader="dot" w:pos="9350"/>
            </w:tabs>
            <w:rPr>
              <w:noProof/>
            </w:rPr>
          </w:pPr>
          <w:hyperlink w:anchor="_Toc518823228" w:history="1">
            <w:r w:rsidRPr="001B3FB7">
              <w:rPr>
                <w:rStyle w:val="Hyperlink"/>
                <w:noProof/>
              </w:rPr>
              <w:t>2.3.3. Dispersion of graphene oxide in organic solvents</w:t>
            </w:r>
            <w:r w:rsidRPr="001B3FB7">
              <w:rPr>
                <w:noProof/>
                <w:webHidden/>
              </w:rPr>
              <w:tab/>
            </w:r>
            <w:r w:rsidRPr="001B3FB7">
              <w:rPr>
                <w:noProof/>
                <w:webHidden/>
              </w:rPr>
              <w:fldChar w:fldCharType="begin"/>
            </w:r>
            <w:r w:rsidRPr="001B3FB7">
              <w:rPr>
                <w:noProof/>
                <w:webHidden/>
              </w:rPr>
              <w:instrText xml:space="preserve"> PAGEREF _Toc518823228 \h </w:instrText>
            </w:r>
            <w:r w:rsidRPr="001B3FB7">
              <w:rPr>
                <w:noProof/>
                <w:webHidden/>
              </w:rPr>
            </w:r>
            <w:r w:rsidRPr="001B3FB7">
              <w:rPr>
                <w:noProof/>
                <w:webHidden/>
              </w:rPr>
              <w:fldChar w:fldCharType="separate"/>
            </w:r>
            <w:r w:rsidRPr="001B3FB7">
              <w:rPr>
                <w:noProof/>
                <w:webHidden/>
              </w:rPr>
              <w:t>12</w:t>
            </w:r>
            <w:r w:rsidRPr="001B3FB7">
              <w:rPr>
                <w:noProof/>
                <w:webHidden/>
              </w:rPr>
              <w:fldChar w:fldCharType="end"/>
            </w:r>
          </w:hyperlink>
        </w:p>
        <w:p w14:paraId="408DF283" w14:textId="7ED37B5D" w:rsidR="001B3FB7" w:rsidRPr="001B3FB7" w:rsidRDefault="001B3FB7">
          <w:pPr>
            <w:pStyle w:val="TOC2"/>
            <w:tabs>
              <w:tab w:val="right" w:leader="dot" w:pos="9350"/>
            </w:tabs>
            <w:rPr>
              <w:noProof/>
            </w:rPr>
          </w:pPr>
          <w:hyperlink w:anchor="_Toc518823229" w:history="1">
            <w:r w:rsidRPr="001B3FB7">
              <w:rPr>
                <w:rStyle w:val="Hyperlink"/>
                <w:noProof/>
              </w:rPr>
              <w:t>2.3.4. Modification of Graphene</w:t>
            </w:r>
            <w:r w:rsidRPr="001B3FB7">
              <w:rPr>
                <w:noProof/>
                <w:webHidden/>
              </w:rPr>
              <w:tab/>
            </w:r>
            <w:r w:rsidRPr="001B3FB7">
              <w:rPr>
                <w:noProof/>
                <w:webHidden/>
              </w:rPr>
              <w:fldChar w:fldCharType="begin"/>
            </w:r>
            <w:r w:rsidRPr="001B3FB7">
              <w:rPr>
                <w:noProof/>
                <w:webHidden/>
              </w:rPr>
              <w:instrText xml:space="preserve"> PAGEREF _Toc518823229 \h </w:instrText>
            </w:r>
            <w:r w:rsidRPr="001B3FB7">
              <w:rPr>
                <w:noProof/>
                <w:webHidden/>
              </w:rPr>
            </w:r>
            <w:r w:rsidRPr="001B3FB7">
              <w:rPr>
                <w:noProof/>
                <w:webHidden/>
              </w:rPr>
              <w:fldChar w:fldCharType="separate"/>
            </w:r>
            <w:r w:rsidRPr="001B3FB7">
              <w:rPr>
                <w:noProof/>
                <w:webHidden/>
              </w:rPr>
              <w:t>13</w:t>
            </w:r>
            <w:r w:rsidRPr="001B3FB7">
              <w:rPr>
                <w:noProof/>
                <w:webHidden/>
              </w:rPr>
              <w:fldChar w:fldCharType="end"/>
            </w:r>
          </w:hyperlink>
        </w:p>
        <w:p w14:paraId="209D6535" w14:textId="7EE95B26" w:rsidR="001B3FB7" w:rsidRPr="001B3FB7" w:rsidRDefault="001B3FB7">
          <w:pPr>
            <w:pStyle w:val="TOC3"/>
            <w:tabs>
              <w:tab w:val="right" w:leader="dot" w:pos="9350"/>
            </w:tabs>
            <w:rPr>
              <w:noProof/>
              <w:lang w:val="en-GB"/>
            </w:rPr>
          </w:pPr>
          <w:hyperlink w:anchor="_Toc518823230" w:history="1">
            <w:r w:rsidRPr="001B3FB7">
              <w:rPr>
                <w:rStyle w:val="Hyperlink"/>
                <w:noProof/>
              </w:rPr>
              <w:t>2.3.4.1. Chemical modification of graphene</w:t>
            </w:r>
            <w:r w:rsidRPr="001B3FB7">
              <w:rPr>
                <w:noProof/>
                <w:webHidden/>
              </w:rPr>
              <w:tab/>
            </w:r>
            <w:r w:rsidRPr="001B3FB7">
              <w:rPr>
                <w:noProof/>
                <w:webHidden/>
              </w:rPr>
              <w:fldChar w:fldCharType="begin"/>
            </w:r>
            <w:r w:rsidRPr="001B3FB7">
              <w:rPr>
                <w:noProof/>
                <w:webHidden/>
              </w:rPr>
              <w:instrText xml:space="preserve"> PAGEREF _Toc518823230 \h </w:instrText>
            </w:r>
            <w:r w:rsidRPr="001B3FB7">
              <w:rPr>
                <w:noProof/>
                <w:webHidden/>
              </w:rPr>
            </w:r>
            <w:r w:rsidRPr="001B3FB7">
              <w:rPr>
                <w:noProof/>
                <w:webHidden/>
              </w:rPr>
              <w:fldChar w:fldCharType="separate"/>
            </w:r>
            <w:r w:rsidRPr="001B3FB7">
              <w:rPr>
                <w:noProof/>
                <w:webHidden/>
              </w:rPr>
              <w:t>13</w:t>
            </w:r>
            <w:r w:rsidRPr="001B3FB7">
              <w:rPr>
                <w:noProof/>
                <w:webHidden/>
              </w:rPr>
              <w:fldChar w:fldCharType="end"/>
            </w:r>
          </w:hyperlink>
        </w:p>
        <w:p w14:paraId="51405F05" w14:textId="0B95C732" w:rsidR="001B3FB7" w:rsidRPr="001B3FB7" w:rsidRDefault="001B3FB7">
          <w:pPr>
            <w:pStyle w:val="TOC3"/>
            <w:tabs>
              <w:tab w:val="right" w:leader="dot" w:pos="9350"/>
            </w:tabs>
            <w:rPr>
              <w:noProof/>
              <w:lang w:val="en-GB"/>
            </w:rPr>
          </w:pPr>
          <w:hyperlink w:anchor="_Toc518823231" w:history="1">
            <w:r w:rsidRPr="001B3FB7">
              <w:rPr>
                <w:rStyle w:val="Hyperlink"/>
                <w:noProof/>
              </w:rPr>
              <w:t>2.3.4.2. π-π interaction of graphene</w:t>
            </w:r>
            <w:r w:rsidRPr="001B3FB7">
              <w:rPr>
                <w:noProof/>
                <w:webHidden/>
              </w:rPr>
              <w:tab/>
            </w:r>
            <w:r w:rsidRPr="001B3FB7">
              <w:rPr>
                <w:noProof/>
                <w:webHidden/>
              </w:rPr>
              <w:fldChar w:fldCharType="begin"/>
            </w:r>
            <w:r w:rsidRPr="001B3FB7">
              <w:rPr>
                <w:noProof/>
                <w:webHidden/>
              </w:rPr>
              <w:instrText xml:space="preserve"> PAGEREF _Toc518823231 \h </w:instrText>
            </w:r>
            <w:r w:rsidRPr="001B3FB7">
              <w:rPr>
                <w:noProof/>
                <w:webHidden/>
              </w:rPr>
            </w:r>
            <w:r w:rsidRPr="001B3FB7">
              <w:rPr>
                <w:noProof/>
                <w:webHidden/>
              </w:rPr>
              <w:fldChar w:fldCharType="separate"/>
            </w:r>
            <w:r w:rsidRPr="001B3FB7">
              <w:rPr>
                <w:noProof/>
                <w:webHidden/>
              </w:rPr>
              <w:t>16</w:t>
            </w:r>
            <w:r w:rsidRPr="001B3FB7">
              <w:rPr>
                <w:noProof/>
                <w:webHidden/>
              </w:rPr>
              <w:fldChar w:fldCharType="end"/>
            </w:r>
          </w:hyperlink>
        </w:p>
        <w:p w14:paraId="2D8A2892" w14:textId="652E7B01" w:rsidR="001B3FB7" w:rsidRPr="001B3FB7" w:rsidRDefault="001B3FB7">
          <w:pPr>
            <w:pStyle w:val="TOC3"/>
            <w:tabs>
              <w:tab w:val="right" w:leader="dot" w:pos="9350"/>
            </w:tabs>
            <w:rPr>
              <w:noProof/>
              <w:lang w:val="en-GB"/>
            </w:rPr>
          </w:pPr>
          <w:hyperlink w:anchor="_Toc518823232" w:history="1">
            <w:r w:rsidRPr="001B3FB7">
              <w:rPr>
                <w:rStyle w:val="Hyperlink"/>
                <w:noProof/>
              </w:rPr>
              <w:t>2.3.4.3. Electrochemical modification of graphene</w:t>
            </w:r>
            <w:r w:rsidRPr="001B3FB7">
              <w:rPr>
                <w:noProof/>
                <w:webHidden/>
              </w:rPr>
              <w:tab/>
            </w:r>
            <w:r w:rsidRPr="001B3FB7">
              <w:rPr>
                <w:noProof/>
                <w:webHidden/>
              </w:rPr>
              <w:fldChar w:fldCharType="begin"/>
            </w:r>
            <w:r w:rsidRPr="001B3FB7">
              <w:rPr>
                <w:noProof/>
                <w:webHidden/>
              </w:rPr>
              <w:instrText xml:space="preserve"> PAGEREF _Toc518823232 \h </w:instrText>
            </w:r>
            <w:r w:rsidRPr="001B3FB7">
              <w:rPr>
                <w:noProof/>
                <w:webHidden/>
              </w:rPr>
            </w:r>
            <w:r w:rsidRPr="001B3FB7">
              <w:rPr>
                <w:noProof/>
                <w:webHidden/>
              </w:rPr>
              <w:fldChar w:fldCharType="separate"/>
            </w:r>
            <w:r w:rsidRPr="001B3FB7">
              <w:rPr>
                <w:noProof/>
                <w:webHidden/>
              </w:rPr>
              <w:t>17</w:t>
            </w:r>
            <w:r w:rsidRPr="001B3FB7">
              <w:rPr>
                <w:noProof/>
                <w:webHidden/>
              </w:rPr>
              <w:fldChar w:fldCharType="end"/>
            </w:r>
          </w:hyperlink>
        </w:p>
        <w:p w14:paraId="28433624" w14:textId="105F5655" w:rsidR="001B3FB7" w:rsidRPr="001B3FB7" w:rsidRDefault="001B3FB7">
          <w:pPr>
            <w:pStyle w:val="TOC1"/>
            <w:rPr>
              <w:noProof/>
            </w:rPr>
          </w:pPr>
          <w:hyperlink w:anchor="_Toc518823233" w:history="1">
            <w:r w:rsidRPr="001B3FB7">
              <w:rPr>
                <w:rStyle w:val="Hyperlink"/>
                <w:noProof/>
              </w:rPr>
              <w:t>2.4. Polymer matrix materials</w:t>
            </w:r>
            <w:r w:rsidRPr="001B3FB7">
              <w:rPr>
                <w:noProof/>
                <w:webHidden/>
              </w:rPr>
              <w:tab/>
            </w:r>
            <w:r w:rsidRPr="001B3FB7">
              <w:rPr>
                <w:noProof/>
                <w:webHidden/>
              </w:rPr>
              <w:fldChar w:fldCharType="begin"/>
            </w:r>
            <w:r w:rsidRPr="001B3FB7">
              <w:rPr>
                <w:noProof/>
                <w:webHidden/>
              </w:rPr>
              <w:instrText xml:space="preserve"> PAGEREF _Toc518823233 \h </w:instrText>
            </w:r>
            <w:r w:rsidRPr="001B3FB7">
              <w:rPr>
                <w:noProof/>
                <w:webHidden/>
              </w:rPr>
            </w:r>
            <w:r w:rsidRPr="001B3FB7">
              <w:rPr>
                <w:noProof/>
                <w:webHidden/>
              </w:rPr>
              <w:fldChar w:fldCharType="separate"/>
            </w:r>
            <w:r w:rsidRPr="001B3FB7">
              <w:rPr>
                <w:noProof/>
                <w:webHidden/>
              </w:rPr>
              <w:t>18</w:t>
            </w:r>
            <w:r w:rsidRPr="001B3FB7">
              <w:rPr>
                <w:noProof/>
                <w:webHidden/>
              </w:rPr>
              <w:fldChar w:fldCharType="end"/>
            </w:r>
          </w:hyperlink>
        </w:p>
        <w:p w14:paraId="3580D965" w14:textId="391734C6" w:rsidR="001B3FB7" w:rsidRPr="001B3FB7" w:rsidRDefault="001B3FB7">
          <w:pPr>
            <w:pStyle w:val="TOC2"/>
            <w:tabs>
              <w:tab w:val="right" w:leader="dot" w:pos="9350"/>
            </w:tabs>
            <w:rPr>
              <w:noProof/>
            </w:rPr>
          </w:pPr>
          <w:hyperlink w:anchor="_Toc518823234" w:history="1">
            <w:r w:rsidRPr="001B3FB7">
              <w:rPr>
                <w:rStyle w:val="Hyperlink"/>
                <w:noProof/>
              </w:rPr>
              <w:t>2.4.1. Common polymeric matrix</w:t>
            </w:r>
            <w:r w:rsidRPr="001B3FB7">
              <w:rPr>
                <w:noProof/>
                <w:webHidden/>
              </w:rPr>
              <w:tab/>
            </w:r>
            <w:r w:rsidRPr="001B3FB7">
              <w:rPr>
                <w:noProof/>
                <w:webHidden/>
              </w:rPr>
              <w:fldChar w:fldCharType="begin"/>
            </w:r>
            <w:r w:rsidRPr="001B3FB7">
              <w:rPr>
                <w:noProof/>
                <w:webHidden/>
              </w:rPr>
              <w:instrText xml:space="preserve"> PAGEREF _Toc518823234 \h </w:instrText>
            </w:r>
            <w:r w:rsidRPr="001B3FB7">
              <w:rPr>
                <w:noProof/>
                <w:webHidden/>
              </w:rPr>
            </w:r>
            <w:r w:rsidRPr="001B3FB7">
              <w:rPr>
                <w:noProof/>
                <w:webHidden/>
              </w:rPr>
              <w:fldChar w:fldCharType="separate"/>
            </w:r>
            <w:r w:rsidRPr="001B3FB7">
              <w:rPr>
                <w:noProof/>
                <w:webHidden/>
              </w:rPr>
              <w:t>18</w:t>
            </w:r>
            <w:r w:rsidRPr="001B3FB7">
              <w:rPr>
                <w:noProof/>
                <w:webHidden/>
              </w:rPr>
              <w:fldChar w:fldCharType="end"/>
            </w:r>
          </w:hyperlink>
        </w:p>
        <w:p w14:paraId="2B20DB1F" w14:textId="43AC2918" w:rsidR="001B3FB7" w:rsidRPr="001B3FB7" w:rsidRDefault="001B3FB7">
          <w:pPr>
            <w:pStyle w:val="TOC2"/>
            <w:tabs>
              <w:tab w:val="right" w:leader="dot" w:pos="9350"/>
            </w:tabs>
            <w:rPr>
              <w:noProof/>
            </w:rPr>
          </w:pPr>
          <w:hyperlink w:anchor="_Toc518823235" w:history="1">
            <w:r w:rsidRPr="001B3FB7">
              <w:rPr>
                <w:rStyle w:val="Hyperlink"/>
                <w:noProof/>
              </w:rPr>
              <w:t>2.4.2. Polyester and unsaturated polyester</w:t>
            </w:r>
            <w:r w:rsidRPr="001B3FB7">
              <w:rPr>
                <w:noProof/>
                <w:webHidden/>
              </w:rPr>
              <w:tab/>
            </w:r>
            <w:r w:rsidRPr="001B3FB7">
              <w:rPr>
                <w:noProof/>
                <w:webHidden/>
              </w:rPr>
              <w:fldChar w:fldCharType="begin"/>
            </w:r>
            <w:r w:rsidRPr="001B3FB7">
              <w:rPr>
                <w:noProof/>
                <w:webHidden/>
              </w:rPr>
              <w:instrText xml:space="preserve"> PAGEREF _Toc518823235 \h </w:instrText>
            </w:r>
            <w:r w:rsidRPr="001B3FB7">
              <w:rPr>
                <w:noProof/>
                <w:webHidden/>
              </w:rPr>
            </w:r>
            <w:r w:rsidRPr="001B3FB7">
              <w:rPr>
                <w:noProof/>
                <w:webHidden/>
              </w:rPr>
              <w:fldChar w:fldCharType="separate"/>
            </w:r>
            <w:r w:rsidRPr="001B3FB7">
              <w:rPr>
                <w:noProof/>
                <w:webHidden/>
              </w:rPr>
              <w:t>19</w:t>
            </w:r>
            <w:r w:rsidRPr="001B3FB7">
              <w:rPr>
                <w:noProof/>
                <w:webHidden/>
              </w:rPr>
              <w:fldChar w:fldCharType="end"/>
            </w:r>
          </w:hyperlink>
        </w:p>
        <w:p w14:paraId="26830F87" w14:textId="6D281950" w:rsidR="001B3FB7" w:rsidRPr="001B3FB7" w:rsidRDefault="001B3FB7">
          <w:pPr>
            <w:pStyle w:val="TOC1"/>
            <w:rPr>
              <w:noProof/>
            </w:rPr>
          </w:pPr>
          <w:hyperlink w:anchor="_Toc518823236" w:history="1">
            <w:r w:rsidRPr="001B3FB7">
              <w:rPr>
                <w:rStyle w:val="Hyperlink"/>
                <w:noProof/>
              </w:rPr>
              <w:t>2.5. Polymer/graphene nanocomposites</w:t>
            </w:r>
            <w:r w:rsidRPr="001B3FB7">
              <w:rPr>
                <w:noProof/>
                <w:webHidden/>
              </w:rPr>
              <w:tab/>
            </w:r>
            <w:r w:rsidRPr="001B3FB7">
              <w:rPr>
                <w:noProof/>
                <w:webHidden/>
              </w:rPr>
              <w:fldChar w:fldCharType="begin"/>
            </w:r>
            <w:r w:rsidRPr="001B3FB7">
              <w:rPr>
                <w:noProof/>
                <w:webHidden/>
              </w:rPr>
              <w:instrText xml:space="preserve"> PAGEREF _Toc518823236 \h </w:instrText>
            </w:r>
            <w:r w:rsidRPr="001B3FB7">
              <w:rPr>
                <w:noProof/>
                <w:webHidden/>
              </w:rPr>
            </w:r>
            <w:r w:rsidRPr="001B3FB7">
              <w:rPr>
                <w:noProof/>
                <w:webHidden/>
              </w:rPr>
              <w:fldChar w:fldCharType="separate"/>
            </w:r>
            <w:r w:rsidRPr="001B3FB7">
              <w:rPr>
                <w:noProof/>
                <w:webHidden/>
              </w:rPr>
              <w:t>21</w:t>
            </w:r>
            <w:r w:rsidRPr="001B3FB7">
              <w:rPr>
                <w:noProof/>
                <w:webHidden/>
              </w:rPr>
              <w:fldChar w:fldCharType="end"/>
            </w:r>
          </w:hyperlink>
        </w:p>
        <w:p w14:paraId="0CF76AAA" w14:textId="3FE08AAF" w:rsidR="001B3FB7" w:rsidRPr="001B3FB7" w:rsidRDefault="001B3FB7">
          <w:pPr>
            <w:pStyle w:val="TOC2"/>
            <w:tabs>
              <w:tab w:val="right" w:leader="dot" w:pos="9350"/>
            </w:tabs>
            <w:rPr>
              <w:noProof/>
            </w:rPr>
          </w:pPr>
          <w:hyperlink w:anchor="_Toc518823237" w:history="1">
            <w:r w:rsidRPr="001B3FB7">
              <w:rPr>
                <w:rStyle w:val="Hyperlink"/>
                <w:noProof/>
              </w:rPr>
              <w:t>2.5.1. Preparation of polymer/graphene nanocomposites</w:t>
            </w:r>
            <w:r w:rsidRPr="001B3FB7">
              <w:rPr>
                <w:noProof/>
                <w:webHidden/>
              </w:rPr>
              <w:tab/>
            </w:r>
            <w:r w:rsidRPr="001B3FB7">
              <w:rPr>
                <w:noProof/>
                <w:webHidden/>
              </w:rPr>
              <w:fldChar w:fldCharType="begin"/>
            </w:r>
            <w:r w:rsidRPr="001B3FB7">
              <w:rPr>
                <w:noProof/>
                <w:webHidden/>
              </w:rPr>
              <w:instrText xml:space="preserve"> PAGEREF _Toc518823237 \h </w:instrText>
            </w:r>
            <w:r w:rsidRPr="001B3FB7">
              <w:rPr>
                <w:noProof/>
                <w:webHidden/>
              </w:rPr>
            </w:r>
            <w:r w:rsidRPr="001B3FB7">
              <w:rPr>
                <w:noProof/>
                <w:webHidden/>
              </w:rPr>
              <w:fldChar w:fldCharType="separate"/>
            </w:r>
            <w:r w:rsidRPr="001B3FB7">
              <w:rPr>
                <w:noProof/>
                <w:webHidden/>
              </w:rPr>
              <w:t>22</w:t>
            </w:r>
            <w:r w:rsidRPr="001B3FB7">
              <w:rPr>
                <w:noProof/>
                <w:webHidden/>
              </w:rPr>
              <w:fldChar w:fldCharType="end"/>
            </w:r>
          </w:hyperlink>
        </w:p>
        <w:p w14:paraId="0AC3AD37" w14:textId="7251D4CA" w:rsidR="001B3FB7" w:rsidRPr="001B3FB7" w:rsidRDefault="001B3FB7">
          <w:pPr>
            <w:pStyle w:val="TOC2"/>
            <w:tabs>
              <w:tab w:val="right" w:leader="dot" w:pos="9350"/>
            </w:tabs>
            <w:rPr>
              <w:noProof/>
            </w:rPr>
          </w:pPr>
          <w:hyperlink w:anchor="_Toc518823238" w:history="1">
            <w:r w:rsidRPr="001B3FB7">
              <w:rPr>
                <w:rStyle w:val="Hyperlink"/>
                <w:noProof/>
              </w:rPr>
              <w:t>2.5.2. Properties of polymer/graphene nanocomposites</w:t>
            </w:r>
            <w:r w:rsidRPr="001B3FB7">
              <w:rPr>
                <w:noProof/>
                <w:webHidden/>
              </w:rPr>
              <w:tab/>
            </w:r>
            <w:r w:rsidRPr="001B3FB7">
              <w:rPr>
                <w:noProof/>
                <w:webHidden/>
              </w:rPr>
              <w:fldChar w:fldCharType="begin"/>
            </w:r>
            <w:r w:rsidRPr="001B3FB7">
              <w:rPr>
                <w:noProof/>
                <w:webHidden/>
              </w:rPr>
              <w:instrText xml:space="preserve"> PAGEREF _Toc518823238 \h </w:instrText>
            </w:r>
            <w:r w:rsidRPr="001B3FB7">
              <w:rPr>
                <w:noProof/>
                <w:webHidden/>
              </w:rPr>
            </w:r>
            <w:r w:rsidRPr="001B3FB7">
              <w:rPr>
                <w:noProof/>
                <w:webHidden/>
              </w:rPr>
              <w:fldChar w:fldCharType="separate"/>
            </w:r>
            <w:r w:rsidRPr="001B3FB7">
              <w:rPr>
                <w:noProof/>
                <w:webHidden/>
              </w:rPr>
              <w:t>23</w:t>
            </w:r>
            <w:r w:rsidRPr="001B3FB7">
              <w:rPr>
                <w:noProof/>
                <w:webHidden/>
              </w:rPr>
              <w:fldChar w:fldCharType="end"/>
            </w:r>
          </w:hyperlink>
        </w:p>
        <w:p w14:paraId="0FD8C5F7" w14:textId="23D151BB" w:rsidR="001B3FB7" w:rsidRPr="001B3FB7" w:rsidRDefault="001B3FB7">
          <w:pPr>
            <w:pStyle w:val="TOC3"/>
            <w:tabs>
              <w:tab w:val="right" w:leader="dot" w:pos="9350"/>
            </w:tabs>
            <w:rPr>
              <w:noProof/>
              <w:lang w:val="en-GB"/>
            </w:rPr>
          </w:pPr>
          <w:hyperlink w:anchor="_Toc518823239" w:history="1">
            <w:r w:rsidRPr="001B3FB7">
              <w:rPr>
                <w:rStyle w:val="Hyperlink"/>
                <w:noProof/>
              </w:rPr>
              <w:t>2.5.2.1. Reinforcement and mechanical properties</w:t>
            </w:r>
            <w:r w:rsidRPr="001B3FB7">
              <w:rPr>
                <w:noProof/>
                <w:webHidden/>
              </w:rPr>
              <w:tab/>
            </w:r>
            <w:r w:rsidRPr="001B3FB7">
              <w:rPr>
                <w:noProof/>
                <w:webHidden/>
              </w:rPr>
              <w:fldChar w:fldCharType="begin"/>
            </w:r>
            <w:r w:rsidRPr="001B3FB7">
              <w:rPr>
                <w:noProof/>
                <w:webHidden/>
              </w:rPr>
              <w:instrText xml:space="preserve"> PAGEREF _Toc518823239 \h </w:instrText>
            </w:r>
            <w:r w:rsidRPr="001B3FB7">
              <w:rPr>
                <w:noProof/>
                <w:webHidden/>
              </w:rPr>
            </w:r>
            <w:r w:rsidRPr="001B3FB7">
              <w:rPr>
                <w:noProof/>
                <w:webHidden/>
              </w:rPr>
              <w:fldChar w:fldCharType="separate"/>
            </w:r>
            <w:r w:rsidRPr="001B3FB7">
              <w:rPr>
                <w:noProof/>
                <w:webHidden/>
              </w:rPr>
              <w:t>23</w:t>
            </w:r>
            <w:r w:rsidRPr="001B3FB7">
              <w:rPr>
                <w:noProof/>
                <w:webHidden/>
              </w:rPr>
              <w:fldChar w:fldCharType="end"/>
            </w:r>
          </w:hyperlink>
        </w:p>
        <w:p w14:paraId="0A2F43F0" w14:textId="47726050" w:rsidR="001B3FB7" w:rsidRPr="001B3FB7" w:rsidRDefault="001B3FB7">
          <w:pPr>
            <w:pStyle w:val="TOC3"/>
            <w:tabs>
              <w:tab w:val="right" w:leader="dot" w:pos="9350"/>
            </w:tabs>
            <w:rPr>
              <w:noProof/>
              <w:lang w:val="en-GB"/>
            </w:rPr>
          </w:pPr>
          <w:hyperlink w:anchor="_Toc518823240" w:history="1">
            <w:r w:rsidRPr="001B3FB7">
              <w:rPr>
                <w:rStyle w:val="Hyperlink"/>
                <w:noProof/>
              </w:rPr>
              <w:t>2.5.2.2. Thermal properties</w:t>
            </w:r>
            <w:r w:rsidRPr="001B3FB7">
              <w:rPr>
                <w:noProof/>
                <w:webHidden/>
              </w:rPr>
              <w:tab/>
            </w:r>
            <w:r w:rsidRPr="001B3FB7">
              <w:rPr>
                <w:noProof/>
                <w:webHidden/>
              </w:rPr>
              <w:fldChar w:fldCharType="begin"/>
            </w:r>
            <w:r w:rsidRPr="001B3FB7">
              <w:rPr>
                <w:noProof/>
                <w:webHidden/>
              </w:rPr>
              <w:instrText xml:space="preserve"> PAGEREF _Toc518823240 \h </w:instrText>
            </w:r>
            <w:r w:rsidRPr="001B3FB7">
              <w:rPr>
                <w:noProof/>
                <w:webHidden/>
              </w:rPr>
            </w:r>
            <w:r w:rsidRPr="001B3FB7">
              <w:rPr>
                <w:noProof/>
                <w:webHidden/>
              </w:rPr>
              <w:fldChar w:fldCharType="separate"/>
            </w:r>
            <w:r w:rsidRPr="001B3FB7">
              <w:rPr>
                <w:noProof/>
                <w:webHidden/>
              </w:rPr>
              <w:t>27</w:t>
            </w:r>
            <w:r w:rsidRPr="001B3FB7">
              <w:rPr>
                <w:noProof/>
                <w:webHidden/>
              </w:rPr>
              <w:fldChar w:fldCharType="end"/>
            </w:r>
          </w:hyperlink>
        </w:p>
        <w:p w14:paraId="524E124C" w14:textId="0FD254BA" w:rsidR="001B3FB7" w:rsidRPr="001B3FB7" w:rsidRDefault="001B3FB7">
          <w:pPr>
            <w:pStyle w:val="TOC3"/>
            <w:tabs>
              <w:tab w:val="right" w:leader="dot" w:pos="9350"/>
            </w:tabs>
            <w:rPr>
              <w:noProof/>
              <w:lang w:val="en-GB"/>
            </w:rPr>
          </w:pPr>
          <w:hyperlink w:anchor="_Toc518823241" w:history="1">
            <w:r w:rsidRPr="001B3FB7">
              <w:rPr>
                <w:rStyle w:val="Hyperlink"/>
                <w:noProof/>
              </w:rPr>
              <w:t>2.5.2.3. Electrical conductivity</w:t>
            </w:r>
            <w:r w:rsidRPr="001B3FB7">
              <w:rPr>
                <w:noProof/>
                <w:webHidden/>
              </w:rPr>
              <w:tab/>
            </w:r>
            <w:r w:rsidRPr="001B3FB7">
              <w:rPr>
                <w:noProof/>
                <w:webHidden/>
              </w:rPr>
              <w:fldChar w:fldCharType="begin"/>
            </w:r>
            <w:r w:rsidRPr="001B3FB7">
              <w:rPr>
                <w:noProof/>
                <w:webHidden/>
              </w:rPr>
              <w:instrText xml:space="preserve"> PAGEREF _Toc518823241 \h </w:instrText>
            </w:r>
            <w:r w:rsidRPr="001B3FB7">
              <w:rPr>
                <w:noProof/>
                <w:webHidden/>
              </w:rPr>
            </w:r>
            <w:r w:rsidRPr="001B3FB7">
              <w:rPr>
                <w:noProof/>
                <w:webHidden/>
              </w:rPr>
              <w:fldChar w:fldCharType="separate"/>
            </w:r>
            <w:r w:rsidRPr="001B3FB7">
              <w:rPr>
                <w:noProof/>
                <w:webHidden/>
              </w:rPr>
              <w:t>29</w:t>
            </w:r>
            <w:r w:rsidRPr="001B3FB7">
              <w:rPr>
                <w:noProof/>
                <w:webHidden/>
              </w:rPr>
              <w:fldChar w:fldCharType="end"/>
            </w:r>
          </w:hyperlink>
        </w:p>
        <w:p w14:paraId="1820CBB9" w14:textId="061E314F" w:rsidR="001B3FB7" w:rsidRPr="001B3FB7" w:rsidRDefault="001B3FB7">
          <w:pPr>
            <w:pStyle w:val="TOC3"/>
            <w:tabs>
              <w:tab w:val="right" w:leader="dot" w:pos="9350"/>
            </w:tabs>
            <w:rPr>
              <w:noProof/>
              <w:lang w:val="en-GB"/>
            </w:rPr>
          </w:pPr>
          <w:hyperlink w:anchor="_Toc518823242" w:history="1">
            <w:r w:rsidRPr="001B3FB7">
              <w:rPr>
                <w:rStyle w:val="Hyperlink"/>
                <w:noProof/>
              </w:rPr>
              <w:t xml:space="preserve">2.5.2.4. Glass transition temperature </w:t>
            </w:r>
            <w:r w:rsidRPr="001B3FB7">
              <w:rPr>
                <w:rStyle w:val="Hyperlink"/>
                <w:rFonts w:cs="Times New Roman"/>
                <w:noProof/>
              </w:rPr>
              <w:t>(</w:t>
            </w:r>
            <w:r w:rsidRPr="001B3FB7">
              <w:rPr>
                <w:rStyle w:val="Hyperlink"/>
                <w:rFonts w:cs="Times New Roman"/>
                <w:i/>
                <w:noProof/>
              </w:rPr>
              <w:t>T</w:t>
            </w:r>
            <w:r w:rsidRPr="001B3FB7">
              <w:rPr>
                <w:rStyle w:val="Hyperlink"/>
                <w:rFonts w:cs="Times New Roman"/>
                <w:i/>
                <w:noProof/>
                <w:vertAlign w:val="subscript"/>
              </w:rPr>
              <w:t>g</w:t>
            </w:r>
            <w:r w:rsidRPr="001B3FB7">
              <w:rPr>
                <w:rStyle w:val="Hyperlink"/>
                <w:rFonts w:cs="Times New Roman"/>
                <w:noProof/>
              </w:rPr>
              <w:t>)</w:t>
            </w:r>
            <w:r w:rsidRPr="001B3FB7">
              <w:rPr>
                <w:noProof/>
                <w:webHidden/>
              </w:rPr>
              <w:tab/>
            </w:r>
            <w:r w:rsidRPr="001B3FB7">
              <w:rPr>
                <w:noProof/>
                <w:webHidden/>
              </w:rPr>
              <w:fldChar w:fldCharType="begin"/>
            </w:r>
            <w:r w:rsidRPr="001B3FB7">
              <w:rPr>
                <w:noProof/>
                <w:webHidden/>
              </w:rPr>
              <w:instrText xml:space="preserve"> PAGEREF _Toc518823242 \h </w:instrText>
            </w:r>
            <w:r w:rsidRPr="001B3FB7">
              <w:rPr>
                <w:noProof/>
                <w:webHidden/>
              </w:rPr>
            </w:r>
            <w:r w:rsidRPr="001B3FB7">
              <w:rPr>
                <w:noProof/>
                <w:webHidden/>
              </w:rPr>
              <w:fldChar w:fldCharType="separate"/>
            </w:r>
            <w:r w:rsidRPr="001B3FB7">
              <w:rPr>
                <w:noProof/>
                <w:webHidden/>
              </w:rPr>
              <w:t>31</w:t>
            </w:r>
            <w:r w:rsidRPr="001B3FB7">
              <w:rPr>
                <w:noProof/>
                <w:webHidden/>
              </w:rPr>
              <w:fldChar w:fldCharType="end"/>
            </w:r>
          </w:hyperlink>
        </w:p>
        <w:p w14:paraId="3D343114" w14:textId="7EC9A1A6" w:rsidR="001B3FB7" w:rsidRPr="001B3FB7" w:rsidRDefault="001B3FB7">
          <w:pPr>
            <w:pStyle w:val="TOC3"/>
            <w:tabs>
              <w:tab w:val="right" w:leader="dot" w:pos="9350"/>
            </w:tabs>
            <w:rPr>
              <w:noProof/>
              <w:lang w:val="en-GB"/>
            </w:rPr>
          </w:pPr>
          <w:hyperlink w:anchor="_Toc518823243" w:history="1">
            <w:r w:rsidRPr="001B3FB7">
              <w:rPr>
                <w:rStyle w:val="Hyperlink"/>
                <w:noProof/>
              </w:rPr>
              <w:t>2.5.2.5. Morphology of polymer/graphene nanocomposites</w:t>
            </w:r>
            <w:r w:rsidRPr="001B3FB7">
              <w:rPr>
                <w:noProof/>
                <w:webHidden/>
              </w:rPr>
              <w:tab/>
            </w:r>
            <w:r w:rsidRPr="001B3FB7">
              <w:rPr>
                <w:noProof/>
                <w:webHidden/>
              </w:rPr>
              <w:fldChar w:fldCharType="begin"/>
            </w:r>
            <w:r w:rsidRPr="001B3FB7">
              <w:rPr>
                <w:noProof/>
                <w:webHidden/>
              </w:rPr>
              <w:instrText xml:space="preserve"> PAGEREF _Toc518823243 \h </w:instrText>
            </w:r>
            <w:r w:rsidRPr="001B3FB7">
              <w:rPr>
                <w:noProof/>
                <w:webHidden/>
              </w:rPr>
            </w:r>
            <w:r w:rsidRPr="001B3FB7">
              <w:rPr>
                <w:noProof/>
                <w:webHidden/>
              </w:rPr>
              <w:fldChar w:fldCharType="separate"/>
            </w:r>
            <w:r w:rsidRPr="001B3FB7">
              <w:rPr>
                <w:noProof/>
                <w:webHidden/>
              </w:rPr>
              <w:t>31</w:t>
            </w:r>
            <w:r w:rsidRPr="001B3FB7">
              <w:rPr>
                <w:noProof/>
                <w:webHidden/>
              </w:rPr>
              <w:fldChar w:fldCharType="end"/>
            </w:r>
          </w:hyperlink>
        </w:p>
        <w:p w14:paraId="164BA0F0" w14:textId="2BDF6881" w:rsidR="001B3FB7" w:rsidRPr="001B3FB7" w:rsidRDefault="001B3FB7">
          <w:pPr>
            <w:pStyle w:val="TOC1"/>
            <w:rPr>
              <w:noProof/>
            </w:rPr>
          </w:pPr>
          <w:hyperlink w:anchor="_Toc518823244" w:history="1">
            <w:r w:rsidRPr="001B3FB7">
              <w:rPr>
                <w:rStyle w:val="Hyperlink"/>
                <w:noProof/>
              </w:rPr>
              <w:t>2.6. Bio-based hyperbranched polymer/graphene nanocomposites</w:t>
            </w:r>
            <w:r w:rsidRPr="001B3FB7">
              <w:rPr>
                <w:noProof/>
                <w:webHidden/>
              </w:rPr>
              <w:tab/>
            </w:r>
            <w:r w:rsidRPr="001B3FB7">
              <w:rPr>
                <w:noProof/>
                <w:webHidden/>
              </w:rPr>
              <w:fldChar w:fldCharType="begin"/>
            </w:r>
            <w:r w:rsidRPr="001B3FB7">
              <w:rPr>
                <w:noProof/>
                <w:webHidden/>
              </w:rPr>
              <w:instrText xml:space="preserve"> PAGEREF _Toc518823244 \h </w:instrText>
            </w:r>
            <w:r w:rsidRPr="001B3FB7">
              <w:rPr>
                <w:noProof/>
                <w:webHidden/>
              </w:rPr>
            </w:r>
            <w:r w:rsidRPr="001B3FB7">
              <w:rPr>
                <w:noProof/>
                <w:webHidden/>
              </w:rPr>
              <w:fldChar w:fldCharType="separate"/>
            </w:r>
            <w:r w:rsidRPr="001B3FB7">
              <w:rPr>
                <w:noProof/>
                <w:webHidden/>
              </w:rPr>
              <w:t>33</w:t>
            </w:r>
            <w:r w:rsidRPr="001B3FB7">
              <w:rPr>
                <w:noProof/>
                <w:webHidden/>
              </w:rPr>
              <w:fldChar w:fldCharType="end"/>
            </w:r>
          </w:hyperlink>
        </w:p>
        <w:p w14:paraId="6E69D467" w14:textId="3B107221" w:rsidR="001B3FB7" w:rsidRPr="001B3FB7" w:rsidRDefault="001B3FB7">
          <w:pPr>
            <w:pStyle w:val="TOC2"/>
            <w:tabs>
              <w:tab w:val="right" w:leader="dot" w:pos="9350"/>
            </w:tabs>
            <w:rPr>
              <w:noProof/>
            </w:rPr>
          </w:pPr>
          <w:hyperlink w:anchor="_Toc518823245" w:history="1">
            <w:r w:rsidRPr="001B3FB7">
              <w:rPr>
                <w:rStyle w:val="Hyperlink"/>
                <w:noProof/>
              </w:rPr>
              <w:t>2.6.1. Bio-based polymers</w:t>
            </w:r>
            <w:r w:rsidRPr="001B3FB7">
              <w:rPr>
                <w:noProof/>
                <w:webHidden/>
              </w:rPr>
              <w:tab/>
            </w:r>
            <w:r w:rsidRPr="001B3FB7">
              <w:rPr>
                <w:noProof/>
                <w:webHidden/>
              </w:rPr>
              <w:fldChar w:fldCharType="begin"/>
            </w:r>
            <w:r w:rsidRPr="001B3FB7">
              <w:rPr>
                <w:noProof/>
                <w:webHidden/>
              </w:rPr>
              <w:instrText xml:space="preserve"> PAGEREF _Toc518823245 \h </w:instrText>
            </w:r>
            <w:r w:rsidRPr="001B3FB7">
              <w:rPr>
                <w:noProof/>
                <w:webHidden/>
              </w:rPr>
            </w:r>
            <w:r w:rsidRPr="001B3FB7">
              <w:rPr>
                <w:noProof/>
                <w:webHidden/>
              </w:rPr>
              <w:fldChar w:fldCharType="separate"/>
            </w:r>
            <w:r w:rsidRPr="001B3FB7">
              <w:rPr>
                <w:noProof/>
                <w:webHidden/>
              </w:rPr>
              <w:t>33</w:t>
            </w:r>
            <w:r w:rsidRPr="001B3FB7">
              <w:rPr>
                <w:noProof/>
                <w:webHidden/>
              </w:rPr>
              <w:fldChar w:fldCharType="end"/>
            </w:r>
          </w:hyperlink>
        </w:p>
        <w:p w14:paraId="6D065C9D" w14:textId="2BD20202" w:rsidR="001B3FB7" w:rsidRPr="001B3FB7" w:rsidRDefault="001B3FB7">
          <w:pPr>
            <w:pStyle w:val="TOC2"/>
            <w:tabs>
              <w:tab w:val="right" w:leader="dot" w:pos="9350"/>
            </w:tabs>
            <w:rPr>
              <w:noProof/>
            </w:rPr>
          </w:pPr>
          <w:hyperlink w:anchor="_Toc518823246" w:history="1">
            <w:r w:rsidRPr="001B3FB7">
              <w:rPr>
                <w:rStyle w:val="Hyperlink"/>
                <w:noProof/>
              </w:rPr>
              <w:t>2.6.2. Hyperbranched polymers</w:t>
            </w:r>
            <w:r w:rsidRPr="001B3FB7">
              <w:rPr>
                <w:noProof/>
                <w:webHidden/>
              </w:rPr>
              <w:tab/>
            </w:r>
            <w:r w:rsidRPr="001B3FB7">
              <w:rPr>
                <w:noProof/>
                <w:webHidden/>
              </w:rPr>
              <w:fldChar w:fldCharType="begin"/>
            </w:r>
            <w:r w:rsidRPr="001B3FB7">
              <w:rPr>
                <w:noProof/>
                <w:webHidden/>
              </w:rPr>
              <w:instrText xml:space="preserve"> PAGEREF _Toc518823246 \h </w:instrText>
            </w:r>
            <w:r w:rsidRPr="001B3FB7">
              <w:rPr>
                <w:noProof/>
                <w:webHidden/>
              </w:rPr>
            </w:r>
            <w:r w:rsidRPr="001B3FB7">
              <w:rPr>
                <w:noProof/>
                <w:webHidden/>
              </w:rPr>
              <w:fldChar w:fldCharType="separate"/>
            </w:r>
            <w:r w:rsidRPr="001B3FB7">
              <w:rPr>
                <w:noProof/>
                <w:webHidden/>
              </w:rPr>
              <w:t>35</w:t>
            </w:r>
            <w:r w:rsidRPr="001B3FB7">
              <w:rPr>
                <w:noProof/>
                <w:webHidden/>
              </w:rPr>
              <w:fldChar w:fldCharType="end"/>
            </w:r>
          </w:hyperlink>
        </w:p>
        <w:p w14:paraId="281BF423" w14:textId="78BC6187" w:rsidR="001B3FB7" w:rsidRPr="001B3FB7" w:rsidRDefault="001B3FB7">
          <w:pPr>
            <w:pStyle w:val="TOC2"/>
            <w:tabs>
              <w:tab w:val="right" w:leader="dot" w:pos="9350"/>
            </w:tabs>
            <w:rPr>
              <w:noProof/>
            </w:rPr>
          </w:pPr>
          <w:hyperlink w:anchor="_Toc518823247" w:history="1">
            <w:r w:rsidRPr="001B3FB7">
              <w:rPr>
                <w:rStyle w:val="Hyperlink"/>
                <w:noProof/>
              </w:rPr>
              <w:t>2.6.3. Branching degree (DB)</w:t>
            </w:r>
            <w:r w:rsidRPr="001B3FB7">
              <w:rPr>
                <w:noProof/>
                <w:webHidden/>
              </w:rPr>
              <w:tab/>
            </w:r>
            <w:r w:rsidRPr="001B3FB7">
              <w:rPr>
                <w:noProof/>
                <w:webHidden/>
              </w:rPr>
              <w:fldChar w:fldCharType="begin"/>
            </w:r>
            <w:r w:rsidRPr="001B3FB7">
              <w:rPr>
                <w:noProof/>
                <w:webHidden/>
              </w:rPr>
              <w:instrText xml:space="preserve"> PAGEREF _Toc518823247 \h </w:instrText>
            </w:r>
            <w:r w:rsidRPr="001B3FB7">
              <w:rPr>
                <w:noProof/>
                <w:webHidden/>
              </w:rPr>
            </w:r>
            <w:r w:rsidRPr="001B3FB7">
              <w:rPr>
                <w:noProof/>
                <w:webHidden/>
              </w:rPr>
              <w:fldChar w:fldCharType="separate"/>
            </w:r>
            <w:r w:rsidRPr="001B3FB7">
              <w:rPr>
                <w:noProof/>
                <w:webHidden/>
              </w:rPr>
              <w:t>35</w:t>
            </w:r>
            <w:r w:rsidRPr="001B3FB7">
              <w:rPr>
                <w:noProof/>
                <w:webHidden/>
              </w:rPr>
              <w:fldChar w:fldCharType="end"/>
            </w:r>
          </w:hyperlink>
        </w:p>
        <w:p w14:paraId="5371BB5B" w14:textId="3C895534" w:rsidR="001B3FB7" w:rsidRPr="001B3FB7" w:rsidRDefault="001B3FB7">
          <w:pPr>
            <w:pStyle w:val="TOC2"/>
            <w:tabs>
              <w:tab w:val="right" w:leader="dot" w:pos="9350"/>
            </w:tabs>
            <w:rPr>
              <w:noProof/>
            </w:rPr>
          </w:pPr>
          <w:hyperlink w:anchor="_Toc518823248" w:history="1">
            <w:r w:rsidRPr="001B3FB7">
              <w:rPr>
                <w:rStyle w:val="Hyperlink"/>
                <w:noProof/>
              </w:rPr>
              <w:t>2.6.4. Hyperbranched polymer/graphene nanocomposites</w:t>
            </w:r>
            <w:r w:rsidRPr="001B3FB7">
              <w:rPr>
                <w:noProof/>
                <w:webHidden/>
              </w:rPr>
              <w:tab/>
            </w:r>
            <w:r w:rsidRPr="001B3FB7">
              <w:rPr>
                <w:noProof/>
                <w:webHidden/>
              </w:rPr>
              <w:fldChar w:fldCharType="begin"/>
            </w:r>
            <w:r w:rsidRPr="001B3FB7">
              <w:rPr>
                <w:noProof/>
                <w:webHidden/>
              </w:rPr>
              <w:instrText xml:space="preserve"> PAGEREF _Toc518823248 \h </w:instrText>
            </w:r>
            <w:r w:rsidRPr="001B3FB7">
              <w:rPr>
                <w:noProof/>
                <w:webHidden/>
              </w:rPr>
            </w:r>
            <w:r w:rsidRPr="001B3FB7">
              <w:rPr>
                <w:noProof/>
                <w:webHidden/>
              </w:rPr>
              <w:fldChar w:fldCharType="separate"/>
            </w:r>
            <w:r w:rsidRPr="001B3FB7">
              <w:rPr>
                <w:noProof/>
                <w:webHidden/>
              </w:rPr>
              <w:t>36</w:t>
            </w:r>
            <w:r w:rsidRPr="001B3FB7">
              <w:rPr>
                <w:noProof/>
                <w:webHidden/>
              </w:rPr>
              <w:fldChar w:fldCharType="end"/>
            </w:r>
          </w:hyperlink>
        </w:p>
        <w:p w14:paraId="4D2D6754" w14:textId="44B83B7C" w:rsidR="001B3FB7" w:rsidRPr="001B3FB7" w:rsidRDefault="001B3FB7">
          <w:pPr>
            <w:pStyle w:val="TOC3"/>
            <w:tabs>
              <w:tab w:val="right" w:leader="dot" w:pos="9350"/>
            </w:tabs>
            <w:rPr>
              <w:noProof/>
              <w:lang w:val="en-GB"/>
            </w:rPr>
          </w:pPr>
          <w:hyperlink w:anchor="_Toc518823249" w:history="1">
            <w:r w:rsidRPr="001B3FB7">
              <w:rPr>
                <w:rStyle w:val="Hyperlink"/>
                <w:noProof/>
              </w:rPr>
              <w:t>2.6.4.1 Preparation of hyperbranched polymer/graphene nanocomposites</w:t>
            </w:r>
            <w:r w:rsidRPr="001B3FB7">
              <w:rPr>
                <w:noProof/>
                <w:webHidden/>
              </w:rPr>
              <w:tab/>
            </w:r>
            <w:r w:rsidRPr="001B3FB7">
              <w:rPr>
                <w:noProof/>
                <w:webHidden/>
              </w:rPr>
              <w:fldChar w:fldCharType="begin"/>
            </w:r>
            <w:r w:rsidRPr="001B3FB7">
              <w:rPr>
                <w:noProof/>
                <w:webHidden/>
              </w:rPr>
              <w:instrText xml:space="preserve"> PAGEREF _Toc518823249 \h </w:instrText>
            </w:r>
            <w:r w:rsidRPr="001B3FB7">
              <w:rPr>
                <w:noProof/>
                <w:webHidden/>
              </w:rPr>
            </w:r>
            <w:r w:rsidRPr="001B3FB7">
              <w:rPr>
                <w:noProof/>
                <w:webHidden/>
              </w:rPr>
              <w:fldChar w:fldCharType="separate"/>
            </w:r>
            <w:r w:rsidRPr="001B3FB7">
              <w:rPr>
                <w:noProof/>
                <w:webHidden/>
              </w:rPr>
              <w:t>36</w:t>
            </w:r>
            <w:r w:rsidRPr="001B3FB7">
              <w:rPr>
                <w:noProof/>
                <w:webHidden/>
              </w:rPr>
              <w:fldChar w:fldCharType="end"/>
            </w:r>
          </w:hyperlink>
        </w:p>
        <w:p w14:paraId="61E1D01D" w14:textId="1777A556" w:rsidR="001B3FB7" w:rsidRPr="001B3FB7" w:rsidRDefault="001B3FB7">
          <w:pPr>
            <w:pStyle w:val="TOC3"/>
            <w:tabs>
              <w:tab w:val="right" w:leader="dot" w:pos="9350"/>
            </w:tabs>
            <w:rPr>
              <w:noProof/>
              <w:lang w:val="en-GB"/>
            </w:rPr>
          </w:pPr>
          <w:hyperlink w:anchor="_Toc518823250" w:history="1">
            <w:r w:rsidRPr="001B3FB7">
              <w:rPr>
                <w:rStyle w:val="Hyperlink"/>
                <w:noProof/>
              </w:rPr>
              <w:t>2.6.4.2 Properties of graphene based hyperbranched polymer nanocomposites</w:t>
            </w:r>
            <w:r w:rsidRPr="001B3FB7">
              <w:rPr>
                <w:noProof/>
                <w:webHidden/>
              </w:rPr>
              <w:tab/>
            </w:r>
            <w:r w:rsidRPr="001B3FB7">
              <w:rPr>
                <w:noProof/>
                <w:webHidden/>
              </w:rPr>
              <w:fldChar w:fldCharType="begin"/>
            </w:r>
            <w:r w:rsidRPr="001B3FB7">
              <w:rPr>
                <w:noProof/>
                <w:webHidden/>
              </w:rPr>
              <w:instrText xml:space="preserve"> PAGEREF _Toc518823250 \h </w:instrText>
            </w:r>
            <w:r w:rsidRPr="001B3FB7">
              <w:rPr>
                <w:noProof/>
                <w:webHidden/>
              </w:rPr>
            </w:r>
            <w:r w:rsidRPr="001B3FB7">
              <w:rPr>
                <w:noProof/>
                <w:webHidden/>
              </w:rPr>
              <w:fldChar w:fldCharType="separate"/>
            </w:r>
            <w:r w:rsidRPr="001B3FB7">
              <w:rPr>
                <w:noProof/>
                <w:webHidden/>
              </w:rPr>
              <w:t>37</w:t>
            </w:r>
            <w:r w:rsidRPr="001B3FB7">
              <w:rPr>
                <w:noProof/>
                <w:webHidden/>
              </w:rPr>
              <w:fldChar w:fldCharType="end"/>
            </w:r>
          </w:hyperlink>
        </w:p>
        <w:p w14:paraId="2EF9D721" w14:textId="32CE722D" w:rsidR="001B3FB7" w:rsidRPr="001B3FB7" w:rsidRDefault="001B3FB7">
          <w:pPr>
            <w:pStyle w:val="TOC1"/>
            <w:rPr>
              <w:noProof/>
            </w:rPr>
          </w:pPr>
          <w:hyperlink w:anchor="_Toc518823251" w:history="1">
            <w:r w:rsidRPr="001B3FB7">
              <w:rPr>
                <w:rStyle w:val="Hyperlink"/>
                <w:noProof/>
              </w:rPr>
              <w:t>2.7. Summary</w:t>
            </w:r>
            <w:r w:rsidRPr="001B3FB7">
              <w:rPr>
                <w:noProof/>
                <w:webHidden/>
              </w:rPr>
              <w:tab/>
            </w:r>
            <w:r w:rsidRPr="001B3FB7">
              <w:rPr>
                <w:noProof/>
                <w:webHidden/>
              </w:rPr>
              <w:fldChar w:fldCharType="begin"/>
            </w:r>
            <w:r w:rsidRPr="001B3FB7">
              <w:rPr>
                <w:noProof/>
                <w:webHidden/>
              </w:rPr>
              <w:instrText xml:space="preserve"> PAGEREF _Toc518823251 \h </w:instrText>
            </w:r>
            <w:r w:rsidRPr="001B3FB7">
              <w:rPr>
                <w:noProof/>
                <w:webHidden/>
              </w:rPr>
            </w:r>
            <w:r w:rsidRPr="001B3FB7">
              <w:rPr>
                <w:noProof/>
                <w:webHidden/>
              </w:rPr>
              <w:fldChar w:fldCharType="separate"/>
            </w:r>
            <w:r w:rsidRPr="001B3FB7">
              <w:rPr>
                <w:noProof/>
                <w:webHidden/>
              </w:rPr>
              <w:t>41</w:t>
            </w:r>
            <w:r w:rsidRPr="001B3FB7">
              <w:rPr>
                <w:noProof/>
                <w:webHidden/>
              </w:rPr>
              <w:fldChar w:fldCharType="end"/>
            </w:r>
          </w:hyperlink>
        </w:p>
        <w:p w14:paraId="41BEEAB9" w14:textId="6EA9B567" w:rsidR="001B3FB7" w:rsidRPr="001B3FB7" w:rsidRDefault="001B3FB7">
          <w:pPr>
            <w:pStyle w:val="TOC1"/>
            <w:rPr>
              <w:noProof/>
            </w:rPr>
          </w:pPr>
          <w:hyperlink w:anchor="_Toc518823252" w:history="1">
            <w:r w:rsidRPr="001B3FB7">
              <w:rPr>
                <w:rStyle w:val="Hyperlink"/>
                <w:noProof/>
              </w:rPr>
              <w:t>Chapter 3: The study of unsaturated polyester/graphene oxide composites</w:t>
            </w:r>
            <w:r w:rsidRPr="001B3FB7">
              <w:rPr>
                <w:noProof/>
                <w:webHidden/>
              </w:rPr>
              <w:tab/>
            </w:r>
            <w:r w:rsidRPr="001B3FB7">
              <w:rPr>
                <w:noProof/>
                <w:webHidden/>
              </w:rPr>
              <w:fldChar w:fldCharType="begin"/>
            </w:r>
            <w:r w:rsidRPr="001B3FB7">
              <w:rPr>
                <w:noProof/>
                <w:webHidden/>
              </w:rPr>
              <w:instrText xml:space="preserve"> PAGEREF _Toc518823252 \h </w:instrText>
            </w:r>
            <w:r w:rsidRPr="001B3FB7">
              <w:rPr>
                <w:noProof/>
                <w:webHidden/>
              </w:rPr>
            </w:r>
            <w:r w:rsidRPr="001B3FB7">
              <w:rPr>
                <w:noProof/>
                <w:webHidden/>
              </w:rPr>
              <w:fldChar w:fldCharType="separate"/>
            </w:r>
            <w:r w:rsidRPr="001B3FB7">
              <w:rPr>
                <w:noProof/>
                <w:webHidden/>
              </w:rPr>
              <w:t>43</w:t>
            </w:r>
            <w:r w:rsidRPr="001B3FB7">
              <w:rPr>
                <w:noProof/>
                <w:webHidden/>
              </w:rPr>
              <w:fldChar w:fldCharType="end"/>
            </w:r>
          </w:hyperlink>
        </w:p>
        <w:p w14:paraId="543F9DF6" w14:textId="0D8DD672" w:rsidR="001B3FB7" w:rsidRPr="001B3FB7" w:rsidRDefault="001B3FB7">
          <w:pPr>
            <w:pStyle w:val="TOC1"/>
            <w:rPr>
              <w:noProof/>
            </w:rPr>
          </w:pPr>
          <w:hyperlink w:anchor="_Toc518823253" w:history="1">
            <w:r w:rsidRPr="001B3FB7">
              <w:rPr>
                <w:rStyle w:val="Hyperlink"/>
                <w:rFonts w:ascii="Times New Roman" w:eastAsia="SimSun" w:hAnsi="Times New Roman" w:cs="Times New Roman"/>
                <w:bCs/>
                <w:noProof/>
              </w:rPr>
              <w:t>3.1. Introduction</w:t>
            </w:r>
            <w:r w:rsidRPr="001B3FB7">
              <w:rPr>
                <w:noProof/>
                <w:webHidden/>
              </w:rPr>
              <w:tab/>
            </w:r>
            <w:r w:rsidRPr="001B3FB7">
              <w:rPr>
                <w:noProof/>
                <w:webHidden/>
              </w:rPr>
              <w:fldChar w:fldCharType="begin"/>
            </w:r>
            <w:r w:rsidRPr="001B3FB7">
              <w:rPr>
                <w:noProof/>
                <w:webHidden/>
              </w:rPr>
              <w:instrText xml:space="preserve"> PAGEREF _Toc518823253 \h </w:instrText>
            </w:r>
            <w:r w:rsidRPr="001B3FB7">
              <w:rPr>
                <w:noProof/>
                <w:webHidden/>
              </w:rPr>
            </w:r>
            <w:r w:rsidRPr="001B3FB7">
              <w:rPr>
                <w:noProof/>
                <w:webHidden/>
              </w:rPr>
              <w:fldChar w:fldCharType="separate"/>
            </w:r>
            <w:r w:rsidRPr="001B3FB7">
              <w:rPr>
                <w:noProof/>
                <w:webHidden/>
              </w:rPr>
              <w:t>43</w:t>
            </w:r>
            <w:r w:rsidRPr="001B3FB7">
              <w:rPr>
                <w:noProof/>
                <w:webHidden/>
              </w:rPr>
              <w:fldChar w:fldCharType="end"/>
            </w:r>
          </w:hyperlink>
        </w:p>
        <w:p w14:paraId="279BCFA5" w14:textId="0016CE03" w:rsidR="001B3FB7" w:rsidRPr="001B3FB7" w:rsidRDefault="001B3FB7">
          <w:pPr>
            <w:pStyle w:val="TOC1"/>
            <w:rPr>
              <w:noProof/>
            </w:rPr>
          </w:pPr>
          <w:hyperlink w:anchor="_Toc518823254" w:history="1">
            <w:r w:rsidRPr="001B3FB7">
              <w:rPr>
                <w:rStyle w:val="Hyperlink"/>
                <w:rFonts w:ascii="Times New Roman" w:eastAsia="SimSun" w:hAnsi="Times New Roman" w:cs="Times New Roman"/>
                <w:bCs/>
                <w:noProof/>
              </w:rPr>
              <w:t>3.2. Experimental section</w:t>
            </w:r>
            <w:r w:rsidRPr="001B3FB7">
              <w:rPr>
                <w:noProof/>
                <w:webHidden/>
              </w:rPr>
              <w:tab/>
            </w:r>
            <w:r w:rsidRPr="001B3FB7">
              <w:rPr>
                <w:noProof/>
                <w:webHidden/>
              </w:rPr>
              <w:fldChar w:fldCharType="begin"/>
            </w:r>
            <w:r w:rsidRPr="001B3FB7">
              <w:rPr>
                <w:noProof/>
                <w:webHidden/>
              </w:rPr>
              <w:instrText xml:space="preserve"> PAGEREF _Toc518823254 \h </w:instrText>
            </w:r>
            <w:r w:rsidRPr="001B3FB7">
              <w:rPr>
                <w:noProof/>
                <w:webHidden/>
              </w:rPr>
            </w:r>
            <w:r w:rsidRPr="001B3FB7">
              <w:rPr>
                <w:noProof/>
                <w:webHidden/>
              </w:rPr>
              <w:fldChar w:fldCharType="separate"/>
            </w:r>
            <w:r w:rsidRPr="001B3FB7">
              <w:rPr>
                <w:noProof/>
                <w:webHidden/>
              </w:rPr>
              <w:t>45</w:t>
            </w:r>
            <w:r w:rsidRPr="001B3FB7">
              <w:rPr>
                <w:noProof/>
                <w:webHidden/>
              </w:rPr>
              <w:fldChar w:fldCharType="end"/>
            </w:r>
          </w:hyperlink>
        </w:p>
        <w:p w14:paraId="1F79A849" w14:textId="163A944C" w:rsidR="001B3FB7" w:rsidRPr="001B3FB7" w:rsidRDefault="001B3FB7">
          <w:pPr>
            <w:pStyle w:val="TOC2"/>
            <w:tabs>
              <w:tab w:val="right" w:leader="dot" w:pos="9350"/>
            </w:tabs>
            <w:rPr>
              <w:noProof/>
            </w:rPr>
          </w:pPr>
          <w:hyperlink w:anchor="_Toc518823255" w:history="1">
            <w:r w:rsidRPr="001B3FB7">
              <w:rPr>
                <w:rStyle w:val="Hyperlink"/>
                <w:rFonts w:ascii="Times New Roman" w:eastAsia="SimSun" w:hAnsi="Times New Roman" w:cs="Times New Roman"/>
                <w:bCs/>
                <w:noProof/>
              </w:rPr>
              <w:t>3.2.1. Materials</w:t>
            </w:r>
            <w:r w:rsidRPr="001B3FB7">
              <w:rPr>
                <w:noProof/>
                <w:webHidden/>
              </w:rPr>
              <w:tab/>
            </w:r>
            <w:r w:rsidRPr="001B3FB7">
              <w:rPr>
                <w:noProof/>
                <w:webHidden/>
              </w:rPr>
              <w:fldChar w:fldCharType="begin"/>
            </w:r>
            <w:r w:rsidRPr="001B3FB7">
              <w:rPr>
                <w:noProof/>
                <w:webHidden/>
              </w:rPr>
              <w:instrText xml:space="preserve"> PAGEREF _Toc518823255 \h </w:instrText>
            </w:r>
            <w:r w:rsidRPr="001B3FB7">
              <w:rPr>
                <w:noProof/>
                <w:webHidden/>
              </w:rPr>
            </w:r>
            <w:r w:rsidRPr="001B3FB7">
              <w:rPr>
                <w:noProof/>
                <w:webHidden/>
              </w:rPr>
              <w:fldChar w:fldCharType="separate"/>
            </w:r>
            <w:r w:rsidRPr="001B3FB7">
              <w:rPr>
                <w:noProof/>
                <w:webHidden/>
              </w:rPr>
              <w:t>45</w:t>
            </w:r>
            <w:r w:rsidRPr="001B3FB7">
              <w:rPr>
                <w:noProof/>
                <w:webHidden/>
              </w:rPr>
              <w:fldChar w:fldCharType="end"/>
            </w:r>
          </w:hyperlink>
        </w:p>
        <w:p w14:paraId="1939CCF7" w14:textId="0D924EF2" w:rsidR="001B3FB7" w:rsidRPr="001B3FB7" w:rsidRDefault="001B3FB7">
          <w:pPr>
            <w:pStyle w:val="TOC2"/>
            <w:tabs>
              <w:tab w:val="right" w:leader="dot" w:pos="9350"/>
            </w:tabs>
            <w:rPr>
              <w:noProof/>
            </w:rPr>
          </w:pPr>
          <w:hyperlink w:anchor="_Toc518823256" w:history="1">
            <w:r w:rsidRPr="001B3FB7">
              <w:rPr>
                <w:rStyle w:val="Hyperlink"/>
                <w:rFonts w:ascii="Times New Roman" w:eastAsia="SimSun" w:hAnsi="Times New Roman" w:cs="Times New Roman"/>
                <w:bCs/>
                <w:noProof/>
              </w:rPr>
              <w:t>3.2.2. Preparation of graphene oxide (GO)</w:t>
            </w:r>
            <w:r w:rsidRPr="001B3FB7">
              <w:rPr>
                <w:noProof/>
                <w:webHidden/>
              </w:rPr>
              <w:tab/>
            </w:r>
            <w:r w:rsidRPr="001B3FB7">
              <w:rPr>
                <w:noProof/>
                <w:webHidden/>
              </w:rPr>
              <w:fldChar w:fldCharType="begin"/>
            </w:r>
            <w:r w:rsidRPr="001B3FB7">
              <w:rPr>
                <w:noProof/>
                <w:webHidden/>
              </w:rPr>
              <w:instrText xml:space="preserve"> PAGEREF _Toc518823256 \h </w:instrText>
            </w:r>
            <w:r w:rsidRPr="001B3FB7">
              <w:rPr>
                <w:noProof/>
                <w:webHidden/>
              </w:rPr>
            </w:r>
            <w:r w:rsidRPr="001B3FB7">
              <w:rPr>
                <w:noProof/>
                <w:webHidden/>
              </w:rPr>
              <w:fldChar w:fldCharType="separate"/>
            </w:r>
            <w:r w:rsidRPr="001B3FB7">
              <w:rPr>
                <w:noProof/>
                <w:webHidden/>
              </w:rPr>
              <w:t>45</w:t>
            </w:r>
            <w:r w:rsidRPr="001B3FB7">
              <w:rPr>
                <w:noProof/>
                <w:webHidden/>
              </w:rPr>
              <w:fldChar w:fldCharType="end"/>
            </w:r>
          </w:hyperlink>
        </w:p>
        <w:p w14:paraId="5978EE67" w14:textId="1514F6E8" w:rsidR="001B3FB7" w:rsidRPr="001B3FB7" w:rsidRDefault="001B3FB7">
          <w:pPr>
            <w:pStyle w:val="TOC2"/>
            <w:tabs>
              <w:tab w:val="right" w:leader="dot" w:pos="9350"/>
            </w:tabs>
            <w:rPr>
              <w:noProof/>
            </w:rPr>
          </w:pPr>
          <w:hyperlink w:anchor="_Toc518823257" w:history="1">
            <w:r w:rsidRPr="001B3FB7">
              <w:rPr>
                <w:rStyle w:val="Hyperlink"/>
                <w:rFonts w:ascii="Times New Roman" w:eastAsia="SimSun" w:hAnsi="Times New Roman" w:cs="Times New Roman"/>
                <w:bCs/>
                <w:noProof/>
              </w:rPr>
              <w:t>3.2.3. Preparation of graphene oxide–based unsaturated polyester nanocomposites</w:t>
            </w:r>
            <w:r w:rsidRPr="001B3FB7">
              <w:rPr>
                <w:noProof/>
                <w:webHidden/>
              </w:rPr>
              <w:tab/>
            </w:r>
            <w:r w:rsidRPr="001B3FB7">
              <w:rPr>
                <w:noProof/>
                <w:webHidden/>
              </w:rPr>
              <w:fldChar w:fldCharType="begin"/>
            </w:r>
            <w:r w:rsidRPr="001B3FB7">
              <w:rPr>
                <w:noProof/>
                <w:webHidden/>
              </w:rPr>
              <w:instrText xml:space="preserve"> PAGEREF _Toc518823257 \h </w:instrText>
            </w:r>
            <w:r w:rsidRPr="001B3FB7">
              <w:rPr>
                <w:noProof/>
                <w:webHidden/>
              </w:rPr>
            </w:r>
            <w:r w:rsidRPr="001B3FB7">
              <w:rPr>
                <w:noProof/>
                <w:webHidden/>
              </w:rPr>
              <w:fldChar w:fldCharType="separate"/>
            </w:r>
            <w:r w:rsidRPr="001B3FB7">
              <w:rPr>
                <w:noProof/>
                <w:webHidden/>
              </w:rPr>
              <w:t>46</w:t>
            </w:r>
            <w:r w:rsidRPr="001B3FB7">
              <w:rPr>
                <w:noProof/>
                <w:webHidden/>
              </w:rPr>
              <w:fldChar w:fldCharType="end"/>
            </w:r>
          </w:hyperlink>
        </w:p>
        <w:p w14:paraId="0F5EDAFC" w14:textId="19D3F00A" w:rsidR="001B3FB7" w:rsidRPr="001B3FB7" w:rsidRDefault="001B3FB7">
          <w:pPr>
            <w:pStyle w:val="TOC2"/>
            <w:tabs>
              <w:tab w:val="right" w:leader="dot" w:pos="9350"/>
            </w:tabs>
            <w:rPr>
              <w:noProof/>
            </w:rPr>
          </w:pPr>
          <w:hyperlink w:anchor="_Toc518823258" w:history="1">
            <w:r w:rsidRPr="001B3FB7">
              <w:rPr>
                <w:rStyle w:val="Hyperlink"/>
                <w:rFonts w:ascii="Times New Roman" w:eastAsia="SimSun" w:hAnsi="Times New Roman" w:cs="Times New Roman"/>
                <w:bCs/>
                <w:noProof/>
              </w:rPr>
              <w:t>3.2.4. Preparation of GO–MEKP and GO–Cobalt hybrids</w:t>
            </w:r>
            <w:r w:rsidRPr="001B3FB7">
              <w:rPr>
                <w:noProof/>
                <w:webHidden/>
              </w:rPr>
              <w:tab/>
            </w:r>
            <w:r w:rsidRPr="001B3FB7">
              <w:rPr>
                <w:noProof/>
                <w:webHidden/>
              </w:rPr>
              <w:fldChar w:fldCharType="begin"/>
            </w:r>
            <w:r w:rsidRPr="001B3FB7">
              <w:rPr>
                <w:noProof/>
                <w:webHidden/>
              </w:rPr>
              <w:instrText xml:space="preserve"> PAGEREF _Toc518823258 \h </w:instrText>
            </w:r>
            <w:r w:rsidRPr="001B3FB7">
              <w:rPr>
                <w:noProof/>
                <w:webHidden/>
              </w:rPr>
            </w:r>
            <w:r w:rsidRPr="001B3FB7">
              <w:rPr>
                <w:noProof/>
                <w:webHidden/>
              </w:rPr>
              <w:fldChar w:fldCharType="separate"/>
            </w:r>
            <w:r w:rsidRPr="001B3FB7">
              <w:rPr>
                <w:noProof/>
                <w:webHidden/>
              </w:rPr>
              <w:t>46</w:t>
            </w:r>
            <w:r w:rsidRPr="001B3FB7">
              <w:rPr>
                <w:noProof/>
                <w:webHidden/>
              </w:rPr>
              <w:fldChar w:fldCharType="end"/>
            </w:r>
          </w:hyperlink>
        </w:p>
        <w:p w14:paraId="4503A8CC" w14:textId="305D9A2A" w:rsidR="001B3FB7" w:rsidRPr="001B3FB7" w:rsidRDefault="001B3FB7">
          <w:pPr>
            <w:pStyle w:val="TOC2"/>
            <w:tabs>
              <w:tab w:val="right" w:leader="dot" w:pos="9350"/>
            </w:tabs>
            <w:rPr>
              <w:noProof/>
            </w:rPr>
          </w:pPr>
          <w:hyperlink w:anchor="_Toc518823259" w:history="1">
            <w:r w:rsidRPr="001B3FB7">
              <w:rPr>
                <w:rStyle w:val="Hyperlink"/>
                <w:noProof/>
              </w:rPr>
              <w:t>3.2.5. Characterization</w:t>
            </w:r>
            <w:r w:rsidRPr="001B3FB7">
              <w:rPr>
                <w:noProof/>
                <w:webHidden/>
              </w:rPr>
              <w:tab/>
            </w:r>
            <w:r w:rsidRPr="001B3FB7">
              <w:rPr>
                <w:noProof/>
                <w:webHidden/>
              </w:rPr>
              <w:fldChar w:fldCharType="begin"/>
            </w:r>
            <w:r w:rsidRPr="001B3FB7">
              <w:rPr>
                <w:noProof/>
                <w:webHidden/>
              </w:rPr>
              <w:instrText xml:space="preserve"> PAGEREF _Toc518823259 \h </w:instrText>
            </w:r>
            <w:r w:rsidRPr="001B3FB7">
              <w:rPr>
                <w:noProof/>
                <w:webHidden/>
              </w:rPr>
            </w:r>
            <w:r w:rsidRPr="001B3FB7">
              <w:rPr>
                <w:noProof/>
                <w:webHidden/>
              </w:rPr>
              <w:fldChar w:fldCharType="separate"/>
            </w:r>
            <w:r w:rsidRPr="001B3FB7">
              <w:rPr>
                <w:noProof/>
                <w:webHidden/>
              </w:rPr>
              <w:t>46</w:t>
            </w:r>
            <w:r w:rsidRPr="001B3FB7">
              <w:rPr>
                <w:noProof/>
                <w:webHidden/>
              </w:rPr>
              <w:fldChar w:fldCharType="end"/>
            </w:r>
          </w:hyperlink>
        </w:p>
        <w:p w14:paraId="386F7D3E" w14:textId="102BB9FF" w:rsidR="001B3FB7" w:rsidRPr="001B3FB7" w:rsidRDefault="001B3FB7">
          <w:pPr>
            <w:pStyle w:val="TOC3"/>
            <w:tabs>
              <w:tab w:val="right" w:leader="dot" w:pos="9350"/>
            </w:tabs>
            <w:rPr>
              <w:noProof/>
              <w:lang w:val="en-GB"/>
            </w:rPr>
          </w:pPr>
          <w:hyperlink w:anchor="_Toc518823260" w:history="1">
            <w:r w:rsidRPr="001B3FB7">
              <w:rPr>
                <w:rStyle w:val="Hyperlink"/>
                <w:noProof/>
                <w:lang w:val="en-GB"/>
              </w:rPr>
              <w:t>3.2.5.1. Atomic force microscopy (AFM)</w:t>
            </w:r>
            <w:r w:rsidRPr="001B3FB7">
              <w:rPr>
                <w:noProof/>
                <w:webHidden/>
              </w:rPr>
              <w:tab/>
            </w:r>
            <w:r w:rsidRPr="001B3FB7">
              <w:rPr>
                <w:noProof/>
                <w:webHidden/>
              </w:rPr>
              <w:fldChar w:fldCharType="begin"/>
            </w:r>
            <w:r w:rsidRPr="001B3FB7">
              <w:rPr>
                <w:noProof/>
                <w:webHidden/>
              </w:rPr>
              <w:instrText xml:space="preserve"> PAGEREF _Toc518823260 \h </w:instrText>
            </w:r>
            <w:r w:rsidRPr="001B3FB7">
              <w:rPr>
                <w:noProof/>
                <w:webHidden/>
              </w:rPr>
            </w:r>
            <w:r w:rsidRPr="001B3FB7">
              <w:rPr>
                <w:noProof/>
                <w:webHidden/>
              </w:rPr>
              <w:fldChar w:fldCharType="separate"/>
            </w:r>
            <w:r w:rsidRPr="001B3FB7">
              <w:rPr>
                <w:noProof/>
                <w:webHidden/>
              </w:rPr>
              <w:t>46</w:t>
            </w:r>
            <w:r w:rsidRPr="001B3FB7">
              <w:rPr>
                <w:noProof/>
                <w:webHidden/>
              </w:rPr>
              <w:fldChar w:fldCharType="end"/>
            </w:r>
          </w:hyperlink>
        </w:p>
        <w:p w14:paraId="282472EA" w14:textId="55526C96" w:rsidR="001B3FB7" w:rsidRPr="001B3FB7" w:rsidRDefault="001B3FB7">
          <w:pPr>
            <w:pStyle w:val="TOC3"/>
            <w:tabs>
              <w:tab w:val="right" w:leader="dot" w:pos="9350"/>
            </w:tabs>
            <w:rPr>
              <w:noProof/>
              <w:lang w:val="en-GB"/>
            </w:rPr>
          </w:pPr>
          <w:hyperlink w:anchor="_Toc518823261" w:history="1">
            <w:r w:rsidRPr="001B3FB7">
              <w:rPr>
                <w:rStyle w:val="Hyperlink"/>
                <w:noProof/>
                <w:lang w:val="en-GB"/>
              </w:rPr>
              <w:t>3.2.5.2. Fourier transformed infrared spectroscopy (FTIR)</w:t>
            </w:r>
            <w:r w:rsidRPr="001B3FB7">
              <w:rPr>
                <w:noProof/>
                <w:webHidden/>
              </w:rPr>
              <w:tab/>
            </w:r>
            <w:r w:rsidRPr="001B3FB7">
              <w:rPr>
                <w:noProof/>
                <w:webHidden/>
              </w:rPr>
              <w:fldChar w:fldCharType="begin"/>
            </w:r>
            <w:r w:rsidRPr="001B3FB7">
              <w:rPr>
                <w:noProof/>
                <w:webHidden/>
              </w:rPr>
              <w:instrText xml:space="preserve"> PAGEREF _Toc518823261 \h </w:instrText>
            </w:r>
            <w:r w:rsidRPr="001B3FB7">
              <w:rPr>
                <w:noProof/>
                <w:webHidden/>
              </w:rPr>
            </w:r>
            <w:r w:rsidRPr="001B3FB7">
              <w:rPr>
                <w:noProof/>
                <w:webHidden/>
              </w:rPr>
              <w:fldChar w:fldCharType="separate"/>
            </w:r>
            <w:r w:rsidRPr="001B3FB7">
              <w:rPr>
                <w:noProof/>
                <w:webHidden/>
              </w:rPr>
              <w:t>47</w:t>
            </w:r>
            <w:r w:rsidRPr="001B3FB7">
              <w:rPr>
                <w:noProof/>
                <w:webHidden/>
              </w:rPr>
              <w:fldChar w:fldCharType="end"/>
            </w:r>
          </w:hyperlink>
        </w:p>
        <w:p w14:paraId="1959481D" w14:textId="234C600F" w:rsidR="001B3FB7" w:rsidRPr="001B3FB7" w:rsidRDefault="001B3FB7">
          <w:pPr>
            <w:pStyle w:val="TOC3"/>
            <w:tabs>
              <w:tab w:val="right" w:leader="dot" w:pos="9350"/>
            </w:tabs>
            <w:rPr>
              <w:noProof/>
              <w:lang w:val="en-GB"/>
            </w:rPr>
          </w:pPr>
          <w:hyperlink w:anchor="_Toc518823262" w:history="1">
            <w:r w:rsidRPr="001B3FB7">
              <w:rPr>
                <w:rStyle w:val="Hyperlink"/>
                <w:noProof/>
                <w:lang w:val="en-GB"/>
              </w:rPr>
              <w:t>3.2.5.3. Scanning electron microscopy (SEM)</w:t>
            </w:r>
            <w:r w:rsidRPr="001B3FB7">
              <w:rPr>
                <w:noProof/>
                <w:webHidden/>
              </w:rPr>
              <w:tab/>
            </w:r>
            <w:r w:rsidRPr="001B3FB7">
              <w:rPr>
                <w:noProof/>
                <w:webHidden/>
              </w:rPr>
              <w:fldChar w:fldCharType="begin"/>
            </w:r>
            <w:r w:rsidRPr="001B3FB7">
              <w:rPr>
                <w:noProof/>
                <w:webHidden/>
              </w:rPr>
              <w:instrText xml:space="preserve"> PAGEREF _Toc518823262 \h </w:instrText>
            </w:r>
            <w:r w:rsidRPr="001B3FB7">
              <w:rPr>
                <w:noProof/>
                <w:webHidden/>
              </w:rPr>
            </w:r>
            <w:r w:rsidRPr="001B3FB7">
              <w:rPr>
                <w:noProof/>
                <w:webHidden/>
              </w:rPr>
              <w:fldChar w:fldCharType="separate"/>
            </w:r>
            <w:r w:rsidRPr="001B3FB7">
              <w:rPr>
                <w:noProof/>
                <w:webHidden/>
              </w:rPr>
              <w:t>47</w:t>
            </w:r>
            <w:r w:rsidRPr="001B3FB7">
              <w:rPr>
                <w:noProof/>
                <w:webHidden/>
              </w:rPr>
              <w:fldChar w:fldCharType="end"/>
            </w:r>
          </w:hyperlink>
        </w:p>
        <w:p w14:paraId="1130307E" w14:textId="09E733EC" w:rsidR="001B3FB7" w:rsidRPr="001B3FB7" w:rsidRDefault="001B3FB7">
          <w:pPr>
            <w:pStyle w:val="TOC3"/>
            <w:tabs>
              <w:tab w:val="right" w:leader="dot" w:pos="9350"/>
            </w:tabs>
            <w:rPr>
              <w:noProof/>
              <w:lang w:val="en-GB"/>
            </w:rPr>
          </w:pPr>
          <w:hyperlink w:anchor="_Toc518823263" w:history="1">
            <w:r w:rsidRPr="001B3FB7">
              <w:rPr>
                <w:rStyle w:val="Hyperlink"/>
                <w:noProof/>
                <w:lang w:val="en-GB"/>
              </w:rPr>
              <w:t>3.2.5.4. Tensile and 3–point bending tests</w:t>
            </w:r>
            <w:r w:rsidRPr="001B3FB7">
              <w:rPr>
                <w:noProof/>
                <w:webHidden/>
              </w:rPr>
              <w:tab/>
            </w:r>
            <w:r w:rsidRPr="001B3FB7">
              <w:rPr>
                <w:noProof/>
                <w:webHidden/>
              </w:rPr>
              <w:fldChar w:fldCharType="begin"/>
            </w:r>
            <w:r w:rsidRPr="001B3FB7">
              <w:rPr>
                <w:noProof/>
                <w:webHidden/>
              </w:rPr>
              <w:instrText xml:space="preserve"> PAGEREF _Toc518823263 \h </w:instrText>
            </w:r>
            <w:r w:rsidRPr="001B3FB7">
              <w:rPr>
                <w:noProof/>
                <w:webHidden/>
              </w:rPr>
            </w:r>
            <w:r w:rsidRPr="001B3FB7">
              <w:rPr>
                <w:noProof/>
                <w:webHidden/>
              </w:rPr>
              <w:fldChar w:fldCharType="separate"/>
            </w:r>
            <w:r w:rsidRPr="001B3FB7">
              <w:rPr>
                <w:noProof/>
                <w:webHidden/>
              </w:rPr>
              <w:t>47</w:t>
            </w:r>
            <w:r w:rsidRPr="001B3FB7">
              <w:rPr>
                <w:noProof/>
                <w:webHidden/>
              </w:rPr>
              <w:fldChar w:fldCharType="end"/>
            </w:r>
          </w:hyperlink>
        </w:p>
        <w:p w14:paraId="00C10ED8" w14:textId="268E301F" w:rsidR="001B3FB7" w:rsidRPr="001B3FB7" w:rsidRDefault="001B3FB7">
          <w:pPr>
            <w:pStyle w:val="TOC3"/>
            <w:tabs>
              <w:tab w:val="right" w:leader="dot" w:pos="9350"/>
            </w:tabs>
            <w:rPr>
              <w:noProof/>
              <w:lang w:val="en-GB"/>
            </w:rPr>
          </w:pPr>
          <w:hyperlink w:anchor="_Toc518823264" w:history="1">
            <w:r w:rsidRPr="001B3FB7">
              <w:rPr>
                <w:rStyle w:val="Hyperlink"/>
                <w:noProof/>
                <w:lang w:val="en-GB"/>
              </w:rPr>
              <w:t>3.2.5.5. Dynamic mechanical analysis (DMA)</w:t>
            </w:r>
            <w:r w:rsidRPr="001B3FB7">
              <w:rPr>
                <w:noProof/>
                <w:webHidden/>
              </w:rPr>
              <w:tab/>
            </w:r>
            <w:r w:rsidRPr="001B3FB7">
              <w:rPr>
                <w:noProof/>
                <w:webHidden/>
              </w:rPr>
              <w:fldChar w:fldCharType="begin"/>
            </w:r>
            <w:r w:rsidRPr="001B3FB7">
              <w:rPr>
                <w:noProof/>
                <w:webHidden/>
              </w:rPr>
              <w:instrText xml:space="preserve"> PAGEREF _Toc518823264 \h </w:instrText>
            </w:r>
            <w:r w:rsidRPr="001B3FB7">
              <w:rPr>
                <w:noProof/>
                <w:webHidden/>
              </w:rPr>
            </w:r>
            <w:r w:rsidRPr="001B3FB7">
              <w:rPr>
                <w:noProof/>
                <w:webHidden/>
              </w:rPr>
              <w:fldChar w:fldCharType="separate"/>
            </w:r>
            <w:r w:rsidRPr="001B3FB7">
              <w:rPr>
                <w:noProof/>
                <w:webHidden/>
              </w:rPr>
              <w:t>47</w:t>
            </w:r>
            <w:r w:rsidRPr="001B3FB7">
              <w:rPr>
                <w:noProof/>
                <w:webHidden/>
              </w:rPr>
              <w:fldChar w:fldCharType="end"/>
            </w:r>
          </w:hyperlink>
        </w:p>
        <w:p w14:paraId="0963295F" w14:textId="1FC8FC6C" w:rsidR="001B3FB7" w:rsidRPr="001B3FB7" w:rsidRDefault="001B3FB7">
          <w:pPr>
            <w:pStyle w:val="TOC3"/>
            <w:tabs>
              <w:tab w:val="right" w:leader="dot" w:pos="9350"/>
            </w:tabs>
            <w:rPr>
              <w:noProof/>
              <w:lang w:val="en-GB"/>
            </w:rPr>
          </w:pPr>
          <w:hyperlink w:anchor="_Toc518823265" w:history="1">
            <w:r w:rsidRPr="001B3FB7">
              <w:rPr>
                <w:rStyle w:val="Hyperlink"/>
                <w:noProof/>
                <w:lang w:val="en-GB"/>
              </w:rPr>
              <w:t>3.2.5.6. Thermogravimetric analysis (TGA)</w:t>
            </w:r>
            <w:r w:rsidRPr="001B3FB7">
              <w:rPr>
                <w:noProof/>
                <w:webHidden/>
              </w:rPr>
              <w:tab/>
            </w:r>
            <w:r w:rsidRPr="001B3FB7">
              <w:rPr>
                <w:noProof/>
                <w:webHidden/>
              </w:rPr>
              <w:fldChar w:fldCharType="begin"/>
            </w:r>
            <w:r w:rsidRPr="001B3FB7">
              <w:rPr>
                <w:noProof/>
                <w:webHidden/>
              </w:rPr>
              <w:instrText xml:space="preserve"> PAGEREF _Toc518823265 \h </w:instrText>
            </w:r>
            <w:r w:rsidRPr="001B3FB7">
              <w:rPr>
                <w:noProof/>
                <w:webHidden/>
              </w:rPr>
            </w:r>
            <w:r w:rsidRPr="001B3FB7">
              <w:rPr>
                <w:noProof/>
                <w:webHidden/>
              </w:rPr>
              <w:fldChar w:fldCharType="separate"/>
            </w:r>
            <w:r w:rsidRPr="001B3FB7">
              <w:rPr>
                <w:noProof/>
                <w:webHidden/>
              </w:rPr>
              <w:t>48</w:t>
            </w:r>
            <w:r w:rsidRPr="001B3FB7">
              <w:rPr>
                <w:noProof/>
                <w:webHidden/>
              </w:rPr>
              <w:fldChar w:fldCharType="end"/>
            </w:r>
          </w:hyperlink>
        </w:p>
        <w:p w14:paraId="3C36DE21" w14:textId="5521B370" w:rsidR="001B3FB7" w:rsidRPr="001B3FB7" w:rsidRDefault="001B3FB7">
          <w:pPr>
            <w:pStyle w:val="TOC1"/>
            <w:rPr>
              <w:noProof/>
            </w:rPr>
          </w:pPr>
          <w:hyperlink w:anchor="_Toc518823266" w:history="1">
            <w:r w:rsidRPr="001B3FB7">
              <w:rPr>
                <w:rStyle w:val="Hyperlink"/>
                <w:rFonts w:ascii="Times New Roman" w:eastAsia="SimSun" w:hAnsi="Times New Roman" w:cs="Times New Roman"/>
                <w:bCs/>
                <w:noProof/>
              </w:rPr>
              <w:t>3.3. Results and discussion</w:t>
            </w:r>
            <w:r w:rsidRPr="001B3FB7">
              <w:rPr>
                <w:noProof/>
                <w:webHidden/>
              </w:rPr>
              <w:tab/>
            </w:r>
            <w:r w:rsidRPr="001B3FB7">
              <w:rPr>
                <w:noProof/>
                <w:webHidden/>
              </w:rPr>
              <w:fldChar w:fldCharType="begin"/>
            </w:r>
            <w:r w:rsidRPr="001B3FB7">
              <w:rPr>
                <w:noProof/>
                <w:webHidden/>
              </w:rPr>
              <w:instrText xml:space="preserve"> PAGEREF _Toc518823266 \h </w:instrText>
            </w:r>
            <w:r w:rsidRPr="001B3FB7">
              <w:rPr>
                <w:noProof/>
                <w:webHidden/>
              </w:rPr>
            </w:r>
            <w:r w:rsidRPr="001B3FB7">
              <w:rPr>
                <w:noProof/>
                <w:webHidden/>
              </w:rPr>
              <w:fldChar w:fldCharType="separate"/>
            </w:r>
            <w:r w:rsidRPr="001B3FB7">
              <w:rPr>
                <w:noProof/>
                <w:webHidden/>
              </w:rPr>
              <w:t>48</w:t>
            </w:r>
            <w:r w:rsidRPr="001B3FB7">
              <w:rPr>
                <w:noProof/>
                <w:webHidden/>
              </w:rPr>
              <w:fldChar w:fldCharType="end"/>
            </w:r>
          </w:hyperlink>
        </w:p>
        <w:p w14:paraId="1FF47B4F" w14:textId="112CEA01" w:rsidR="001B3FB7" w:rsidRPr="001B3FB7" w:rsidRDefault="001B3FB7">
          <w:pPr>
            <w:pStyle w:val="TOC2"/>
            <w:tabs>
              <w:tab w:val="right" w:leader="dot" w:pos="9350"/>
            </w:tabs>
            <w:rPr>
              <w:noProof/>
            </w:rPr>
          </w:pPr>
          <w:hyperlink w:anchor="_Toc518823267" w:history="1">
            <w:r w:rsidRPr="001B3FB7">
              <w:rPr>
                <w:rStyle w:val="Hyperlink"/>
                <w:rFonts w:ascii="Times New Roman" w:eastAsia="SimSun" w:hAnsi="Times New Roman" w:cs="Times New Roman"/>
                <w:bCs/>
                <w:noProof/>
              </w:rPr>
              <w:t>3.3.1. Characterization of GO</w:t>
            </w:r>
            <w:r w:rsidRPr="001B3FB7">
              <w:rPr>
                <w:noProof/>
                <w:webHidden/>
              </w:rPr>
              <w:tab/>
            </w:r>
            <w:r w:rsidRPr="001B3FB7">
              <w:rPr>
                <w:noProof/>
                <w:webHidden/>
              </w:rPr>
              <w:fldChar w:fldCharType="begin"/>
            </w:r>
            <w:r w:rsidRPr="001B3FB7">
              <w:rPr>
                <w:noProof/>
                <w:webHidden/>
              </w:rPr>
              <w:instrText xml:space="preserve"> PAGEREF _Toc518823267 \h </w:instrText>
            </w:r>
            <w:r w:rsidRPr="001B3FB7">
              <w:rPr>
                <w:noProof/>
                <w:webHidden/>
              </w:rPr>
            </w:r>
            <w:r w:rsidRPr="001B3FB7">
              <w:rPr>
                <w:noProof/>
                <w:webHidden/>
              </w:rPr>
              <w:fldChar w:fldCharType="separate"/>
            </w:r>
            <w:r w:rsidRPr="001B3FB7">
              <w:rPr>
                <w:noProof/>
                <w:webHidden/>
              </w:rPr>
              <w:t>48</w:t>
            </w:r>
            <w:r w:rsidRPr="001B3FB7">
              <w:rPr>
                <w:noProof/>
                <w:webHidden/>
              </w:rPr>
              <w:fldChar w:fldCharType="end"/>
            </w:r>
          </w:hyperlink>
        </w:p>
        <w:p w14:paraId="012B434B" w14:textId="7C25AF63" w:rsidR="001B3FB7" w:rsidRPr="001B3FB7" w:rsidRDefault="001B3FB7">
          <w:pPr>
            <w:pStyle w:val="TOC2"/>
            <w:tabs>
              <w:tab w:val="right" w:leader="dot" w:pos="9350"/>
            </w:tabs>
            <w:rPr>
              <w:noProof/>
            </w:rPr>
          </w:pPr>
          <w:hyperlink w:anchor="_Toc518823268" w:history="1">
            <w:r w:rsidRPr="001B3FB7">
              <w:rPr>
                <w:rStyle w:val="Hyperlink"/>
                <w:rFonts w:ascii="Times New Roman" w:eastAsia="SimSun" w:hAnsi="Times New Roman" w:cs="Times New Roman"/>
                <w:bCs/>
                <w:noProof/>
              </w:rPr>
              <w:t>3.3.2. Chemical structure of neat UPR, and UPR/GO nanocomposites with THF</w:t>
            </w:r>
            <w:r w:rsidRPr="001B3FB7">
              <w:rPr>
                <w:noProof/>
                <w:webHidden/>
              </w:rPr>
              <w:tab/>
            </w:r>
            <w:r w:rsidRPr="001B3FB7">
              <w:rPr>
                <w:noProof/>
                <w:webHidden/>
              </w:rPr>
              <w:fldChar w:fldCharType="begin"/>
            </w:r>
            <w:r w:rsidRPr="001B3FB7">
              <w:rPr>
                <w:noProof/>
                <w:webHidden/>
              </w:rPr>
              <w:instrText xml:space="preserve"> PAGEREF _Toc518823268 \h </w:instrText>
            </w:r>
            <w:r w:rsidRPr="001B3FB7">
              <w:rPr>
                <w:noProof/>
                <w:webHidden/>
              </w:rPr>
            </w:r>
            <w:r w:rsidRPr="001B3FB7">
              <w:rPr>
                <w:noProof/>
                <w:webHidden/>
              </w:rPr>
              <w:fldChar w:fldCharType="separate"/>
            </w:r>
            <w:r w:rsidRPr="001B3FB7">
              <w:rPr>
                <w:noProof/>
                <w:webHidden/>
              </w:rPr>
              <w:t>49</w:t>
            </w:r>
            <w:r w:rsidRPr="001B3FB7">
              <w:rPr>
                <w:noProof/>
                <w:webHidden/>
              </w:rPr>
              <w:fldChar w:fldCharType="end"/>
            </w:r>
          </w:hyperlink>
        </w:p>
        <w:p w14:paraId="73C1538F" w14:textId="6F813E24" w:rsidR="001B3FB7" w:rsidRPr="001B3FB7" w:rsidRDefault="001B3FB7">
          <w:pPr>
            <w:pStyle w:val="TOC3"/>
            <w:tabs>
              <w:tab w:val="right" w:leader="dot" w:pos="9350"/>
            </w:tabs>
            <w:rPr>
              <w:noProof/>
              <w:lang w:val="en-GB"/>
            </w:rPr>
          </w:pPr>
          <w:hyperlink w:anchor="_Toc518823269" w:history="1">
            <w:r w:rsidRPr="001B3FB7">
              <w:rPr>
                <w:rStyle w:val="Hyperlink"/>
                <w:rFonts w:ascii="Times New Roman" w:eastAsia="SimSun" w:hAnsi="Times New Roman" w:cs="Times New Roman"/>
                <w:bCs/>
                <w:noProof/>
                <w:lang w:val="en-GB"/>
              </w:rPr>
              <w:t>3.3.2.1 FTIR analysis of neat UPR with post cured and non-post cured</w:t>
            </w:r>
            <w:r w:rsidRPr="001B3FB7">
              <w:rPr>
                <w:noProof/>
                <w:webHidden/>
              </w:rPr>
              <w:tab/>
            </w:r>
            <w:r w:rsidRPr="001B3FB7">
              <w:rPr>
                <w:noProof/>
                <w:webHidden/>
              </w:rPr>
              <w:fldChar w:fldCharType="begin"/>
            </w:r>
            <w:r w:rsidRPr="001B3FB7">
              <w:rPr>
                <w:noProof/>
                <w:webHidden/>
              </w:rPr>
              <w:instrText xml:space="preserve"> PAGEREF _Toc518823269 \h </w:instrText>
            </w:r>
            <w:r w:rsidRPr="001B3FB7">
              <w:rPr>
                <w:noProof/>
                <w:webHidden/>
              </w:rPr>
            </w:r>
            <w:r w:rsidRPr="001B3FB7">
              <w:rPr>
                <w:noProof/>
                <w:webHidden/>
              </w:rPr>
              <w:fldChar w:fldCharType="separate"/>
            </w:r>
            <w:r w:rsidRPr="001B3FB7">
              <w:rPr>
                <w:noProof/>
                <w:webHidden/>
              </w:rPr>
              <w:t>49</w:t>
            </w:r>
            <w:r w:rsidRPr="001B3FB7">
              <w:rPr>
                <w:noProof/>
                <w:webHidden/>
              </w:rPr>
              <w:fldChar w:fldCharType="end"/>
            </w:r>
          </w:hyperlink>
        </w:p>
        <w:p w14:paraId="5AAF8172" w14:textId="51CEA078" w:rsidR="001B3FB7" w:rsidRPr="001B3FB7" w:rsidRDefault="001B3FB7">
          <w:pPr>
            <w:pStyle w:val="TOC3"/>
            <w:tabs>
              <w:tab w:val="right" w:leader="dot" w:pos="9350"/>
            </w:tabs>
            <w:rPr>
              <w:noProof/>
              <w:lang w:val="en-GB"/>
            </w:rPr>
          </w:pPr>
          <w:hyperlink w:anchor="_Toc518823270" w:history="1">
            <w:r w:rsidRPr="001B3FB7">
              <w:rPr>
                <w:rStyle w:val="Hyperlink"/>
                <w:rFonts w:ascii="Times New Roman" w:eastAsia="SimSun" w:hAnsi="Times New Roman" w:cs="Times New Roman"/>
                <w:bCs/>
                <w:noProof/>
                <w:lang w:val="en-GB"/>
              </w:rPr>
              <w:t>3.3.2.2 FTIR analysis of UPR, UPR-THF, and 0.1 wt.% UPR/GO composite with post cure</w:t>
            </w:r>
            <w:r w:rsidRPr="001B3FB7">
              <w:rPr>
                <w:noProof/>
                <w:webHidden/>
              </w:rPr>
              <w:tab/>
            </w:r>
            <w:r w:rsidRPr="001B3FB7">
              <w:rPr>
                <w:noProof/>
                <w:webHidden/>
              </w:rPr>
              <w:fldChar w:fldCharType="begin"/>
            </w:r>
            <w:r w:rsidRPr="001B3FB7">
              <w:rPr>
                <w:noProof/>
                <w:webHidden/>
              </w:rPr>
              <w:instrText xml:space="preserve"> PAGEREF _Toc518823270 \h </w:instrText>
            </w:r>
            <w:r w:rsidRPr="001B3FB7">
              <w:rPr>
                <w:noProof/>
                <w:webHidden/>
              </w:rPr>
            </w:r>
            <w:r w:rsidRPr="001B3FB7">
              <w:rPr>
                <w:noProof/>
                <w:webHidden/>
              </w:rPr>
              <w:fldChar w:fldCharType="separate"/>
            </w:r>
            <w:r w:rsidRPr="001B3FB7">
              <w:rPr>
                <w:noProof/>
                <w:webHidden/>
              </w:rPr>
              <w:t>50</w:t>
            </w:r>
            <w:r w:rsidRPr="001B3FB7">
              <w:rPr>
                <w:noProof/>
                <w:webHidden/>
              </w:rPr>
              <w:fldChar w:fldCharType="end"/>
            </w:r>
          </w:hyperlink>
        </w:p>
        <w:p w14:paraId="1A05D865" w14:textId="256711C8" w:rsidR="001B3FB7" w:rsidRPr="001B3FB7" w:rsidRDefault="001B3FB7">
          <w:pPr>
            <w:pStyle w:val="TOC2"/>
            <w:tabs>
              <w:tab w:val="right" w:leader="dot" w:pos="9350"/>
            </w:tabs>
            <w:rPr>
              <w:noProof/>
            </w:rPr>
          </w:pPr>
          <w:hyperlink w:anchor="_Toc518823271" w:history="1">
            <w:r w:rsidRPr="001B3FB7">
              <w:rPr>
                <w:rStyle w:val="Hyperlink"/>
                <w:rFonts w:ascii="Times New Roman" w:eastAsia="SimSun" w:hAnsi="Times New Roman" w:cs="Times New Roman"/>
                <w:bCs/>
                <w:noProof/>
              </w:rPr>
              <w:t>3.3.3. Morphology of UPR, and UPR/GO composites</w:t>
            </w:r>
            <w:r w:rsidRPr="001B3FB7">
              <w:rPr>
                <w:noProof/>
                <w:webHidden/>
              </w:rPr>
              <w:tab/>
            </w:r>
            <w:r w:rsidRPr="001B3FB7">
              <w:rPr>
                <w:noProof/>
                <w:webHidden/>
              </w:rPr>
              <w:fldChar w:fldCharType="begin"/>
            </w:r>
            <w:r w:rsidRPr="001B3FB7">
              <w:rPr>
                <w:noProof/>
                <w:webHidden/>
              </w:rPr>
              <w:instrText xml:space="preserve"> PAGEREF _Toc518823271 \h </w:instrText>
            </w:r>
            <w:r w:rsidRPr="001B3FB7">
              <w:rPr>
                <w:noProof/>
                <w:webHidden/>
              </w:rPr>
            </w:r>
            <w:r w:rsidRPr="001B3FB7">
              <w:rPr>
                <w:noProof/>
                <w:webHidden/>
              </w:rPr>
              <w:fldChar w:fldCharType="separate"/>
            </w:r>
            <w:r w:rsidRPr="001B3FB7">
              <w:rPr>
                <w:noProof/>
                <w:webHidden/>
              </w:rPr>
              <w:t>53</w:t>
            </w:r>
            <w:r w:rsidRPr="001B3FB7">
              <w:rPr>
                <w:noProof/>
                <w:webHidden/>
              </w:rPr>
              <w:fldChar w:fldCharType="end"/>
            </w:r>
          </w:hyperlink>
        </w:p>
        <w:p w14:paraId="6D4B5655" w14:textId="5FDE8B04" w:rsidR="001B3FB7" w:rsidRPr="001B3FB7" w:rsidRDefault="001B3FB7">
          <w:pPr>
            <w:pStyle w:val="TOC2"/>
            <w:tabs>
              <w:tab w:val="right" w:leader="dot" w:pos="9350"/>
            </w:tabs>
            <w:rPr>
              <w:noProof/>
            </w:rPr>
          </w:pPr>
          <w:hyperlink w:anchor="_Toc518823272" w:history="1">
            <w:r w:rsidRPr="001B3FB7">
              <w:rPr>
                <w:rStyle w:val="Hyperlink"/>
                <w:rFonts w:ascii="Times New Roman" w:eastAsia="SimSun" w:hAnsi="Times New Roman" w:cs="Times New Roman"/>
                <w:bCs/>
                <w:noProof/>
              </w:rPr>
              <w:t>3.3.4. Mechanical properties</w:t>
            </w:r>
            <w:r w:rsidRPr="001B3FB7">
              <w:rPr>
                <w:noProof/>
                <w:webHidden/>
              </w:rPr>
              <w:tab/>
            </w:r>
            <w:r w:rsidRPr="001B3FB7">
              <w:rPr>
                <w:noProof/>
                <w:webHidden/>
              </w:rPr>
              <w:fldChar w:fldCharType="begin"/>
            </w:r>
            <w:r w:rsidRPr="001B3FB7">
              <w:rPr>
                <w:noProof/>
                <w:webHidden/>
              </w:rPr>
              <w:instrText xml:space="preserve"> PAGEREF _Toc518823272 \h </w:instrText>
            </w:r>
            <w:r w:rsidRPr="001B3FB7">
              <w:rPr>
                <w:noProof/>
                <w:webHidden/>
              </w:rPr>
            </w:r>
            <w:r w:rsidRPr="001B3FB7">
              <w:rPr>
                <w:noProof/>
                <w:webHidden/>
              </w:rPr>
              <w:fldChar w:fldCharType="separate"/>
            </w:r>
            <w:r w:rsidRPr="001B3FB7">
              <w:rPr>
                <w:noProof/>
                <w:webHidden/>
              </w:rPr>
              <w:t>54</w:t>
            </w:r>
            <w:r w:rsidRPr="001B3FB7">
              <w:rPr>
                <w:noProof/>
                <w:webHidden/>
              </w:rPr>
              <w:fldChar w:fldCharType="end"/>
            </w:r>
          </w:hyperlink>
        </w:p>
        <w:p w14:paraId="7E3BEB31" w14:textId="6900C9DA" w:rsidR="001B3FB7" w:rsidRPr="001B3FB7" w:rsidRDefault="001B3FB7">
          <w:pPr>
            <w:pStyle w:val="TOC3"/>
            <w:tabs>
              <w:tab w:val="right" w:leader="dot" w:pos="9350"/>
            </w:tabs>
            <w:rPr>
              <w:noProof/>
              <w:lang w:val="en-GB"/>
            </w:rPr>
          </w:pPr>
          <w:hyperlink w:anchor="_Toc518823273" w:history="1">
            <w:r w:rsidRPr="001B3FB7">
              <w:rPr>
                <w:rStyle w:val="Hyperlink"/>
                <w:rFonts w:ascii="Times New Roman" w:eastAsia="SimSun" w:hAnsi="Times New Roman" w:cs="Times New Roman"/>
                <w:bCs/>
                <w:noProof/>
                <w:lang w:val="en-GB"/>
              </w:rPr>
              <w:t>3.3.4.1. Tensile properties of UPR, UPR/GO rectangular bars (prepared without THF, non-post cured)</w:t>
            </w:r>
            <w:r w:rsidRPr="001B3FB7">
              <w:rPr>
                <w:noProof/>
                <w:webHidden/>
              </w:rPr>
              <w:tab/>
            </w:r>
            <w:r w:rsidRPr="001B3FB7">
              <w:rPr>
                <w:noProof/>
                <w:webHidden/>
              </w:rPr>
              <w:fldChar w:fldCharType="begin"/>
            </w:r>
            <w:r w:rsidRPr="001B3FB7">
              <w:rPr>
                <w:noProof/>
                <w:webHidden/>
              </w:rPr>
              <w:instrText xml:space="preserve"> PAGEREF _Toc518823273 \h </w:instrText>
            </w:r>
            <w:r w:rsidRPr="001B3FB7">
              <w:rPr>
                <w:noProof/>
                <w:webHidden/>
              </w:rPr>
            </w:r>
            <w:r w:rsidRPr="001B3FB7">
              <w:rPr>
                <w:noProof/>
                <w:webHidden/>
              </w:rPr>
              <w:fldChar w:fldCharType="separate"/>
            </w:r>
            <w:r w:rsidRPr="001B3FB7">
              <w:rPr>
                <w:noProof/>
                <w:webHidden/>
              </w:rPr>
              <w:t>55</w:t>
            </w:r>
            <w:r w:rsidRPr="001B3FB7">
              <w:rPr>
                <w:noProof/>
                <w:webHidden/>
              </w:rPr>
              <w:fldChar w:fldCharType="end"/>
            </w:r>
          </w:hyperlink>
        </w:p>
        <w:p w14:paraId="5BBAC1CB" w14:textId="02E022F8" w:rsidR="001B3FB7" w:rsidRPr="001B3FB7" w:rsidRDefault="001B3FB7">
          <w:pPr>
            <w:pStyle w:val="TOC3"/>
            <w:tabs>
              <w:tab w:val="right" w:leader="dot" w:pos="9350"/>
            </w:tabs>
            <w:rPr>
              <w:noProof/>
              <w:lang w:val="en-GB"/>
            </w:rPr>
          </w:pPr>
          <w:hyperlink w:anchor="_Toc518823274" w:history="1">
            <w:r w:rsidRPr="001B3FB7">
              <w:rPr>
                <w:rStyle w:val="Hyperlink"/>
                <w:rFonts w:ascii="Times New Roman" w:eastAsia="SimSun" w:hAnsi="Times New Roman" w:cs="Times New Roman"/>
                <w:noProof/>
                <w:lang w:val="en-GB"/>
              </w:rPr>
              <w:t>3.3.4.2. Mechanical properties of UPR, UPR/GO rectangular bars (prepared without THF, post</w:t>
            </w:r>
            <w:r w:rsidRPr="001B3FB7">
              <w:rPr>
                <w:rStyle w:val="Hyperlink"/>
                <w:rFonts w:ascii="Times New Roman" w:eastAsia="SimSun" w:hAnsi="Times New Roman" w:cs="Times New Roman"/>
                <w:bCs/>
                <w:noProof/>
                <w:lang w:val="en-GB"/>
              </w:rPr>
              <w:t xml:space="preserve"> cured at 80 °C for 3 h)</w:t>
            </w:r>
            <w:r w:rsidRPr="001B3FB7">
              <w:rPr>
                <w:noProof/>
                <w:webHidden/>
              </w:rPr>
              <w:tab/>
            </w:r>
            <w:r w:rsidRPr="001B3FB7">
              <w:rPr>
                <w:noProof/>
                <w:webHidden/>
              </w:rPr>
              <w:fldChar w:fldCharType="begin"/>
            </w:r>
            <w:r w:rsidRPr="001B3FB7">
              <w:rPr>
                <w:noProof/>
                <w:webHidden/>
              </w:rPr>
              <w:instrText xml:space="preserve"> PAGEREF _Toc518823274 \h </w:instrText>
            </w:r>
            <w:r w:rsidRPr="001B3FB7">
              <w:rPr>
                <w:noProof/>
                <w:webHidden/>
              </w:rPr>
            </w:r>
            <w:r w:rsidRPr="001B3FB7">
              <w:rPr>
                <w:noProof/>
                <w:webHidden/>
              </w:rPr>
              <w:fldChar w:fldCharType="separate"/>
            </w:r>
            <w:r w:rsidRPr="001B3FB7">
              <w:rPr>
                <w:noProof/>
                <w:webHidden/>
              </w:rPr>
              <w:t>58</w:t>
            </w:r>
            <w:r w:rsidRPr="001B3FB7">
              <w:rPr>
                <w:noProof/>
                <w:webHidden/>
              </w:rPr>
              <w:fldChar w:fldCharType="end"/>
            </w:r>
          </w:hyperlink>
        </w:p>
        <w:p w14:paraId="26A9607D" w14:textId="02F7027A" w:rsidR="001B3FB7" w:rsidRPr="001B3FB7" w:rsidRDefault="001B3FB7">
          <w:pPr>
            <w:pStyle w:val="TOC2"/>
            <w:tabs>
              <w:tab w:val="right" w:leader="dot" w:pos="9350"/>
            </w:tabs>
            <w:rPr>
              <w:noProof/>
            </w:rPr>
          </w:pPr>
          <w:hyperlink w:anchor="_Toc518823275" w:history="1">
            <w:r w:rsidRPr="001B3FB7">
              <w:rPr>
                <w:rStyle w:val="Hyperlink"/>
                <w:rFonts w:ascii="Times New Roman" w:eastAsia="SimSun" w:hAnsi="Times New Roman" w:cs="Times New Roman"/>
                <w:bCs/>
                <w:noProof/>
              </w:rPr>
              <w:t>3.3.5. Dynamic mechanical properties of GO – UPR composites</w:t>
            </w:r>
            <w:r w:rsidRPr="001B3FB7">
              <w:rPr>
                <w:noProof/>
                <w:webHidden/>
              </w:rPr>
              <w:tab/>
            </w:r>
            <w:r w:rsidRPr="001B3FB7">
              <w:rPr>
                <w:noProof/>
                <w:webHidden/>
              </w:rPr>
              <w:fldChar w:fldCharType="begin"/>
            </w:r>
            <w:r w:rsidRPr="001B3FB7">
              <w:rPr>
                <w:noProof/>
                <w:webHidden/>
              </w:rPr>
              <w:instrText xml:space="preserve"> PAGEREF _Toc518823275 \h </w:instrText>
            </w:r>
            <w:r w:rsidRPr="001B3FB7">
              <w:rPr>
                <w:noProof/>
                <w:webHidden/>
              </w:rPr>
            </w:r>
            <w:r w:rsidRPr="001B3FB7">
              <w:rPr>
                <w:noProof/>
                <w:webHidden/>
              </w:rPr>
              <w:fldChar w:fldCharType="separate"/>
            </w:r>
            <w:r w:rsidRPr="001B3FB7">
              <w:rPr>
                <w:noProof/>
                <w:webHidden/>
              </w:rPr>
              <w:t>63</w:t>
            </w:r>
            <w:r w:rsidRPr="001B3FB7">
              <w:rPr>
                <w:noProof/>
                <w:webHidden/>
              </w:rPr>
              <w:fldChar w:fldCharType="end"/>
            </w:r>
          </w:hyperlink>
        </w:p>
        <w:p w14:paraId="4AE769C9" w14:textId="624F130C" w:rsidR="001B3FB7" w:rsidRPr="001B3FB7" w:rsidRDefault="001B3FB7">
          <w:pPr>
            <w:pStyle w:val="TOC2"/>
            <w:tabs>
              <w:tab w:val="right" w:leader="dot" w:pos="9350"/>
            </w:tabs>
            <w:rPr>
              <w:noProof/>
            </w:rPr>
          </w:pPr>
          <w:hyperlink w:anchor="_Toc518823276" w:history="1">
            <w:r w:rsidRPr="001B3FB7">
              <w:rPr>
                <w:rStyle w:val="Hyperlink"/>
                <w:rFonts w:ascii="Times New Roman" w:eastAsia="SimSun" w:hAnsi="Times New Roman" w:cs="Times New Roman"/>
                <w:bCs/>
                <w:noProof/>
              </w:rPr>
              <w:t>3.3.6. Thermal properties of UPR, and UPR/GO composites</w:t>
            </w:r>
            <w:r w:rsidRPr="001B3FB7">
              <w:rPr>
                <w:noProof/>
                <w:webHidden/>
              </w:rPr>
              <w:tab/>
            </w:r>
            <w:r w:rsidRPr="001B3FB7">
              <w:rPr>
                <w:noProof/>
                <w:webHidden/>
              </w:rPr>
              <w:fldChar w:fldCharType="begin"/>
            </w:r>
            <w:r w:rsidRPr="001B3FB7">
              <w:rPr>
                <w:noProof/>
                <w:webHidden/>
              </w:rPr>
              <w:instrText xml:space="preserve"> PAGEREF _Toc518823276 \h </w:instrText>
            </w:r>
            <w:r w:rsidRPr="001B3FB7">
              <w:rPr>
                <w:noProof/>
                <w:webHidden/>
              </w:rPr>
            </w:r>
            <w:r w:rsidRPr="001B3FB7">
              <w:rPr>
                <w:noProof/>
                <w:webHidden/>
              </w:rPr>
              <w:fldChar w:fldCharType="separate"/>
            </w:r>
            <w:r w:rsidRPr="001B3FB7">
              <w:rPr>
                <w:noProof/>
                <w:webHidden/>
              </w:rPr>
              <w:t>66</w:t>
            </w:r>
            <w:r w:rsidRPr="001B3FB7">
              <w:rPr>
                <w:noProof/>
                <w:webHidden/>
              </w:rPr>
              <w:fldChar w:fldCharType="end"/>
            </w:r>
          </w:hyperlink>
        </w:p>
        <w:p w14:paraId="2AD21DB6" w14:textId="58192C43" w:rsidR="001B3FB7" w:rsidRPr="001B3FB7" w:rsidRDefault="001B3FB7">
          <w:pPr>
            <w:pStyle w:val="TOC2"/>
            <w:tabs>
              <w:tab w:val="right" w:leader="dot" w:pos="9350"/>
            </w:tabs>
            <w:rPr>
              <w:noProof/>
            </w:rPr>
          </w:pPr>
          <w:hyperlink w:anchor="_Toc518823277" w:history="1">
            <w:r w:rsidRPr="001B3FB7">
              <w:rPr>
                <w:rStyle w:val="Hyperlink"/>
                <w:rFonts w:ascii="Times New Roman" w:eastAsia="SimSun" w:hAnsi="Times New Roman" w:cs="Times New Roman"/>
                <w:bCs/>
                <w:noProof/>
              </w:rPr>
              <w:t>3.3.7. The effect of GO on the curing process of UPR</w:t>
            </w:r>
            <w:r w:rsidRPr="001B3FB7">
              <w:rPr>
                <w:noProof/>
                <w:webHidden/>
              </w:rPr>
              <w:tab/>
            </w:r>
            <w:r w:rsidRPr="001B3FB7">
              <w:rPr>
                <w:noProof/>
                <w:webHidden/>
              </w:rPr>
              <w:fldChar w:fldCharType="begin"/>
            </w:r>
            <w:r w:rsidRPr="001B3FB7">
              <w:rPr>
                <w:noProof/>
                <w:webHidden/>
              </w:rPr>
              <w:instrText xml:space="preserve"> PAGEREF _Toc518823277 \h </w:instrText>
            </w:r>
            <w:r w:rsidRPr="001B3FB7">
              <w:rPr>
                <w:noProof/>
                <w:webHidden/>
              </w:rPr>
            </w:r>
            <w:r w:rsidRPr="001B3FB7">
              <w:rPr>
                <w:noProof/>
                <w:webHidden/>
              </w:rPr>
              <w:fldChar w:fldCharType="separate"/>
            </w:r>
            <w:r w:rsidRPr="001B3FB7">
              <w:rPr>
                <w:noProof/>
                <w:webHidden/>
              </w:rPr>
              <w:t>67</w:t>
            </w:r>
            <w:r w:rsidRPr="001B3FB7">
              <w:rPr>
                <w:noProof/>
                <w:webHidden/>
              </w:rPr>
              <w:fldChar w:fldCharType="end"/>
            </w:r>
          </w:hyperlink>
        </w:p>
        <w:p w14:paraId="59CA92DA" w14:textId="38F80322" w:rsidR="001B3FB7" w:rsidRDefault="001B3FB7">
          <w:pPr>
            <w:pStyle w:val="TOC1"/>
            <w:rPr>
              <w:noProof/>
            </w:rPr>
          </w:pPr>
          <w:hyperlink w:anchor="_Toc518823278" w:history="1">
            <w:r>
              <w:rPr>
                <w:rStyle w:val="Hyperlink"/>
                <w:rFonts w:ascii="Times New Roman" w:eastAsia="SimSun" w:hAnsi="Times New Roman" w:cs="Times New Roman"/>
                <w:bCs/>
                <w:noProof/>
              </w:rPr>
              <w:t>3</w:t>
            </w:r>
            <w:r w:rsidRPr="001B3FB7">
              <w:rPr>
                <w:rStyle w:val="Hyperlink"/>
                <w:rFonts w:ascii="Times New Roman" w:eastAsia="SimSun" w:hAnsi="Times New Roman" w:cs="Times New Roman"/>
                <w:bCs/>
                <w:noProof/>
              </w:rPr>
              <w:t>.4. Conclusion</w:t>
            </w:r>
            <w:r w:rsidRPr="001B3FB7">
              <w:rPr>
                <w:noProof/>
                <w:webHidden/>
              </w:rPr>
              <w:tab/>
            </w:r>
            <w:r w:rsidRPr="001B3FB7">
              <w:rPr>
                <w:noProof/>
                <w:webHidden/>
              </w:rPr>
              <w:fldChar w:fldCharType="begin"/>
            </w:r>
            <w:r w:rsidRPr="001B3FB7">
              <w:rPr>
                <w:noProof/>
                <w:webHidden/>
              </w:rPr>
              <w:instrText xml:space="preserve"> PAGEREF _Toc518823278 \h </w:instrText>
            </w:r>
            <w:r w:rsidRPr="001B3FB7">
              <w:rPr>
                <w:noProof/>
                <w:webHidden/>
              </w:rPr>
            </w:r>
            <w:r w:rsidRPr="001B3FB7">
              <w:rPr>
                <w:noProof/>
                <w:webHidden/>
              </w:rPr>
              <w:fldChar w:fldCharType="separate"/>
            </w:r>
            <w:r w:rsidRPr="001B3FB7">
              <w:rPr>
                <w:noProof/>
                <w:webHidden/>
              </w:rPr>
              <w:t>72</w:t>
            </w:r>
            <w:r w:rsidRPr="001B3FB7">
              <w:rPr>
                <w:noProof/>
                <w:webHidden/>
              </w:rPr>
              <w:fldChar w:fldCharType="end"/>
            </w:r>
          </w:hyperlink>
        </w:p>
        <w:p w14:paraId="4B7096D4" w14:textId="5CAD25DD" w:rsidR="001B3FB7" w:rsidRDefault="001B3FB7">
          <w:pPr>
            <w:pStyle w:val="TOC1"/>
            <w:rPr>
              <w:noProof/>
            </w:rPr>
          </w:pPr>
          <w:hyperlink w:anchor="_Toc518823279" w:history="1">
            <w:r w:rsidRPr="000E6979">
              <w:rPr>
                <w:rStyle w:val="Hyperlink"/>
                <w:noProof/>
              </w:rPr>
              <w:t>Chapter 4: Synthesis and characterization of unsaturated polyester composites incorporated with vitamin C-reduced graphene oxide</w:t>
            </w:r>
            <w:r>
              <w:rPr>
                <w:noProof/>
                <w:webHidden/>
              </w:rPr>
              <w:tab/>
            </w:r>
            <w:r>
              <w:rPr>
                <w:noProof/>
                <w:webHidden/>
              </w:rPr>
              <w:fldChar w:fldCharType="begin"/>
            </w:r>
            <w:r>
              <w:rPr>
                <w:noProof/>
                <w:webHidden/>
              </w:rPr>
              <w:instrText xml:space="preserve"> PAGEREF _Toc518823279 \h </w:instrText>
            </w:r>
            <w:r>
              <w:rPr>
                <w:noProof/>
                <w:webHidden/>
              </w:rPr>
            </w:r>
            <w:r>
              <w:rPr>
                <w:noProof/>
                <w:webHidden/>
              </w:rPr>
              <w:fldChar w:fldCharType="separate"/>
            </w:r>
            <w:r>
              <w:rPr>
                <w:noProof/>
                <w:webHidden/>
              </w:rPr>
              <w:t>75</w:t>
            </w:r>
            <w:r>
              <w:rPr>
                <w:noProof/>
                <w:webHidden/>
              </w:rPr>
              <w:fldChar w:fldCharType="end"/>
            </w:r>
          </w:hyperlink>
        </w:p>
        <w:p w14:paraId="3957107E" w14:textId="1AB5FD2E" w:rsidR="001B3FB7" w:rsidRDefault="001B3FB7">
          <w:pPr>
            <w:pStyle w:val="TOC1"/>
            <w:rPr>
              <w:noProof/>
            </w:rPr>
          </w:pPr>
          <w:hyperlink w:anchor="_Toc518823280" w:history="1">
            <w:r w:rsidRPr="000E6979">
              <w:rPr>
                <w:rStyle w:val="Hyperlink"/>
                <w:rFonts w:cs="Times New Roman"/>
                <w:noProof/>
              </w:rPr>
              <w:t>4.1. Introduction</w:t>
            </w:r>
            <w:r>
              <w:rPr>
                <w:noProof/>
                <w:webHidden/>
              </w:rPr>
              <w:tab/>
            </w:r>
            <w:r>
              <w:rPr>
                <w:noProof/>
                <w:webHidden/>
              </w:rPr>
              <w:fldChar w:fldCharType="begin"/>
            </w:r>
            <w:r>
              <w:rPr>
                <w:noProof/>
                <w:webHidden/>
              </w:rPr>
              <w:instrText xml:space="preserve"> PAGEREF _Toc518823280 \h </w:instrText>
            </w:r>
            <w:r>
              <w:rPr>
                <w:noProof/>
                <w:webHidden/>
              </w:rPr>
            </w:r>
            <w:r>
              <w:rPr>
                <w:noProof/>
                <w:webHidden/>
              </w:rPr>
              <w:fldChar w:fldCharType="separate"/>
            </w:r>
            <w:r>
              <w:rPr>
                <w:noProof/>
                <w:webHidden/>
              </w:rPr>
              <w:t>75</w:t>
            </w:r>
            <w:r>
              <w:rPr>
                <w:noProof/>
                <w:webHidden/>
              </w:rPr>
              <w:fldChar w:fldCharType="end"/>
            </w:r>
          </w:hyperlink>
        </w:p>
        <w:p w14:paraId="5C208491" w14:textId="161A13E3" w:rsidR="001B3FB7" w:rsidRDefault="001B3FB7">
          <w:pPr>
            <w:pStyle w:val="TOC1"/>
            <w:rPr>
              <w:noProof/>
            </w:rPr>
          </w:pPr>
          <w:hyperlink w:anchor="_Toc518823281" w:history="1">
            <w:r w:rsidRPr="000E6979">
              <w:rPr>
                <w:rStyle w:val="Hyperlink"/>
                <w:rFonts w:cs="Times New Roman"/>
                <w:noProof/>
              </w:rPr>
              <w:t>4.2. Experimental section</w:t>
            </w:r>
            <w:r>
              <w:rPr>
                <w:noProof/>
                <w:webHidden/>
              </w:rPr>
              <w:tab/>
            </w:r>
            <w:r>
              <w:rPr>
                <w:noProof/>
                <w:webHidden/>
              </w:rPr>
              <w:fldChar w:fldCharType="begin"/>
            </w:r>
            <w:r>
              <w:rPr>
                <w:noProof/>
                <w:webHidden/>
              </w:rPr>
              <w:instrText xml:space="preserve"> PAGEREF _Toc518823281 \h </w:instrText>
            </w:r>
            <w:r>
              <w:rPr>
                <w:noProof/>
                <w:webHidden/>
              </w:rPr>
            </w:r>
            <w:r>
              <w:rPr>
                <w:noProof/>
                <w:webHidden/>
              </w:rPr>
              <w:fldChar w:fldCharType="separate"/>
            </w:r>
            <w:r>
              <w:rPr>
                <w:noProof/>
                <w:webHidden/>
              </w:rPr>
              <w:t>77</w:t>
            </w:r>
            <w:r>
              <w:rPr>
                <w:noProof/>
                <w:webHidden/>
              </w:rPr>
              <w:fldChar w:fldCharType="end"/>
            </w:r>
          </w:hyperlink>
        </w:p>
        <w:p w14:paraId="668AA3DD" w14:textId="3AB8C8D7" w:rsidR="001B3FB7" w:rsidRDefault="001B3FB7">
          <w:pPr>
            <w:pStyle w:val="TOC2"/>
            <w:tabs>
              <w:tab w:val="right" w:leader="dot" w:pos="9350"/>
            </w:tabs>
            <w:rPr>
              <w:noProof/>
            </w:rPr>
          </w:pPr>
          <w:hyperlink w:anchor="_Toc518823282" w:history="1">
            <w:r w:rsidRPr="000E6979">
              <w:rPr>
                <w:rStyle w:val="Hyperlink"/>
                <w:rFonts w:cs="Times New Roman"/>
                <w:noProof/>
              </w:rPr>
              <w:t>4.2.1. Materials</w:t>
            </w:r>
            <w:r>
              <w:rPr>
                <w:noProof/>
                <w:webHidden/>
              </w:rPr>
              <w:tab/>
            </w:r>
            <w:r>
              <w:rPr>
                <w:noProof/>
                <w:webHidden/>
              </w:rPr>
              <w:fldChar w:fldCharType="begin"/>
            </w:r>
            <w:r>
              <w:rPr>
                <w:noProof/>
                <w:webHidden/>
              </w:rPr>
              <w:instrText xml:space="preserve"> PAGEREF _Toc518823282 \h </w:instrText>
            </w:r>
            <w:r>
              <w:rPr>
                <w:noProof/>
                <w:webHidden/>
              </w:rPr>
            </w:r>
            <w:r>
              <w:rPr>
                <w:noProof/>
                <w:webHidden/>
              </w:rPr>
              <w:fldChar w:fldCharType="separate"/>
            </w:r>
            <w:r>
              <w:rPr>
                <w:noProof/>
                <w:webHidden/>
              </w:rPr>
              <w:t>77</w:t>
            </w:r>
            <w:r>
              <w:rPr>
                <w:noProof/>
                <w:webHidden/>
              </w:rPr>
              <w:fldChar w:fldCharType="end"/>
            </w:r>
          </w:hyperlink>
        </w:p>
        <w:p w14:paraId="6FBD326B" w14:textId="1B61198F" w:rsidR="001B3FB7" w:rsidRDefault="001B3FB7">
          <w:pPr>
            <w:pStyle w:val="TOC2"/>
            <w:tabs>
              <w:tab w:val="right" w:leader="dot" w:pos="9350"/>
            </w:tabs>
            <w:rPr>
              <w:noProof/>
            </w:rPr>
          </w:pPr>
          <w:hyperlink w:anchor="_Toc518823283" w:history="1">
            <w:r w:rsidRPr="000E6979">
              <w:rPr>
                <w:rStyle w:val="Hyperlink"/>
                <w:rFonts w:cs="Times New Roman"/>
                <w:noProof/>
              </w:rPr>
              <w:t>4.2.2. Reduction of GO by vitamin C</w:t>
            </w:r>
            <w:r>
              <w:rPr>
                <w:noProof/>
                <w:webHidden/>
              </w:rPr>
              <w:tab/>
            </w:r>
            <w:r>
              <w:rPr>
                <w:noProof/>
                <w:webHidden/>
              </w:rPr>
              <w:fldChar w:fldCharType="begin"/>
            </w:r>
            <w:r>
              <w:rPr>
                <w:noProof/>
                <w:webHidden/>
              </w:rPr>
              <w:instrText xml:space="preserve"> PAGEREF _Toc518823283 \h </w:instrText>
            </w:r>
            <w:r>
              <w:rPr>
                <w:noProof/>
                <w:webHidden/>
              </w:rPr>
            </w:r>
            <w:r>
              <w:rPr>
                <w:noProof/>
                <w:webHidden/>
              </w:rPr>
              <w:fldChar w:fldCharType="separate"/>
            </w:r>
            <w:r>
              <w:rPr>
                <w:noProof/>
                <w:webHidden/>
              </w:rPr>
              <w:t>78</w:t>
            </w:r>
            <w:r>
              <w:rPr>
                <w:noProof/>
                <w:webHidden/>
              </w:rPr>
              <w:fldChar w:fldCharType="end"/>
            </w:r>
          </w:hyperlink>
        </w:p>
        <w:p w14:paraId="48442A9B" w14:textId="435FE2E9" w:rsidR="001B3FB7" w:rsidRDefault="001B3FB7">
          <w:pPr>
            <w:pStyle w:val="TOC2"/>
            <w:tabs>
              <w:tab w:val="right" w:leader="dot" w:pos="9350"/>
            </w:tabs>
            <w:rPr>
              <w:noProof/>
            </w:rPr>
          </w:pPr>
          <w:hyperlink w:anchor="_Toc518823284" w:history="1">
            <w:r w:rsidRPr="000E6979">
              <w:rPr>
                <w:rStyle w:val="Hyperlink"/>
                <w:rFonts w:cs="Times New Roman"/>
                <w:noProof/>
              </w:rPr>
              <w:t>4.2.3. Synthesis of UPR/rGO composites</w:t>
            </w:r>
            <w:r>
              <w:rPr>
                <w:noProof/>
                <w:webHidden/>
              </w:rPr>
              <w:tab/>
            </w:r>
            <w:r>
              <w:rPr>
                <w:noProof/>
                <w:webHidden/>
              </w:rPr>
              <w:fldChar w:fldCharType="begin"/>
            </w:r>
            <w:r>
              <w:rPr>
                <w:noProof/>
                <w:webHidden/>
              </w:rPr>
              <w:instrText xml:space="preserve"> PAGEREF _Toc518823284 \h </w:instrText>
            </w:r>
            <w:r>
              <w:rPr>
                <w:noProof/>
                <w:webHidden/>
              </w:rPr>
            </w:r>
            <w:r>
              <w:rPr>
                <w:noProof/>
                <w:webHidden/>
              </w:rPr>
              <w:fldChar w:fldCharType="separate"/>
            </w:r>
            <w:r>
              <w:rPr>
                <w:noProof/>
                <w:webHidden/>
              </w:rPr>
              <w:t>78</w:t>
            </w:r>
            <w:r>
              <w:rPr>
                <w:noProof/>
                <w:webHidden/>
              </w:rPr>
              <w:fldChar w:fldCharType="end"/>
            </w:r>
          </w:hyperlink>
        </w:p>
        <w:p w14:paraId="7A236056" w14:textId="16E2F610" w:rsidR="001B3FB7" w:rsidRDefault="001B3FB7">
          <w:pPr>
            <w:pStyle w:val="TOC2"/>
            <w:tabs>
              <w:tab w:val="right" w:leader="dot" w:pos="9350"/>
            </w:tabs>
            <w:rPr>
              <w:noProof/>
            </w:rPr>
          </w:pPr>
          <w:hyperlink w:anchor="_Toc518823285" w:history="1">
            <w:r w:rsidRPr="000E6979">
              <w:rPr>
                <w:rStyle w:val="Hyperlink"/>
                <w:rFonts w:cs="Times New Roman"/>
                <w:noProof/>
              </w:rPr>
              <w:t>4.2.4. Characterization</w:t>
            </w:r>
            <w:r>
              <w:rPr>
                <w:noProof/>
                <w:webHidden/>
              </w:rPr>
              <w:tab/>
            </w:r>
            <w:r>
              <w:rPr>
                <w:noProof/>
                <w:webHidden/>
              </w:rPr>
              <w:fldChar w:fldCharType="begin"/>
            </w:r>
            <w:r>
              <w:rPr>
                <w:noProof/>
                <w:webHidden/>
              </w:rPr>
              <w:instrText xml:space="preserve"> PAGEREF _Toc518823285 \h </w:instrText>
            </w:r>
            <w:r>
              <w:rPr>
                <w:noProof/>
                <w:webHidden/>
              </w:rPr>
            </w:r>
            <w:r>
              <w:rPr>
                <w:noProof/>
                <w:webHidden/>
              </w:rPr>
              <w:fldChar w:fldCharType="separate"/>
            </w:r>
            <w:r>
              <w:rPr>
                <w:noProof/>
                <w:webHidden/>
              </w:rPr>
              <w:t>78</w:t>
            </w:r>
            <w:r>
              <w:rPr>
                <w:noProof/>
                <w:webHidden/>
              </w:rPr>
              <w:fldChar w:fldCharType="end"/>
            </w:r>
          </w:hyperlink>
        </w:p>
        <w:p w14:paraId="3A33AFE4" w14:textId="50806BA7" w:rsidR="001B3FB7" w:rsidRDefault="001B3FB7">
          <w:pPr>
            <w:pStyle w:val="TOC3"/>
            <w:tabs>
              <w:tab w:val="right" w:leader="dot" w:pos="9350"/>
            </w:tabs>
            <w:rPr>
              <w:noProof/>
              <w:lang w:val="en-GB"/>
            </w:rPr>
          </w:pPr>
          <w:hyperlink w:anchor="_Toc518823286" w:history="1">
            <w:r w:rsidRPr="000E6979">
              <w:rPr>
                <w:rStyle w:val="Hyperlink"/>
                <w:noProof/>
              </w:rPr>
              <w:t>4.2.4.1. X-ray photoelectron spectroscopy (XPS)</w:t>
            </w:r>
            <w:r>
              <w:rPr>
                <w:noProof/>
                <w:webHidden/>
              </w:rPr>
              <w:tab/>
            </w:r>
            <w:r>
              <w:rPr>
                <w:noProof/>
                <w:webHidden/>
              </w:rPr>
              <w:fldChar w:fldCharType="begin"/>
            </w:r>
            <w:r>
              <w:rPr>
                <w:noProof/>
                <w:webHidden/>
              </w:rPr>
              <w:instrText xml:space="preserve"> PAGEREF _Toc518823286 \h </w:instrText>
            </w:r>
            <w:r>
              <w:rPr>
                <w:noProof/>
                <w:webHidden/>
              </w:rPr>
            </w:r>
            <w:r>
              <w:rPr>
                <w:noProof/>
                <w:webHidden/>
              </w:rPr>
              <w:fldChar w:fldCharType="separate"/>
            </w:r>
            <w:r>
              <w:rPr>
                <w:noProof/>
                <w:webHidden/>
              </w:rPr>
              <w:t>78</w:t>
            </w:r>
            <w:r>
              <w:rPr>
                <w:noProof/>
                <w:webHidden/>
              </w:rPr>
              <w:fldChar w:fldCharType="end"/>
            </w:r>
          </w:hyperlink>
        </w:p>
        <w:p w14:paraId="6BEF7FFD" w14:textId="1B8D46E1" w:rsidR="001B3FB7" w:rsidRDefault="001B3FB7">
          <w:pPr>
            <w:pStyle w:val="TOC3"/>
            <w:tabs>
              <w:tab w:val="right" w:leader="dot" w:pos="9350"/>
            </w:tabs>
            <w:rPr>
              <w:noProof/>
              <w:lang w:val="en-GB"/>
            </w:rPr>
          </w:pPr>
          <w:hyperlink w:anchor="_Toc518823287" w:history="1">
            <w:r w:rsidRPr="000E6979">
              <w:rPr>
                <w:rStyle w:val="Hyperlink"/>
                <w:noProof/>
              </w:rPr>
              <w:t>4.2.4.2. Fourier transform infrared spectroscopy (FTIR)</w:t>
            </w:r>
            <w:r>
              <w:rPr>
                <w:noProof/>
                <w:webHidden/>
              </w:rPr>
              <w:tab/>
            </w:r>
            <w:r>
              <w:rPr>
                <w:noProof/>
                <w:webHidden/>
              </w:rPr>
              <w:fldChar w:fldCharType="begin"/>
            </w:r>
            <w:r>
              <w:rPr>
                <w:noProof/>
                <w:webHidden/>
              </w:rPr>
              <w:instrText xml:space="preserve"> PAGEREF _Toc518823287 \h </w:instrText>
            </w:r>
            <w:r>
              <w:rPr>
                <w:noProof/>
                <w:webHidden/>
              </w:rPr>
            </w:r>
            <w:r>
              <w:rPr>
                <w:noProof/>
                <w:webHidden/>
              </w:rPr>
              <w:fldChar w:fldCharType="separate"/>
            </w:r>
            <w:r>
              <w:rPr>
                <w:noProof/>
                <w:webHidden/>
              </w:rPr>
              <w:t>79</w:t>
            </w:r>
            <w:r>
              <w:rPr>
                <w:noProof/>
                <w:webHidden/>
              </w:rPr>
              <w:fldChar w:fldCharType="end"/>
            </w:r>
          </w:hyperlink>
        </w:p>
        <w:p w14:paraId="5E0DF5A9" w14:textId="4118C618" w:rsidR="001B3FB7" w:rsidRDefault="001B3FB7">
          <w:pPr>
            <w:pStyle w:val="TOC3"/>
            <w:tabs>
              <w:tab w:val="right" w:leader="dot" w:pos="9350"/>
            </w:tabs>
            <w:rPr>
              <w:noProof/>
              <w:lang w:val="en-GB"/>
            </w:rPr>
          </w:pPr>
          <w:hyperlink w:anchor="_Toc518823288" w:history="1">
            <w:r w:rsidRPr="000E6979">
              <w:rPr>
                <w:rStyle w:val="Hyperlink"/>
                <w:noProof/>
              </w:rPr>
              <w:t>4.2.4.3. Electrical conductivity</w:t>
            </w:r>
            <w:r>
              <w:rPr>
                <w:noProof/>
                <w:webHidden/>
              </w:rPr>
              <w:tab/>
            </w:r>
            <w:r>
              <w:rPr>
                <w:noProof/>
                <w:webHidden/>
              </w:rPr>
              <w:fldChar w:fldCharType="begin"/>
            </w:r>
            <w:r>
              <w:rPr>
                <w:noProof/>
                <w:webHidden/>
              </w:rPr>
              <w:instrText xml:space="preserve"> PAGEREF _Toc518823288 \h </w:instrText>
            </w:r>
            <w:r>
              <w:rPr>
                <w:noProof/>
                <w:webHidden/>
              </w:rPr>
            </w:r>
            <w:r>
              <w:rPr>
                <w:noProof/>
                <w:webHidden/>
              </w:rPr>
              <w:fldChar w:fldCharType="separate"/>
            </w:r>
            <w:r>
              <w:rPr>
                <w:noProof/>
                <w:webHidden/>
              </w:rPr>
              <w:t>79</w:t>
            </w:r>
            <w:r>
              <w:rPr>
                <w:noProof/>
                <w:webHidden/>
              </w:rPr>
              <w:fldChar w:fldCharType="end"/>
            </w:r>
          </w:hyperlink>
        </w:p>
        <w:p w14:paraId="58962BD6" w14:textId="51E725D3" w:rsidR="001B3FB7" w:rsidRDefault="001B3FB7">
          <w:pPr>
            <w:pStyle w:val="TOC3"/>
            <w:tabs>
              <w:tab w:val="right" w:leader="dot" w:pos="9350"/>
            </w:tabs>
            <w:rPr>
              <w:noProof/>
              <w:lang w:val="en-GB"/>
            </w:rPr>
          </w:pPr>
          <w:hyperlink w:anchor="_Toc518823289" w:history="1">
            <w:r w:rsidRPr="000E6979">
              <w:rPr>
                <w:rStyle w:val="Hyperlink"/>
                <w:noProof/>
              </w:rPr>
              <w:t>4.2.4.4. Thermal conductivity</w:t>
            </w:r>
            <w:r>
              <w:rPr>
                <w:noProof/>
                <w:webHidden/>
              </w:rPr>
              <w:tab/>
            </w:r>
            <w:r>
              <w:rPr>
                <w:noProof/>
                <w:webHidden/>
              </w:rPr>
              <w:fldChar w:fldCharType="begin"/>
            </w:r>
            <w:r>
              <w:rPr>
                <w:noProof/>
                <w:webHidden/>
              </w:rPr>
              <w:instrText xml:space="preserve"> PAGEREF _Toc518823289 \h </w:instrText>
            </w:r>
            <w:r>
              <w:rPr>
                <w:noProof/>
                <w:webHidden/>
              </w:rPr>
            </w:r>
            <w:r>
              <w:rPr>
                <w:noProof/>
                <w:webHidden/>
              </w:rPr>
              <w:fldChar w:fldCharType="separate"/>
            </w:r>
            <w:r>
              <w:rPr>
                <w:noProof/>
                <w:webHidden/>
              </w:rPr>
              <w:t>79</w:t>
            </w:r>
            <w:r>
              <w:rPr>
                <w:noProof/>
                <w:webHidden/>
              </w:rPr>
              <w:fldChar w:fldCharType="end"/>
            </w:r>
          </w:hyperlink>
        </w:p>
        <w:p w14:paraId="141C899C" w14:textId="33AD4395" w:rsidR="001B3FB7" w:rsidRDefault="001B3FB7">
          <w:pPr>
            <w:pStyle w:val="TOC3"/>
            <w:tabs>
              <w:tab w:val="right" w:leader="dot" w:pos="9350"/>
            </w:tabs>
            <w:rPr>
              <w:noProof/>
              <w:lang w:val="en-GB"/>
            </w:rPr>
          </w:pPr>
          <w:hyperlink w:anchor="_Toc518823290" w:history="1">
            <w:r w:rsidRPr="000E6979">
              <w:rPr>
                <w:rStyle w:val="Hyperlink"/>
                <w:noProof/>
              </w:rPr>
              <w:t>4.2.4.5. Mechanical tests</w:t>
            </w:r>
            <w:r>
              <w:rPr>
                <w:noProof/>
                <w:webHidden/>
              </w:rPr>
              <w:tab/>
            </w:r>
            <w:r>
              <w:rPr>
                <w:noProof/>
                <w:webHidden/>
              </w:rPr>
              <w:fldChar w:fldCharType="begin"/>
            </w:r>
            <w:r>
              <w:rPr>
                <w:noProof/>
                <w:webHidden/>
              </w:rPr>
              <w:instrText xml:space="preserve"> PAGEREF _Toc518823290 \h </w:instrText>
            </w:r>
            <w:r>
              <w:rPr>
                <w:noProof/>
                <w:webHidden/>
              </w:rPr>
            </w:r>
            <w:r>
              <w:rPr>
                <w:noProof/>
                <w:webHidden/>
              </w:rPr>
              <w:fldChar w:fldCharType="separate"/>
            </w:r>
            <w:r>
              <w:rPr>
                <w:noProof/>
                <w:webHidden/>
              </w:rPr>
              <w:t>79</w:t>
            </w:r>
            <w:r>
              <w:rPr>
                <w:noProof/>
                <w:webHidden/>
              </w:rPr>
              <w:fldChar w:fldCharType="end"/>
            </w:r>
          </w:hyperlink>
        </w:p>
        <w:p w14:paraId="25D7E97C" w14:textId="02F69934" w:rsidR="001B3FB7" w:rsidRDefault="001B3FB7">
          <w:pPr>
            <w:pStyle w:val="TOC3"/>
            <w:tabs>
              <w:tab w:val="right" w:leader="dot" w:pos="9350"/>
            </w:tabs>
            <w:rPr>
              <w:noProof/>
              <w:lang w:val="en-GB"/>
            </w:rPr>
          </w:pPr>
          <w:hyperlink w:anchor="_Toc518823291" w:history="1">
            <w:r w:rsidRPr="000E6979">
              <w:rPr>
                <w:rStyle w:val="Hyperlink"/>
                <w:noProof/>
              </w:rPr>
              <w:t>4.2.4.6. Dynamic mechanical analysis (DMA)</w:t>
            </w:r>
            <w:r>
              <w:rPr>
                <w:noProof/>
                <w:webHidden/>
              </w:rPr>
              <w:tab/>
            </w:r>
            <w:r>
              <w:rPr>
                <w:noProof/>
                <w:webHidden/>
              </w:rPr>
              <w:fldChar w:fldCharType="begin"/>
            </w:r>
            <w:r>
              <w:rPr>
                <w:noProof/>
                <w:webHidden/>
              </w:rPr>
              <w:instrText xml:space="preserve"> PAGEREF _Toc518823291 \h </w:instrText>
            </w:r>
            <w:r>
              <w:rPr>
                <w:noProof/>
                <w:webHidden/>
              </w:rPr>
            </w:r>
            <w:r>
              <w:rPr>
                <w:noProof/>
                <w:webHidden/>
              </w:rPr>
              <w:fldChar w:fldCharType="separate"/>
            </w:r>
            <w:r>
              <w:rPr>
                <w:noProof/>
                <w:webHidden/>
              </w:rPr>
              <w:t>80</w:t>
            </w:r>
            <w:r>
              <w:rPr>
                <w:noProof/>
                <w:webHidden/>
              </w:rPr>
              <w:fldChar w:fldCharType="end"/>
            </w:r>
          </w:hyperlink>
        </w:p>
        <w:p w14:paraId="6724FC48" w14:textId="284A054E" w:rsidR="001B3FB7" w:rsidRDefault="001B3FB7">
          <w:pPr>
            <w:pStyle w:val="TOC3"/>
            <w:tabs>
              <w:tab w:val="right" w:leader="dot" w:pos="9350"/>
            </w:tabs>
            <w:rPr>
              <w:noProof/>
              <w:lang w:val="en-GB"/>
            </w:rPr>
          </w:pPr>
          <w:hyperlink w:anchor="_Toc518823292" w:history="1">
            <w:r w:rsidRPr="000E6979">
              <w:rPr>
                <w:rStyle w:val="Hyperlink"/>
                <w:noProof/>
              </w:rPr>
              <w:t>4.2.4.7. Thermogravimetric analysis (TGA)</w:t>
            </w:r>
            <w:r>
              <w:rPr>
                <w:noProof/>
                <w:webHidden/>
              </w:rPr>
              <w:tab/>
            </w:r>
            <w:r>
              <w:rPr>
                <w:noProof/>
                <w:webHidden/>
              </w:rPr>
              <w:fldChar w:fldCharType="begin"/>
            </w:r>
            <w:r>
              <w:rPr>
                <w:noProof/>
                <w:webHidden/>
              </w:rPr>
              <w:instrText xml:space="preserve"> PAGEREF _Toc518823292 \h </w:instrText>
            </w:r>
            <w:r>
              <w:rPr>
                <w:noProof/>
                <w:webHidden/>
              </w:rPr>
            </w:r>
            <w:r>
              <w:rPr>
                <w:noProof/>
                <w:webHidden/>
              </w:rPr>
              <w:fldChar w:fldCharType="separate"/>
            </w:r>
            <w:r>
              <w:rPr>
                <w:noProof/>
                <w:webHidden/>
              </w:rPr>
              <w:t>80</w:t>
            </w:r>
            <w:r>
              <w:rPr>
                <w:noProof/>
                <w:webHidden/>
              </w:rPr>
              <w:fldChar w:fldCharType="end"/>
            </w:r>
          </w:hyperlink>
        </w:p>
        <w:p w14:paraId="10EF45E1" w14:textId="092B8EAD" w:rsidR="001B3FB7" w:rsidRDefault="001B3FB7">
          <w:pPr>
            <w:pStyle w:val="TOC3"/>
            <w:tabs>
              <w:tab w:val="right" w:leader="dot" w:pos="9350"/>
            </w:tabs>
            <w:rPr>
              <w:noProof/>
              <w:lang w:val="en-GB"/>
            </w:rPr>
          </w:pPr>
          <w:hyperlink w:anchor="_Toc518823293" w:history="1">
            <w:r w:rsidRPr="000E6979">
              <w:rPr>
                <w:rStyle w:val="Hyperlink"/>
                <w:noProof/>
              </w:rPr>
              <w:t>4.2.4.8. Scanning electron microscopy (SEM)</w:t>
            </w:r>
            <w:r>
              <w:rPr>
                <w:noProof/>
                <w:webHidden/>
              </w:rPr>
              <w:tab/>
            </w:r>
            <w:r>
              <w:rPr>
                <w:noProof/>
                <w:webHidden/>
              </w:rPr>
              <w:fldChar w:fldCharType="begin"/>
            </w:r>
            <w:r>
              <w:rPr>
                <w:noProof/>
                <w:webHidden/>
              </w:rPr>
              <w:instrText xml:space="preserve"> PAGEREF _Toc518823293 \h </w:instrText>
            </w:r>
            <w:r>
              <w:rPr>
                <w:noProof/>
                <w:webHidden/>
              </w:rPr>
            </w:r>
            <w:r>
              <w:rPr>
                <w:noProof/>
                <w:webHidden/>
              </w:rPr>
              <w:fldChar w:fldCharType="separate"/>
            </w:r>
            <w:r>
              <w:rPr>
                <w:noProof/>
                <w:webHidden/>
              </w:rPr>
              <w:t>80</w:t>
            </w:r>
            <w:r>
              <w:rPr>
                <w:noProof/>
                <w:webHidden/>
              </w:rPr>
              <w:fldChar w:fldCharType="end"/>
            </w:r>
          </w:hyperlink>
        </w:p>
        <w:p w14:paraId="4658758C" w14:textId="5C1AC7B1" w:rsidR="001B3FB7" w:rsidRDefault="001B3FB7">
          <w:pPr>
            <w:pStyle w:val="TOC1"/>
            <w:rPr>
              <w:noProof/>
            </w:rPr>
          </w:pPr>
          <w:hyperlink w:anchor="_Toc518823294" w:history="1">
            <w:r w:rsidRPr="000E6979">
              <w:rPr>
                <w:rStyle w:val="Hyperlink"/>
                <w:rFonts w:cs="Times New Roman"/>
                <w:noProof/>
              </w:rPr>
              <w:t>4.3. Results and Discussion</w:t>
            </w:r>
            <w:r>
              <w:rPr>
                <w:noProof/>
                <w:webHidden/>
              </w:rPr>
              <w:tab/>
            </w:r>
            <w:r>
              <w:rPr>
                <w:noProof/>
                <w:webHidden/>
              </w:rPr>
              <w:fldChar w:fldCharType="begin"/>
            </w:r>
            <w:r>
              <w:rPr>
                <w:noProof/>
                <w:webHidden/>
              </w:rPr>
              <w:instrText xml:space="preserve"> PAGEREF _Toc518823294 \h </w:instrText>
            </w:r>
            <w:r>
              <w:rPr>
                <w:noProof/>
                <w:webHidden/>
              </w:rPr>
            </w:r>
            <w:r>
              <w:rPr>
                <w:noProof/>
                <w:webHidden/>
              </w:rPr>
              <w:fldChar w:fldCharType="separate"/>
            </w:r>
            <w:r>
              <w:rPr>
                <w:noProof/>
                <w:webHidden/>
              </w:rPr>
              <w:t>81</w:t>
            </w:r>
            <w:r>
              <w:rPr>
                <w:noProof/>
                <w:webHidden/>
              </w:rPr>
              <w:fldChar w:fldCharType="end"/>
            </w:r>
          </w:hyperlink>
        </w:p>
        <w:p w14:paraId="4AA24729" w14:textId="3538B96A" w:rsidR="001B3FB7" w:rsidRDefault="001B3FB7">
          <w:pPr>
            <w:pStyle w:val="TOC2"/>
            <w:tabs>
              <w:tab w:val="right" w:leader="dot" w:pos="9350"/>
            </w:tabs>
            <w:rPr>
              <w:noProof/>
            </w:rPr>
          </w:pPr>
          <w:hyperlink w:anchor="_Toc518823295" w:history="1">
            <w:r w:rsidRPr="000E6979">
              <w:rPr>
                <w:rStyle w:val="Hyperlink"/>
                <w:rFonts w:cs="Times New Roman"/>
                <w:noProof/>
              </w:rPr>
              <w:t>4.3.1. Characterization of rGO reduced by vitamin C</w:t>
            </w:r>
            <w:r>
              <w:rPr>
                <w:noProof/>
                <w:webHidden/>
              </w:rPr>
              <w:tab/>
            </w:r>
            <w:r>
              <w:rPr>
                <w:noProof/>
                <w:webHidden/>
              </w:rPr>
              <w:fldChar w:fldCharType="begin"/>
            </w:r>
            <w:r>
              <w:rPr>
                <w:noProof/>
                <w:webHidden/>
              </w:rPr>
              <w:instrText xml:space="preserve"> PAGEREF _Toc518823295 \h </w:instrText>
            </w:r>
            <w:r>
              <w:rPr>
                <w:noProof/>
                <w:webHidden/>
              </w:rPr>
            </w:r>
            <w:r>
              <w:rPr>
                <w:noProof/>
                <w:webHidden/>
              </w:rPr>
              <w:fldChar w:fldCharType="separate"/>
            </w:r>
            <w:r>
              <w:rPr>
                <w:noProof/>
                <w:webHidden/>
              </w:rPr>
              <w:t>81</w:t>
            </w:r>
            <w:r>
              <w:rPr>
                <w:noProof/>
                <w:webHidden/>
              </w:rPr>
              <w:fldChar w:fldCharType="end"/>
            </w:r>
          </w:hyperlink>
        </w:p>
        <w:p w14:paraId="4E90DECA" w14:textId="11B12F57" w:rsidR="001B3FB7" w:rsidRDefault="001B3FB7">
          <w:pPr>
            <w:pStyle w:val="TOC3"/>
            <w:tabs>
              <w:tab w:val="right" w:leader="dot" w:pos="9350"/>
            </w:tabs>
            <w:rPr>
              <w:noProof/>
              <w:lang w:val="en-GB"/>
            </w:rPr>
          </w:pPr>
          <w:hyperlink w:anchor="_Toc518823296" w:history="1">
            <w:r w:rsidRPr="000E6979">
              <w:rPr>
                <w:rStyle w:val="Hyperlink"/>
                <w:rFonts w:cs="Times New Roman"/>
                <w:noProof/>
              </w:rPr>
              <w:t>4.3.1.1. X-ray photoelectron spectroscopy</w:t>
            </w:r>
            <w:r>
              <w:rPr>
                <w:noProof/>
                <w:webHidden/>
              </w:rPr>
              <w:tab/>
            </w:r>
            <w:r>
              <w:rPr>
                <w:noProof/>
                <w:webHidden/>
              </w:rPr>
              <w:fldChar w:fldCharType="begin"/>
            </w:r>
            <w:r>
              <w:rPr>
                <w:noProof/>
                <w:webHidden/>
              </w:rPr>
              <w:instrText xml:space="preserve"> PAGEREF _Toc518823296 \h </w:instrText>
            </w:r>
            <w:r>
              <w:rPr>
                <w:noProof/>
                <w:webHidden/>
              </w:rPr>
            </w:r>
            <w:r>
              <w:rPr>
                <w:noProof/>
                <w:webHidden/>
              </w:rPr>
              <w:fldChar w:fldCharType="separate"/>
            </w:r>
            <w:r>
              <w:rPr>
                <w:noProof/>
                <w:webHidden/>
              </w:rPr>
              <w:t>81</w:t>
            </w:r>
            <w:r>
              <w:rPr>
                <w:noProof/>
                <w:webHidden/>
              </w:rPr>
              <w:fldChar w:fldCharType="end"/>
            </w:r>
          </w:hyperlink>
        </w:p>
        <w:p w14:paraId="26BFBEA1" w14:textId="57CCAB11" w:rsidR="001B3FB7" w:rsidRDefault="001B3FB7">
          <w:pPr>
            <w:pStyle w:val="TOC3"/>
            <w:tabs>
              <w:tab w:val="right" w:leader="dot" w:pos="9350"/>
            </w:tabs>
            <w:rPr>
              <w:noProof/>
              <w:lang w:val="en-GB"/>
            </w:rPr>
          </w:pPr>
          <w:hyperlink w:anchor="_Toc518823297" w:history="1">
            <w:r w:rsidRPr="000E6979">
              <w:rPr>
                <w:rStyle w:val="Hyperlink"/>
                <w:rFonts w:cs="Times New Roman"/>
                <w:noProof/>
              </w:rPr>
              <w:t>4.3.1.2. FTIR Analysis</w:t>
            </w:r>
            <w:r>
              <w:rPr>
                <w:noProof/>
                <w:webHidden/>
              </w:rPr>
              <w:tab/>
            </w:r>
            <w:r>
              <w:rPr>
                <w:noProof/>
                <w:webHidden/>
              </w:rPr>
              <w:fldChar w:fldCharType="begin"/>
            </w:r>
            <w:r>
              <w:rPr>
                <w:noProof/>
                <w:webHidden/>
              </w:rPr>
              <w:instrText xml:space="preserve"> PAGEREF _Toc518823297 \h </w:instrText>
            </w:r>
            <w:r>
              <w:rPr>
                <w:noProof/>
                <w:webHidden/>
              </w:rPr>
            </w:r>
            <w:r>
              <w:rPr>
                <w:noProof/>
                <w:webHidden/>
              </w:rPr>
              <w:fldChar w:fldCharType="separate"/>
            </w:r>
            <w:r>
              <w:rPr>
                <w:noProof/>
                <w:webHidden/>
              </w:rPr>
              <w:t>82</w:t>
            </w:r>
            <w:r>
              <w:rPr>
                <w:noProof/>
                <w:webHidden/>
              </w:rPr>
              <w:fldChar w:fldCharType="end"/>
            </w:r>
          </w:hyperlink>
        </w:p>
        <w:p w14:paraId="2500F8C3" w14:textId="285B5ED1" w:rsidR="001B3FB7" w:rsidRDefault="001B3FB7">
          <w:pPr>
            <w:pStyle w:val="TOC3"/>
            <w:tabs>
              <w:tab w:val="right" w:leader="dot" w:pos="9350"/>
            </w:tabs>
            <w:rPr>
              <w:noProof/>
              <w:lang w:val="en-GB"/>
            </w:rPr>
          </w:pPr>
          <w:hyperlink w:anchor="_Toc518823298" w:history="1">
            <w:r w:rsidRPr="000E6979">
              <w:rPr>
                <w:rStyle w:val="Hyperlink"/>
                <w:rFonts w:cs="Times New Roman"/>
                <w:noProof/>
              </w:rPr>
              <w:t>4.3.1.3. Thermogravimetric analysis (TGA)</w:t>
            </w:r>
            <w:r>
              <w:rPr>
                <w:noProof/>
                <w:webHidden/>
              </w:rPr>
              <w:tab/>
            </w:r>
            <w:r>
              <w:rPr>
                <w:noProof/>
                <w:webHidden/>
              </w:rPr>
              <w:fldChar w:fldCharType="begin"/>
            </w:r>
            <w:r>
              <w:rPr>
                <w:noProof/>
                <w:webHidden/>
              </w:rPr>
              <w:instrText xml:space="preserve"> PAGEREF _Toc518823298 \h </w:instrText>
            </w:r>
            <w:r>
              <w:rPr>
                <w:noProof/>
                <w:webHidden/>
              </w:rPr>
            </w:r>
            <w:r>
              <w:rPr>
                <w:noProof/>
                <w:webHidden/>
              </w:rPr>
              <w:fldChar w:fldCharType="separate"/>
            </w:r>
            <w:r>
              <w:rPr>
                <w:noProof/>
                <w:webHidden/>
              </w:rPr>
              <w:t>83</w:t>
            </w:r>
            <w:r>
              <w:rPr>
                <w:noProof/>
                <w:webHidden/>
              </w:rPr>
              <w:fldChar w:fldCharType="end"/>
            </w:r>
          </w:hyperlink>
        </w:p>
        <w:p w14:paraId="31541540" w14:textId="4AFFC258" w:rsidR="001B3FB7" w:rsidRDefault="001B3FB7">
          <w:pPr>
            <w:pStyle w:val="TOC2"/>
            <w:tabs>
              <w:tab w:val="right" w:leader="dot" w:pos="9350"/>
            </w:tabs>
            <w:rPr>
              <w:noProof/>
            </w:rPr>
          </w:pPr>
          <w:hyperlink w:anchor="_Toc518823299" w:history="1">
            <w:r w:rsidRPr="000E6979">
              <w:rPr>
                <w:rStyle w:val="Hyperlink"/>
                <w:rFonts w:cs="Times New Roman"/>
                <w:noProof/>
              </w:rPr>
              <w:t>4.3.2. Chemical structure of UPR, and UPR/rGO composites</w:t>
            </w:r>
            <w:r>
              <w:rPr>
                <w:noProof/>
                <w:webHidden/>
              </w:rPr>
              <w:tab/>
            </w:r>
            <w:r>
              <w:rPr>
                <w:noProof/>
                <w:webHidden/>
              </w:rPr>
              <w:fldChar w:fldCharType="begin"/>
            </w:r>
            <w:r>
              <w:rPr>
                <w:noProof/>
                <w:webHidden/>
              </w:rPr>
              <w:instrText xml:space="preserve"> PAGEREF _Toc518823299 \h </w:instrText>
            </w:r>
            <w:r>
              <w:rPr>
                <w:noProof/>
                <w:webHidden/>
              </w:rPr>
            </w:r>
            <w:r>
              <w:rPr>
                <w:noProof/>
                <w:webHidden/>
              </w:rPr>
              <w:fldChar w:fldCharType="separate"/>
            </w:r>
            <w:r>
              <w:rPr>
                <w:noProof/>
                <w:webHidden/>
              </w:rPr>
              <w:t>84</w:t>
            </w:r>
            <w:r>
              <w:rPr>
                <w:noProof/>
                <w:webHidden/>
              </w:rPr>
              <w:fldChar w:fldCharType="end"/>
            </w:r>
          </w:hyperlink>
        </w:p>
        <w:p w14:paraId="01C00BE0" w14:textId="47617801" w:rsidR="001B3FB7" w:rsidRDefault="001B3FB7">
          <w:pPr>
            <w:pStyle w:val="TOC2"/>
            <w:tabs>
              <w:tab w:val="right" w:leader="dot" w:pos="9350"/>
            </w:tabs>
            <w:rPr>
              <w:noProof/>
            </w:rPr>
          </w:pPr>
          <w:hyperlink w:anchor="_Toc518823300" w:history="1">
            <w:r w:rsidRPr="000E6979">
              <w:rPr>
                <w:rStyle w:val="Hyperlink"/>
                <w:rFonts w:cs="Times New Roman"/>
                <w:noProof/>
              </w:rPr>
              <w:t>4.3.3. Electrical conductivity</w:t>
            </w:r>
            <w:r>
              <w:rPr>
                <w:noProof/>
                <w:webHidden/>
              </w:rPr>
              <w:tab/>
            </w:r>
            <w:r>
              <w:rPr>
                <w:noProof/>
                <w:webHidden/>
              </w:rPr>
              <w:fldChar w:fldCharType="begin"/>
            </w:r>
            <w:r>
              <w:rPr>
                <w:noProof/>
                <w:webHidden/>
              </w:rPr>
              <w:instrText xml:space="preserve"> PAGEREF _Toc518823300 \h </w:instrText>
            </w:r>
            <w:r>
              <w:rPr>
                <w:noProof/>
                <w:webHidden/>
              </w:rPr>
            </w:r>
            <w:r>
              <w:rPr>
                <w:noProof/>
                <w:webHidden/>
              </w:rPr>
              <w:fldChar w:fldCharType="separate"/>
            </w:r>
            <w:r>
              <w:rPr>
                <w:noProof/>
                <w:webHidden/>
              </w:rPr>
              <w:t>86</w:t>
            </w:r>
            <w:r>
              <w:rPr>
                <w:noProof/>
                <w:webHidden/>
              </w:rPr>
              <w:fldChar w:fldCharType="end"/>
            </w:r>
          </w:hyperlink>
        </w:p>
        <w:p w14:paraId="3F9438C3" w14:textId="524F5197" w:rsidR="001B3FB7" w:rsidRDefault="001B3FB7">
          <w:pPr>
            <w:pStyle w:val="TOC2"/>
            <w:tabs>
              <w:tab w:val="right" w:leader="dot" w:pos="9350"/>
            </w:tabs>
            <w:rPr>
              <w:noProof/>
            </w:rPr>
          </w:pPr>
          <w:hyperlink w:anchor="_Toc518823301" w:history="1">
            <w:r w:rsidRPr="000E6979">
              <w:rPr>
                <w:rStyle w:val="Hyperlink"/>
                <w:rFonts w:cs="Times New Roman"/>
                <w:noProof/>
              </w:rPr>
              <w:t>4.3.4. Thermal conductivities of UPR and URP/rGO composites</w:t>
            </w:r>
            <w:r>
              <w:rPr>
                <w:noProof/>
                <w:webHidden/>
              </w:rPr>
              <w:tab/>
            </w:r>
            <w:r>
              <w:rPr>
                <w:noProof/>
                <w:webHidden/>
              </w:rPr>
              <w:fldChar w:fldCharType="begin"/>
            </w:r>
            <w:r>
              <w:rPr>
                <w:noProof/>
                <w:webHidden/>
              </w:rPr>
              <w:instrText xml:space="preserve"> PAGEREF _Toc518823301 \h </w:instrText>
            </w:r>
            <w:r>
              <w:rPr>
                <w:noProof/>
                <w:webHidden/>
              </w:rPr>
            </w:r>
            <w:r>
              <w:rPr>
                <w:noProof/>
                <w:webHidden/>
              </w:rPr>
              <w:fldChar w:fldCharType="separate"/>
            </w:r>
            <w:r>
              <w:rPr>
                <w:noProof/>
                <w:webHidden/>
              </w:rPr>
              <w:t>88</w:t>
            </w:r>
            <w:r>
              <w:rPr>
                <w:noProof/>
                <w:webHidden/>
              </w:rPr>
              <w:fldChar w:fldCharType="end"/>
            </w:r>
          </w:hyperlink>
        </w:p>
        <w:p w14:paraId="34526703" w14:textId="7B332CF3" w:rsidR="001B3FB7" w:rsidRDefault="001B3FB7">
          <w:pPr>
            <w:pStyle w:val="TOC2"/>
            <w:tabs>
              <w:tab w:val="right" w:leader="dot" w:pos="9350"/>
            </w:tabs>
            <w:rPr>
              <w:noProof/>
            </w:rPr>
          </w:pPr>
          <w:hyperlink w:anchor="_Toc518823302" w:history="1">
            <w:r w:rsidRPr="000E6979">
              <w:rPr>
                <w:rStyle w:val="Hyperlink"/>
                <w:rFonts w:cs="Times New Roman"/>
                <w:noProof/>
              </w:rPr>
              <w:t>4.3.5. Mechanical properties of UPR, and UPR/rGO composites</w:t>
            </w:r>
            <w:r>
              <w:rPr>
                <w:noProof/>
                <w:webHidden/>
              </w:rPr>
              <w:tab/>
            </w:r>
            <w:r>
              <w:rPr>
                <w:noProof/>
                <w:webHidden/>
              </w:rPr>
              <w:fldChar w:fldCharType="begin"/>
            </w:r>
            <w:r>
              <w:rPr>
                <w:noProof/>
                <w:webHidden/>
              </w:rPr>
              <w:instrText xml:space="preserve"> PAGEREF _Toc518823302 \h </w:instrText>
            </w:r>
            <w:r>
              <w:rPr>
                <w:noProof/>
                <w:webHidden/>
              </w:rPr>
            </w:r>
            <w:r>
              <w:rPr>
                <w:noProof/>
                <w:webHidden/>
              </w:rPr>
              <w:fldChar w:fldCharType="separate"/>
            </w:r>
            <w:r>
              <w:rPr>
                <w:noProof/>
                <w:webHidden/>
              </w:rPr>
              <w:t>90</w:t>
            </w:r>
            <w:r>
              <w:rPr>
                <w:noProof/>
                <w:webHidden/>
              </w:rPr>
              <w:fldChar w:fldCharType="end"/>
            </w:r>
          </w:hyperlink>
        </w:p>
        <w:p w14:paraId="5846A439" w14:textId="0741824A" w:rsidR="001B3FB7" w:rsidRDefault="001B3FB7">
          <w:pPr>
            <w:pStyle w:val="TOC3"/>
            <w:tabs>
              <w:tab w:val="right" w:leader="dot" w:pos="9350"/>
            </w:tabs>
            <w:rPr>
              <w:noProof/>
              <w:lang w:val="en-GB"/>
            </w:rPr>
          </w:pPr>
          <w:hyperlink w:anchor="_Toc518823303" w:history="1">
            <w:r w:rsidRPr="000E6979">
              <w:rPr>
                <w:rStyle w:val="Hyperlink"/>
                <w:rFonts w:cs="Times New Roman"/>
                <w:noProof/>
              </w:rPr>
              <w:t>4.3.5.1. Tensile properties</w:t>
            </w:r>
            <w:r>
              <w:rPr>
                <w:noProof/>
                <w:webHidden/>
              </w:rPr>
              <w:tab/>
            </w:r>
            <w:r>
              <w:rPr>
                <w:noProof/>
                <w:webHidden/>
              </w:rPr>
              <w:fldChar w:fldCharType="begin"/>
            </w:r>
            <w:r>
              <w:rPr>
                <w:noProof/>
                <w:webHidden/>
              </w:rPr>
              <w:instrText xml:space="preserve"> PAGEREF _Toc518823303 \h </w:instrText>
            </w:r>
            <w:r>
              <w:rPr>
                <w:noProof/>
                <w:webHidden/>
              </w:rPr>
            </w:r>
            <w:r>
              <w:rPr>
                <w:noProof/>
                <w:webHidden/>
              </w:rPr>
              <w:fldChar w:fldCharType="separate"/>
            </w:r>
            <w:r>
              <w:rPr>
                <w:noProof/>
                <w:webHidden/>
              </w:rPr>
              <w:t>90</w:t>
            </w:r>
            <w:r>
              <w:rPr>
                <w:noProof/>
                <w:webHidden/>
              </w:rPr>
              <w:fldChar w:fldCharType="end"/>
            </w:r>
          </w:hyperlink>
        </w:p>
        <w:p w14:paraId="2916F926" w14:textId="3091F9B2" w:rsidR="001B3FB7" w:rsidRDefault="001B3FB7">
          <w:pPr>
            <w:pStyle w:val="TOC3"/>
            <w:tabs>
              <w:tab w:val="right" w:leader="dot" w:pos="9350"/>
            </w:tabs>
            <w:rPr>
              <w:noProof/>
              <w:lang w:val="en-GB"/>
            </w:rPr>
          </w:pPr>
          <w:hyperlink w:anchor="_Toc518823304" w:history="1">
            <w:r w:rsidRPr="000E6979">
              <w:rPr>
                <w:rStyle w:val="Hyperlink"/>
                <w:rFonts w:cs="Times New Roman"/>
                <w:noProof/>
              </w:rPr>
              <w:t>4.3.5.2. Compression properties</w:t>
            </w:r>
            <w:r>
              <w:rPr>
                <w:noProof/>
                <w:webHidden/>
              </w:rPr>
              <w:tab/>
            </w:r>
            <w:r>
              <w:rPr>
                <w:noProof/>
                <w:webHidden/>
              </w:rPr>
              <w:fldChar w:fldCharType="begin"/>
            </w:r>
            <w:r>
              <w:rPr>
                <w:noProof/>
                <w:webHidden/>
              </w:rPr>
              <w:instrText xml:space="preserve"> PAGEREF _Toc518823304 \h </w:instrText>
            </w:r>
            <w:r>
              <w:rPr>
                <w:noProof/>
                <w:webHidden/>
              </w:rPr>
            </w:r>
            <w:r>
              <w:rPr>
                <w:noProof/>
                <w:webHidden/>
              </w:rPr>
              <w:fldChar w:fldCharType="separate"/>
            </w:r>
            <w:r>
              <w:rPr>
                <w:noProof/>
                <w:webHidden/>
              </w:rPr>
              <w:t>93</w:t>
            </w:r>
            <w:r>
              <w:rPr>
                <w:noProof/>
                <w:webHidden/>
              </w:rPr>
              <w:fldChar w:fldCharType="end"/>
            </w:r>
          </w:hyperlink>
        </w:p>
        <w:p w14:paraId="7160E37E" w14:textId="5BE2CF82" w:rsidR="001B3FB7" w:rsidRDefault="001B3FB7">
          <w:pPr>
            <w:pStyle w:val="TOC2"/>
            <w:tabs>
              <w:tab w:val="right" w:leader="dot" w:pos="9350"/>
            </w:tabs>
            <w:rPr>
              <w:noProof/>
            </w:rPr>
          </w:pPr>
          <w:hyperlink w:anchor="_Toc518823305" w:history="1">
            <w:r w:rsidRPr="000E6979">
              <w:rPr>
                <w:rStyle w:val="Hyperlink"/>
                <w:rFonts w:cs="Times New Roman"/>
                <w:noProof/>
              </w:rPr>
              <w:t>4.3.6. Dynamic mechanical properties of UPR, and UPR/rGO composites</w:t>
            </w:r>
            <w:r>
              <w:rPr>
                <w:noProof/>
                <w:webHidden/>
              </w:rPr>
              <w:tab/>
            </w:r>
            <w:r>
              <w:rPr>
                <w:noProof/>
                <w:webHidden/>
              </w:rPr>
              <w:fldChar w:fldCharType="begin"/>
            </w:r>
            <w:r>
              <w:rPr>
                <w:noProof/>
                <w:webHidden/>
              </w:rPr>
              <w:instrText xml:space="preserve"> PAGEREF _Toc518823305 \h </w:instrText>
            </w:r>
            <w:r>
              <w:rPr>
                <w:noProof/>
                <w:webHidden/>
              </w:rPr>
            </w:r>
            <w:r>
              <w:rPr>
                <w:noProof/>
                <w:webHidden/>
              </w:rPr>
              <w:fldChar w:fldCharType="separate"/>
            </w:r>
            <w:r>
              <w:rPr>
                <w:noProof/>
                <w:webHidden/>
              </w:rPr>
              <w:t>97</w:t>
            </w:r>
            <w:r>
              <w:rPr>
                <w:noProof/>
                <w:webHidden/>
              </w:rPr>
              <w:fldChar w:fldCharType="end"/>
            </w:r>
          </w:hyperlink>
        </w:p>
        <w:p w14:paraId="2D045DEC" w14:textId="357F590E" w:rsidR="001B3FB7" w:rsidRDefault="001B3FB7">
          <w:pPr>
            <w:pStyle w:val="TOC2"/>
            <w:tabs>
              <w:tab w:val="right" w:leader="dot" w:pos="9350"/>
            </w:tabs>
            <w:rPr>
              <w:noProof/>
            </w:rPr>
          </w:pPr>
          <w:hyperlink w:anchor="_Toc518823306" w:history="1">
            <w:r w:rsidRPr="000E6979">
              <w:rPr>
                <w:rStyle w:val="Hyperlink"/>
                <w:rFonts w:cs="Times New Roman"/>
                <w:noProof/>
              </w:rPr>
              <w:t>4.3.7. Thermal stability of UPR, and UPR/rGO composites</w:t>
            </w:r>
            <w:r>
              <w:rPr>
                <w:noProof/>
                <w:webHidden/>
              </w:rPr>
              <w:tab/>
            </w:r>
            <w:r>
              <w:rPr>
                <w:noProof/>
                <w:webHidden/>
              </w:rPr>
              <w:fldChar w:fldCharType="begin"/>
            </w:r>
            <w:r>
              <w:rPr>
                <w:noProof/>
                <w:webHidden/>
              </w:rPr>
              <w:instrText xml:space="preserve"> PAGEREF _Toc518823306 \h </w:instrText>
            </w:r>
            <w:r>
              <w:rPr>
                <w:noProof/>
                <w:webHidden/>
              </w:rPr>
            </w:r>
            <w:r>
              <w:rPr>
                <w:noProof/>
                <w:webHidden/>
              </w:rPr>
              <w:fldChar w:fldCharType="separate"/>
            </w:r>
            <w:r>
              <w:rPr>
                <w:noProof/>
                <w:webHidden/>
              </w:rPr>
              <w:t>100</w:t>
            </w:r>
            <w:r>
              <w:rPr>
                <w:noProof/>
                <w:webHidden/>
              </w:rPr>
              <w:fldChar w:fldCharType="end"/>
            </w:r>
          </w:hyperlink>
        </w:p>
        <w:p w14:paraId="1B93F809" w14:textId="47703A40" w:rsidR="001B3FB7" w:rsidRDefault="001B3FB7">
          <w:pPr>
            <w:pStyle w:val="TOC2"/>
            <w:tabs>
              <w:tab w:val="right" w:leader="dot" w:pos="9350"/>
            </w:tabs>
            <w:rPr>
              <w:noProof/>
            </w:rPr>
          </w:pPr>
          <w:hyperlink w:anchor="_Toc518823307" w:history="1">
            <w:r w:rsidRPr="000E6979">
              <w:rPr>
                <w:rStyle w:val="Hyperlink"/>
                <w:rFonts w:cs="Times New Roman"/>
                <w:noProof/>
              </w:rPr>
              <w:t>4.3.8. Morphology of UPR and UPR/rGO composites</w:t>
            </w:r>
            <w:r>
              <w:rPr>
                <w:noProof/>
                <w:webHidden/>
              </w:rPr>
              <w:tab/>
            </w:r>
            <w:r>
              <w:rPr>
                <w:noProof/>
                <w:webHidden/>
              </w:rPr>
              <w:fldChar w:fldCharType="begin"/>
            </w:r>
            <w:r>
              <w:rPr>
                <w:noProof/>
                <w:webHidden/>
              </w:rPr>
              <w:instrText xml:space="preserve"> PAGEREF _Toc518823307 \h </w:instrText>
            </w:r>
            <w:r>
              <w:rPr>
                <w:noProof/>
                <w:webHidden/>
              </w:rPr>
            </w:r>
            <w:r>
              <w:rPr>
                <w:noProof/>
                <w:webHidden/>
              </w:rPr>
              <w:fldChar w:fldCharType="separate"/>
            </w:r>
            <w:r>
              <w:rPr>
                <w:noProof/>
                <w:webHidden/>
              </w:rPr>
              <w:t>102</w:t>
            </w:r>
            <w:r>
              <w:rPr>
                <w:noProof/>
                <w:webHidden/>
              </w:rPr>
              <w:fldChar w:fldCharType="end"/>
            </w:r>
          </w:hyperlink>
        </w:p>
        <w:p w14:paraId="169F27D2" w14:textId="0B750330" w:rsidR="001B3FB7" w:rsidRDefault="001B3FB7">
          <w:pPr>
            <w:pStyle w:val="TOC1"/>
            <w:rPr>
              <w:noProof/>
            </w:rPr>
          </w:pPr>
          <w:hyperlink w:anchor="_Toc518823308" w:history="1">
            <w:r w:rsidRPr="000E6979">
              <w:rPr>
                <w:rStyle w:val="Hyperlink"/>
                <w:rFonts w:cs="Times New Roman"/>
                <w:noProof/>
              </w:rPr>
              <w:t>4.4. Conclusion</w:t>
            </w:r>
            <w:r>
              <w:rPr>
                <w:noProof/>
                <w:webHidden/>
              </w:rPr>
              <w:tab/>
            </w:r>
            <w:r>
              <w:rPr>
                <w:noProof/>
                <w:webHidden/>
              </w:rPr>
              <w:fldChar w:fldCharType="begin"/>
            </w:r>
            <w:r>
              <w:rPr>
                <w:noProof/>
                <w:webHidden/>
              </w:rPr>
              <w:instrText xml:space="preserve"> PAGEREF _Toc518823308 \h </w:instrText>
            </w:r>
            <w:r>
              <w:rPr>
                <w:noProof/>
                <w:webHidden/>
              </w:rPr>
            </w:r>
            <w:r>
              <w:rPr>
                <w:noProof/>
                <w:webHidden/>
              </w:rPr>
              <w:fldChar w:fldCharType="separate"/>
            </w:r>
            <w:r>
              <w:rPr>
                <w:noProof/>
                <w:webHidden/>
              </w:rPr>
              <w:t>104</w:t>
            </w:r>
            <w:r>
              <w:rPr>
                <w:noProof/>
                <w:webHidden/>
              </w:rPr>
              <w:fldChar w:fldCharType="end"/>
            </w:r>
          </w:hyperlink>
        </w:p>
        <w:p w14:paraId="72C75FC1" w14:textId="0C7C7879" w:rsidR="001B3FB7" w:rsidRDefault="001B3FB7">
          <w:pPr>
            <w:pStyle w:val="TOC1"/>
            <w:rPr>
              <w:noProof/>
            </w:rPr>
          </w:pPr>
          <w:hyperlink w:anchor="_Toc518823309" w:history="1">
            <w:r w:rsidRPr="000E6979">
              <w:rPr>
                <w:rStyle w:val="Hyperlink"/>
                <w:noProof/>
              </w:rPr>
              <w:t>Chapter 5: Conductive unsaturated polyester composites incorporated with vitamin C-reduced graphene oxide in one pot method</w:t>
            </w:r>
            <w:r>
              <w:rPr>
                <w:noProof/>
                <w:webHidden/>
              </w:rPr>
              <w:tab/>
            </w:r>
            <w:r>
              <w:rPr>
                <w:noProof/>
                <w:webHidden/>
              </w:rPr>
              <w:fldChar w:fldCharType="begin"/>
            </w:r>
            <w:r>
              <w:rPr>
                <w:noProof/>
                <w:webHidden/>
              </w:rPr>
              <w:instrText xml:space="preserve"> PAGEREF _Toc518823309 \h </w:instrText>
            </w:r>
            <w:r>
              <w:rPr>
                <w:noProof/>
                <w:webHidden/>
              </w:rPr>
            </w:r>
            <w:r>
              <w:rPr>
                <w:noProof/>
                <w:webHidden/>
              </w:rPr>
              <w:fldChar w:fldCharType="separate"/>
            </w:r>
            <w:r>
              <w:rPr>
                <w:noProof/>
                <w:webHidden/>
              </w:rPr>
              <w:t>106</w:t>
            </w:r>
            <w:r>
              <w:rPr>
                <w:noProof/>
                <w:webHidden/>
              </w:rPr>
              <w:fldChar w:fldCharType="end"/>
            </w:r>
          </w:hyperlink>
        </w:p>
        <w:p w14:paraId="65B15F5B" w14:textId="759CCE2F" w:rsidR="001B3FB7" w:rsidRDefault="001B3FB7">
          <w:pPr>
            <w:pStyle w:val="TOC1"/>
            <w:rPr>
              <w:noProof/>
            </w:rPr>
          </w:pPr>
          <w:hyperlink w:anchor="_Toc518823310" w:history="1">
            <w:r w:rsidRPr="000E6979">
              <w:rPr>
                <w:rStyle w:val="Hyperlink"/>
                <w:rFonts w:cs="Times New Roman"/>
                <w:noProof/>
              </w:rPr>
              <w:t>5.1. Introduction</w:t>
            </w:r>
            <w:r>
              <w:rPr>
                <w:noProof/>
                <w:webHidden/>
              </w:rPr>
              <w:tab/>
            </w:r>
            <w:r>
              <w:rPr>
                <w:noProof/>
                <w:webHidden/>
              </w:rPr>
              <w:fldChar w:fldCharType="begin"/>
            </w:r>
            <w:r>
              <w:rPr>
                <w:noProof/>
                <w:webHidden/>
              </w:rPr>
              <w:instrText xml:space="preserve"> PAGEREF _Toc518823310 \h </w:instrText>
            </w:r>
            <w:r>
              <w:rPr>
                <w:noProof/>
                <w:webHidden/>
              </w:rPr>
            </w:r>
            <w:r>
              <w:rPr>
                <w:noProof/>
                <w:webHidden/>
              </w:rPr>
              <w:fldChar w:fldCharType="separate"/>
            </w:r>
            <w:r>
              <w:rPr>
                <w:noProof/>
                <w:webHidden/>
              </w:rPr>
              <w:t>106</w:t>
            </w:r>
            <w:r>
              <w:rPr>
                <w:noProof/>
                <w:webHidden/>
              </w:rPr>
              <w:fldChar w:fldCharType="end"/>
            </w:r>
          </w:hyperlink>
        </w:p>
        <w:p w14:paraId="60A403CB" w14:textId="6D5A6138" w:rsidR="001B3FB7" w:rsidRDefault="001B3FB7">
          <w:pPr>
            <w:pStyle w:val="TOC1"/>
            <w:rPr>
              <w:noProof/>
            </w:rPr>
          </w:pPr>
          <w:hyperlink w:anchor="_Toc518823311" w:history="1">
            <w:r w:rsidRPr="000E6979">
              <w:rPr>
                <w:rStyle w:val="Hyperlink"/>
                <w:rFonts w:cs="Times New Roman"/>
                <w:noProof/>
              </w:rPr>
              <w:t>5.2. Experimental section</w:t>
            </w:r>
            <w:r>
              <w:rPr>
                <w:noProof/>
                <w:webHidden/>
              </w:rPr>
              <w:tab/>
            </w:r>
            <w:r>
              <w:rPr>
                <w:noProof/>
                <w:webHidden/>
              </w:rPr>
              <w:fldChar w:fldCharType="begin"/>
            </w:r>
            <w:r>
              <w:rPr>
                <w:noProof/>
                <w:webHidden/>
              </w:rPr>
              <w:instrText xml:space="preserve"> PAGEREF _Toc518823311 \h </w:instrText>
            </w:r>
            <w:r>
              <w:rPr>
                <w:noProof/>
                <w:webHidden/>
              </w:rPr>
            </w:r>
            <w:r>
              <w:rPr>
                <w:noProof/>
                <w:webHidden/>
              </w:rPr>
              <w:fldChar w:fldCharType="separate"/>
            </w:r>
            <w:r>
              <w:rPr>
                <w:noProof/>
                <w:webHidden/>
              </w:rPr>
              <w:t>107</w:t>
            </w:r>
            <w:r>
              <w:rPr>
                <w:noProof/>
                <w:webHidden/>
              </w:rPr>
              <w:fldChar w:fldCharType="end"/>
            </w:r>
          </w:hyperlink>
        </w:p>
        <w:p w14:paraId="0F326581" w14:textId="628F21BE" w:rsidR="001B3FB7" w:rsidRDefault="001B3FB7">
          <w:pPr>
            <w:pStyle w:val="TOC2"/>
            <w:tabs>
              <w:tab w:val="right" w:leader="dot" w:pos="9350"/>
            </w:tabs>
            <w:rPr>
              <w:noProof/>
            </w:rPr>
          </w:pPr>
          <w:hyperlink w:anchor="_Toc518823312" w:history="1">
            <w:r w:rsidRPr="000E6979">
              <w:rPr>
                <w:rStyle w:val="Hyperlink"/>
                <w:rFonts w:cs="Times New Roman"/>
                <w:noProof/>
              </w:rPr>
              <w:t>5.2.1. Materials</w:t>
            </w:r>
            <w:r>
              <w:rPr>
                <w:noProof/>
                <w:webHidden/>
              </w:rPr>
              <w:tab/>
            </w:r>
            <w:r>
              <w:rPr>
                <w:noProof/>
                <w:webHidden/>
              </w:rPr>
              <w:fldChar w:fldCharType="begin"/>
            </w:r>
            <w:r>
              <w:rPr>
                <w:noProof/>
                <w:webHidden/>
              </w:rPr>
              <w:instrText xml:space="preserve"> PAGEREF _Toc518823312 \h </w:instrText>
            </w:r>
            <w:r>
              <w:rPr>
                <w:noProof/>
                <w:webHidden/>
              </w:rPr>
            </w:r>
            <w:r>
              <w:rPr>
                <w:noProof/>
                <w:webHidden/>
              </w:rPr>
              <w:fldChar w:fldCharType="separate"/>
            </w:r>
            <w:r>
              <w:rPr>
                <w:noProof/>
                <w:webHidden/>
              </w:rPr>
              <w:t>107</w:t>
            </w:r>
            <w:r>
              <w:rPr>
                <w:noProof/>
                <w:webHidden/>
              </w:rPr>
              <w:fldChar w:fldCharType="end"/>
            </w:r>
          </w:hyperlink>
        </w:p>
        <w:p w14:paraId="1B6CC8C7" w14:textId="72BE9242" w:rsidR="001B3FB7" w:rsidRDefault="001B3FB7">
          <w:pPr>
            <w:pStyle w:val="TOC2"/>
            <w:tabs>
              <w:tab w:val="right" w:leader="dot" w:pos="9350"/>
            </w:tabs>
            <w:rPr>
              <w:noProof/>
            </w:rPr>
          </w:pPr>
          <w:hyperlink w:anchor="_Toc518823313" w:history="1">
            <w:r w:rsidRPr="000E6979">
              <w:rPr>
                <w:rStyle w:val="Hyperlink"/>
                <w:rFonts w:cs="Times New Roman"/>
                <w:noProof/>
              </w:rPr>
              <w:t>5.2.2. Low-temperature reduction of graphene oxide (GO) by L-ascorbic acid (vitamin C)</w:t>
            </w:r>
            <w:r>
              <w:rPr>
                <w:noProof/>
                <w:webHidden/>
              </w:rPr>
              <w:tab/>
            </w:r>
            <w:r>
              <w:rPr>
                <w:noProof/>
                <w:webHidden/>
              </w:rPr>
              <w:fldChar w:fldCharType="begin"/>
            </w:r>
            <w:r>
              <w:rPr>
                <w:noProof/>
                <w:webHidden/>
              </w:rPr>
              <w:instrText xml:space="preserve"> PAGEREF _Toc518823313 \h </w:instrText>
            </w:r>
            <w:r>
              <w:rPr>
                <w:noProof/>
                <w:webHidden/>
              </w:rPr>
            </w:r>
            <w:r>
              <w:rPr>
                <w:noProof/>
                <w:webHidden/>
              </w:rPr>
              <w:fldChar w:fldCharType="separate"/>
            </w:r>
            <w:r>
              <w:rPr>
                <w:noProof/>
                <w:webHidden/>
              </w:rPr>
              <w:t>107</w:t>
            </w:r>
            <w:r>
              <w:rPr>
                <w:noProof/>
                <w:webHidden/>
              </w:rPr>
              <w:fldChar w:fldCharType="end"/>
            </w:r>
          </w:hyperlink>
        </w:p>
        <w:p w14:paraId="375F35A3" w14:textId="78013073" w:rsidR="001B3FB7" w:rsidRDefault="001B3FB7">
          <w:pPr>
            <w:pStyle w:val="TOC2"/>
            <w:tabs>
              <w:tab w:val="right" w:leader="dot" w:pos="9350"/>
            </w:tabs>
            <w:rPr>
              <w:noProof/>
            </w:rPr>
          </w:pPr>
          <w:hyperlink w:anchor="_Toc518823314" w:history="1">
            <w:r w:rsidRPr="000E6979">
              <w:rPr>
                <w:rStyle w:val="Hyperlink"/>
                <w:rFonts w:cs="Times New Roman"/>
                <w:noProof/>
              </w:rPr>
              <w:t>5.2.3. Preparation of UPR/GO and UPR/rGO composites</w:t>
            </w:r>
            <w:r>
              <w:rPr>
                <w:noProof/>
                <w:webHidden/>
              </w:rPr>
              <w:tab/>
            </w:r>
            <w:r>
              <w:rPr>
                <w:noProof/>
                <w:webHidden/>
              </w:rPr>
              <w:fldChar w:fldCharType="begin"/>
            </w:r>
            <w:r>
              <w:rPr>
                <w:noProof/>
                <w:webHidden/>
              </w:rPr>
              <w:instrText xml:space="preserve"> PAGEREF _Toc518823314 \h </w:instrText>
            </w:r>
            <w:r>
              <w:rPr>
                <w:noProof/>
                <w:webHidden/>
              </w:rPr>
            </w:r>
            <w:r>
              <w:rPr>
                <w:noProof/>
                <w:webHidden/>
              </w:rPr>
              <w:fldChar w:fldCharType="separate"/>
            </w:r>
            <w:r>
              <w:rPr>
                <w:noProof/>
                <w:webHidden/>
              </w:rPr>
              <w:t>108</w:t>
            </w:r>
            <w:r>
              <w:rPr>
                <w:noProof/>
                <w:webHidden/>
              </w:rPr>
              <w:fldChar w:fldCharType="end"/>
            </w:r>
          </w:hyperlink>
        </w:p>
        <w:p w14:paraId="5A9982A8" w14:textId="7613B562" w:rsidR="001B3FB7" w:rsidRDefault="001B3FB7">
          <w:pPr>
            <w:pStyle w:val="TOC2"/>
            <w:tabs>
              <w:tab w:val="right" w:leader="dot" w:pos="9350"/>
            </w:tabs>
            <w:rPr>
              <w:noProof/>
            </w:rPr>
          </w:pPr>
          <w:hyperlink w:anchor="_Toc518823315" w:history="1">
            <w:r w:rsidRPr="000E6979">
              <w:rPr>
                <w:rStyle w:val="Hyperlink"/>
                <w:rFonts w:cs="Times New Roman"/>
                <w:noProof/>
              </w:rPr>
              <w:t>5.2.4. Characterization</w:t>
            </w:r>
            <w:r>
              <w:rPr>
                <w:noProof/>
                <w:webHidden/>
              </w:rPr>
              <w:tab/>
            </w:r>
            <w:r>
              <w:rPr>
                <w:noProof/>
                <w:webHidden/>
              </w:rPr>
              <w:fldChar w:fldCharType="begin"/>
            </w:r>
            <w:r>
              <w:rPr>
                <w:noProof/>
                <w:webHidden/>
              </w:rPr>
              <w:instrText xml:space="preserve"> PAGEREF _Toc518823315 \h </w:instrText>
            </w:r>
            <w:r>
              <w:rPr>
                <w:noProof/>
                <w:webHidden/>
              </w:rPr>
            </w:r>
            <w:r>
              <w:rPr>
                <w:noProof/>
                <w:webHidden/>
              </w:rPr>
              <w:fldChar w:fldCharType="separate"/>
            </w:r>
            <w:r>
              <w:rPr>
                <w:noProof/>
                <w:webHidden/>
              </w:rPr>
              <w:t>109</w:t>
            </w:r>
            <w:r>
              <w:rPr>
                <w:noProof/>
                <w:webHidden/>
              </w:rPr>
              <w:fldChar w:fldCharType="end"/>
            </w:r>
          </w:hyperlink>
        </w:p>
        <w:p w14:paraId="4E365C12" w14:textId="7990BAFD" w:rsidR="001B3FB7" w:rsidRDefault="001B3FB7">
          <w:pPr>
            <w:pStyle w:val="TOC3"/>
            <w:tabs>
              <w:tab w:val="right" w:leader="dot" w:pos="9350"/>
            </w:tabs>
            <w:rPr>
              <w:noProof/>
              <w:lang w:val="en-GB"/>
            </w:rPr>
          </w:pPr>
          <w:hyperlink w:anchor="_Toc518823316" w:history="1">
            <w:r w:rsidRPr="000E6979">
              <w:rPr>
                <w:rStyle w:val="Hyperlink"/>
                <w:noProof/>
              </w:rPr>
              <w:t>5.2.4.1. Fourier transform infrared spectroscopy (FTIR)</w:t>
            </w:r>
            <w:r>
              <w:rPr>
                <w:noProof/>
                <w:webHidden/>
              </w:rPr>
              <w:tab/>
            </w:r>
            <w:r>
              <w:rPr>
                <w:noProof/>
                <w:webHidden/>
              </w:rPr>
              <w:fldChar w:fldCharType="begin"/>
            </w:r>
            <w:r>
              <w:rPr>
                <w:noProof/>
                <w:webHidden/>
              </w:rPr>
              <w:instrText xml:space="preserve"> PAGEREF _Toc518823316 \h </w:instrText>
            </w:r>
            <w:r>
              <w:rPr>
                <w:noProof/>
                <w:webHidden/>
              </w:rPr>
            </w:r>
            <w:r>
              <w:rPr>
                <w:noProof/>
                <w:webHidden/>
              </w:rPr>
              <w:fldChar w:fldCharType="separate"/>
            </w:r>
            <w:r>
              <w:rPr>
                <w:noProof/>
                <w:webHidden/>
              </w:rPr>
              <w:t>109</w:t>
            </w:r>
            <w:r>
              <w:rPr>
                <w:noProof/>
                <w:webHidden/>
              </w:rPr>
              <w:fldChar w:fldCharType="end"/>
            </w:r>
          </w:hyperlink>
        </w:p>
        <w:p w14:paraId="1676EDBE" w14:textId="07CA5E26" w:rsidR="001B3FB7" w:rsidRDefault="001B3FB7">
          <w:pPr>
            <w:pStyle w:val="TOC3"/>
            <w:tabs>
              <w:tab w:val="right" w:leader="dot" w:pos="9350"/>
            </w:tabs>
            <w:rPr>
              <w:noProof/>
              <w:lang w:val="en-GB"/>
            </w:rPr>
          </w:pPr>
          <w:hyperlink w:anchor="_Toc518823317" w:history="1">
            <w:r w:rsidRPr="000E6979">
              <w:rPr>
                <w:rStyle w:val="Hyperlink"/>
                <w:noProof/>
              </w:rPr>
              <w:t>5.2.4.2. Thermogravimetric analysis (TGA)</w:t>
            </w:r>
            <w:r>
              <w:rPr>
                <w:noProof/>
                <w:webHidden/>
              </w:rPr>
              <w:tab/>
            </w:r>
            <w:r>
              <w:rPr>
                <w:noProof/>
                <w:webHidden/>
              </w:rPr>
              <w:fldChar w:fldCharType="begin"/>
            </w:r>
            <w:r>
              <w:rPr>
                <w:noProof/>
                <w:webHidden/>
              </w:rPr>
              <w:instrText xml:space="preserve"> PAGEREF _Toc518823317 \h </w:instrText>
            </w:r>
            <w:r>
              <w:rPr>
                <w:noProof/>
                <w:webHidden/>
              </w:rPr>
            </w:r>
            <w:r>
              <w:rPr>
                <w:noProof/>
                <w:webHidden/>
              </w:rPr>
              <w:fldChar w:fldCharType="separate"/>
            </w:r>
            <w:r>
              <w:rPr>
                <w:noProof/>
                <w:webHidden/>
              </w:rPr>
              <w:t>109</w:t>
            </w:r>
            <w:r>
              <w:rPr>
                <w:noProof/>
                <w:webHidden/>
              </w:rPr>
              <w:fldChar w:fldCharType="end"/>
            </w:r>
          </w:hyperlink>
        </w:p>
        <w:p w14:paraId="6B8B4546" w14:textId="0297155C" w:rsidR="001B3FB7" w:rsidRDefault="001B3FB7">
          <w:pPr>
            <w:pStyle w:val="TOC3"/>
            <w:tabs>
              <w:tab w:val="right" w:leader="dot" w:pos="9350"/>
            </w:tabs>
            <w:rPr>
              <w:noProof/>
              <w:lang w:val="en-GB"/>
            </w:rPr>
          </w:pPr>
          <w:hyperlink w:anchor="_Toc518823318" w:history="1">
            <w:r w:rsidRPr="000E6979">
              <w:rPr>
                <w:rStyle w:val="Hyperlink"/>
                <w:noProof/>
              </w:rPr>
              <w:t>5.2.4.3. Dynamic mechanical analysis (DMA)</w:t>
            </w:r>
            <w:r>
              <w:rPr>
                <w:noProof/>
                <w:webHidden/>
              </w:rPr>
              <w:tab/>
            </w:r>
            <w:r>
              <w:rPr>
                <w:noProof/>
                <w:webHidden/>
              </w:rPr>
              <w:fldChar w:fldCharType="begin"/>
            </w:r>
            <w:r>
              <w:rPr>
                <w:noProof/>
                <w:webHidden/>
              </w:rPr>
              <w:instrText xml:space="preserve"> PAGEREF _Toc518823318 \h </w:instrText>
            </w:r>
            <w:r>
              <w:rPr>
                <w:noProof/>
                <w:webHidden/>
              </w:rPr>
            </w:r>
            <w:r>
              <w:rPr>
                <w:noProof/>
                <w:webHidden/>
              </w:rPr>
              <w:fldChar w:fldCharType="separate"/>
            </w:r>
            <w:r>
              <w:rPr>
                <w:noProof/>
                <w:webHidden/>
              </w:rPr>
              <w:t>109</w:t>
            </w:r>
            <w:r>
              <w:rPr>
                <w:noProof/>
                <w:webHidden/>
              </w:rPr>
              <w:fldChar w:fldCharType="end"/>
            </w:r>
          </w:hyperlink>
        </w:p>
        <w:p w14:paraId="58ED718F" w14:textId="5CC5EC59" w:rsidR="001B3FB7" w:rsidRDefault="001B3FB7">
          <w:pPr>
            <w:pStyle w:val="TOC3"/>
            <w:tabs>
              <w:tab w:val="right" w:leader="dot" w:pos="9350"/>
            </w:tabs>
            <w:rPr>
              <w:noProof/>
              <w:lang w:val="en-GB"/>
            </w:rPr>
          </w:pPr>
          <w:hyperlink w:anchor="_Toc518823319" w:history="1">
            <w:r w:rsidRPr="000E6979">
              <w:rPr>
                <w:rStyle w:val="Hyperlink"/>
                <w:noProof/>
              </w:rPr>
              <w:t>5.2.4.4. Scanning electron microscope (SEM)</w:t>
            </w:r>
            <w:r>
              <w:rPr>
                <w:noProof/>
                <w:webHidden/>
              </w:rPr>
              <w:tab/>
            </w:r>
            <w:r>
              <w:rPr>
                <w:noProof/>
                <w:webHidden/>
              </w:rPr>
              <w:fldChar w:fldCharType="begin"/>
            </w:r>
            <w:r>
              <w:rPr>
                <w:noProof/>
                <w:webHidden/>
              </w:rPr>
              <w:instrText xml:space="preserve"> PAGEREF _Toc518823319 \h </w:instrText>
            </w:r>
            <w:r>
              <w:rPr>
                <w:noProof/>
                <w:webHidden/>
              </w:rPr>
            </w:r>
            <w:r>
              <w:rPr>
                <w:noProof/>
                <w:webHidden/>
              </w:rPr>
              <w:fldChar w:fldCharType="separate"/>
            </w:r>
            <w:r>
              <w:rPr>
                <w:noProof/>
                <w:webHidden/>
              </w:rPr>
              <w:t>110</w:t>
            </w:r>
            <w:r>
              <w:rPr>
                <w:noProof/>
                <w:webHidden/>
              </w:rPr>
              <w:fldChar w:fldCharType="end"/>
            </w:r>
          </w:hyperlink>
        </w:p>
        <w:p w14:paraId="282A60C7" w14:textId="5F4D8297" w:rsidR="001B3FB7" w:rsidRDefault="001B3FB7">
          <w:pPr>
            <w:pStyle w:val="TOC3"/>
            <w:tabs>
              <w:tab w:val="right" w:leader="dot" w:pos="9350"/>
            </w:tabs>
            <w:rPr>
              <w:noProof/>
              <w:lang w:val="en-GB"/>
            </w:rPr>
          </w:pPr>
          <w:hyperlink w:anchor="_Toc518823320" w:history="1">
            <w:r w:rsidRPr="000E6979">
              <w:rPr>
                <w:rStyle w:val="Hyperlink"/>
                <w:noProof/>
              </w:rPr>
              <w:t>5.2.4.5. Electrical conductivity</w:t>
            </w:r>
            <w:r>
              <w:rPr>
                <w:noProof/>
                <w:webHidden/>
              </w:rPr>
              <w:tab/>
            </w:r>
            <w:r>
              <w:rPr>
                <w:noProof/>
                <w:webHidden/>
              </w:rPr>
              <w:fldChar w:fldCharType="begin"/>
            </w:r>
            <w:r>
              <w:rPr>
                <w:noProof/>
                <w:webHidden/>
              </w:rPr>
              <w:instrText xml:space="preserve"> PAGEREF _Toc518823320 \h </w:instrText>
            </w:r>
            <w:r>
              <w:rPr>
                <w:noProof/>
                <w:webHidden/>
              </w:rPr>
            </w:r>
            <w:r>
              <w:rPr>
                <w:noProof/>
                <w:webHidden/>
              </w:rPr>
              <w:fldChar w:fldCharType="separate"/>
            </w:r>
            <w:r>
              <w:rPr>
                <w:noProof/>
                <w:webHidden/>
              </w:rPr>
              <w:t>110</w:t>
            </w:r>
            <w:r>
              <w:rPr>
                <w:noProof/>
                <w:webHidden/>
              </w:rPr>
              <w:fldChar w:fldCharType="end"/>
            </w:r>
          </w:hyperlink>
        </w:p>
        <w:p w14:paraId="7CCF865C" w14:textId="68C3F8DD" w:rsidR="001B3FB7" w:rsidRDefault="001B3FB7">
          <w:pPr>
            <w:pStyle w:val="TOC1"/>
            <w:rPr>
              <w:noProof/>
            </w:rPr>
          </w:pPr>
          <w:hyperlink w:anchor="_Toc518823321" w:history="1">
            <w:r w:rsidRPr="000E6979">
              <w:rPr>
                <w:rStyle w:val="Hyperlink"/>
                <w:rFonts w:cs="Times New Roman"/>
                <w:noProof/>
              </w:rPr>
              <w:t>5.3. Results and Discussion</w:t>
            </w:r>
            <w:r>
              <w:rPr>
                <w:noProof/>
                <w:webHidden/>
              </w:rPr>
              <w:tab/>
            </w:r>
            <w:r>
              <w:rPr>
                <w:noProof/>
                <w:webHidden/>
              </w:rPr>
              <w:fldChar w:fldCharType="begin"/>
            </w:r>
            <w:r>
              <w:rPr>
                <w:noProof/>
                <w:webHidden/>
              </w:rPr>
              <w:instrText xml:space="preserve"> PAGEREF _Toc518823321 \h </w:instrText>
            </w:r>
            <w:r>
              <w:rPr>
                <w:noProof/>
                <w:webHidden/>
              </w:rPr>
            </w:r>
            <w:r>
              <w:rPr>
                <w:noProof/>
                <w:webHidden/>
              </w:rPr>
              <w:fldChar w:fldCharType="separate"/>
            </w:r>
            <w:r>
              <w:rPr>
                <w:noProof/>
                <w:webHidden/>
              </w:rPr>
              <w:t>110</w:t>
            </w:r>
            <w:r>
              <w:rPr>
                <w:noProof/>
                <w:webHidden/>
              </w:rPr>
              <w:fldChar w:fldCharType="end"/>
            </w:r>
          </w:hyperlink>
        </w:p>
        <w:p w14:paraId="40626FFB" w14:textId="2A7A9ADF" w:rsidR="001B3FB7" w:rsidRDefault="001B3FB7">
          <w:pPr>
            <w:pStyle w:val="TOC2"/>
            <w:tabs>
              <w:tab w:val="right" w:leader="dot" w:pos="9350"/>
            </w:tabs>
            <w:rPr>
              <w:noProof/>
            </w:rPr>
          </w:pPr>
          <w:hyperlink w:anchor="_Toc518823322" w:history="1">
            <w:r w:rsidRPr="000E6979">
              <w:rPr>
                <w:rStyle w:val="Hyperlink"/>
                <w:rFonts w:cs="Times New Roman"/>
                <w:noProof/>
              </w:rPr>
              <w:t>5.3.1. Low-temperature reduction of GO by L-ascorbic acid (vitamin C)</w:t>
            </w:r>
            <w:r>
              <w:rPr>
                <w:noProof/>
                <w:webHidden/>
              </w:rPr>
              <w:tab/>
            </w:r>
            <w:r>
              <w:rPr>
                <w:noProof/>
                <w:webHidden/>
              </w:rPr>
              <w:fldChar w:fldCharType="begin"/>
            </w:r>
            <w:r>
              <w:rPr>
                <w:noProof/>
                <w:webHidden/>
              </w:rPr>
              <w:instrText xml:space="preserve"> PAGEREF _Toc518823322 \h </w:instrText>
            </w:r>
            <w:r>
              <w:rPr>
                <w:noProof/>
                <w:webHidden/>
              </w:rPr>
            </w:r>
            <w:r>
              <w:rPr>
                <w:noProof/>
                <w:webHidden/>
              </w:rPr>
              <w:fldChar w:fldCharType="separate"/>
            </w:r>
            <w:r>
              <w:rPr>
                <w:noProof/>
                <w:webHidden/>
              </w:rPr>
              <w:t>110</w:t>
            </w:r>
            <w:r>
              <w:rPr>
                <w:noProof/>
                <w:webHidden/>
              </w:rPr>
              <w:fldChar w:fldCharType="end"/>
            </w:r>
          </w:hyperlink>
        </w:p>
        <w:p w14:paraId="1B6ED411" w14:textId="33DB4556" w:rsidR="001B3FB7" w:rsidRDefault="001B3FB7">
          <w:pPr>
            <w:pStyle w:val="TOC3"/>
            <w:tabs>
              <w:tab w:val="right" w:leader="dot" w:pos="9350"/>
            </w:tabs>
            <w:rPr>
              <w:noProof/>
              <w:lang w:val="en-GB"/>
            </w:rPr>
          </w:pPr>
          <w:hyperlink w:anchor="_Toc518823323" w:history="1">
            <w:r w:rsidRPr="000E6979">
              <w:rPr>
                <w:rStyle w:val="Hyperlink"/>
                <w:rFonts w:cs="Times New Roman"/>
                <w:noProof/>
              </w:rPr>
              <w:t>5.3.1.1. FTIR analysis</w:t>
            </w:r>
            <w:r>
              <w:rPr>
                <w:noProof/>
                <w:webHidden/>
              </w:rPr>
              <w:tab/>
            </w:r>
            <w:r>
              <w:rPr>
                <w:noProof/>
                <w:webHidden/>
              </w:rPr>
              <w:fldChar w:fldCharType="begin"/>
            </w:r>
            <w:r>
              <w:rPr>
                <w:noProof/>
                <w:webHidden/>
              </w:rPr>
              <w:instrText xml:space="preserve"> PAGEREF _Toc518823323 \h </w:instrText>
            </w:r>
            <w:r>
              <w:rPr>
                <w:noProof/>
                <w:webHidden/>
              </w:rPr>
            </w:r>
            <w:r>
              <w:rPr>
                <w:noProof/>
                <w:webHidden/>
              </w:rPr>
              <w:fldChar w:fldCharType="separate"/>
            </w:r>
            <w:r>
              <w:rPr>
                <w:noProof/>
                <w:webHidden/>
              </w:rPr>
              <w:t>110</w:t>
            </w:r>
            <w:r>
              <w:rPr>
                <w:noProof/>
                <w:webHidden/>
              </w:rPr>
              <w:fldChar w:fldCharType="end"/>
            </w:r>
          </w:hyperlink>
        </w:p>
        <w:p w14:paraId="05CA4887" w14:textId="2F2AF7D5" w:rsidR="001B3FB7" w:rsidRDefault="001B3FB7">
          <w:pPr>
            <w:pStyle w:val="TOC3"/>
            <w:tabs>
              <w:tab w:val="right" w:leader="dot" w:pos="9350"/>
            </w:tabs>
            <w:rPr>
              <w:noProof/>
              <w:lang w:val="en-GB"/>
            </w:rPr>
          </w:pPr>
          <w:hyperlink w:anchor="_Toc518823324" w:history="1">
            <w:r w:rsidRPr="000E6979">
              <w:rPr>
                <w:rStyle w:val="Hyperlink"/>
                <w:rFonts w:cs="Times New Roman"/>
                <w:noProof/>
              </w:rPr>
              <w:t>5.3.1.2. Thermogravimetric analysis (TGA)</w:t>
            </w:r>
            <w:r>
              <w:rPr>
                <w:noProof/>
                <w:webHidden/>
              </w:rPr>
              <w:tab/>
            </w:r>
            <w:r>
              <w:rPr>
                <w:noProof/>
                <w:webHidden/>
              </w:rPr>
              <w:fldChar w:fldCharType="begin"/>
            </w:r>
            <w:r>
              <w:rPr>
                <w:noProof/>
                <w:webHidden/>
              </w:rPr>
              <w:instrText xml:space="preserve"> PAGEREF _Toc518823324 \h </w:instrText>
            </w:r>
            <w:r>
              <w:rPr>
                <w:noProof/>
                <w:webHidden/>
              </w:rPr>
            </w:r>
            <w:r>
              <w:rPr>
                <w:noProof/>
                <w:webHidden/>
              </w:rPr>
              <w:fldChar w:fldCharType="separate"/>
            </w:r>
            <w:r>
              <w:rPr>
                <w:noProof/>
                <w:webHidden/>
              </w:rPr>
              <w:t>111</w:t>
            </w:r>
            <w:r>
              <w:rPr>
                <w:noProof/>
                <w:webHidden/>
              </w:rPr>
              <w:fldChar w:fldCharType="end"/>
            </w:r>
          </w:hyperlink>
        </w:p>
        <w:p w14:paraId="3C4D06EF" w14:textId="45AEDD69" w:rsidR="001B3FB7" w:rsidRDefault="001B3FB7">
          <w:pPr>
            <w:pStyle w:val="TOC2"/>
            <w:tabs>
              <w:tab w:val="right" w:leader="dot" w:pos="9350"/>
            </w:tabs>
            <w:rPr>
              <w:noProof/>
            </w:rPr>
          </w:pPr>
          <w:hyperlink w:anchor="_Toc518823325" w:history="1">
            <w:r w:rsidRPr="000E6979">
              <w:rPr>
                <w:rStyle w:val="Hyperlink"/>
                <w:rFonts w:cs="Times New Roman"/>
                <w:noProof/>
              </w:rPr>
              <w:t>5.3.2. Chemical structures of UPR, UPR/rGO, and UPR/GO composites</w:t>
            </w:r>
            <w:r>
              <w:rPr>
                <w:noProof/>
                <w:webHidden/>
              </w:rPr>
              <w:tab/>
            </w:r>
            <w:r>
              <w:rPr>
                <w:noProof/>
                <w:webHidden/>
              </w:rPr>
              <w:fldChar w:fldCharType="begin"/>
            </w:r>
            <w:r>
              <w:rPr>
                <w:noProof/>
                <w:webHidden/>
              </w:rPr>
              <w:instrText xml:space="preserve"> PAGEREF _Toc518823325 \h </w:instrText>
            </w:r>
            <w:r>
              <w:rPr>
                <w:noProof/>
                <w:webHidden/>
              </w:rPr>
            </w:r>
            <w:r>
              <w:rPr>
                <w:noProof/>
                <w:webHidden/>
              </w:rPr>
              <w:fldChar w:fldCharType="separate"/>
            </w:r>
            <w:r>
              <w:rPr>
                <w:noProof/>
                <w:webHidden/>
              </w:rPr>
              <w:t>112</w:t>
            </w:r>
            <w:r>
              <w:rPr>
                <w:noProof/>
                <w:webHidden/>
              </w:rPr>
              <w:fldChar w:fldCharType="end"/>
            </w:r>
          </w:hyperlink>
        </w:p>
        <w:p w14:paraId="720FD8E3" w14:textId="3F20EB0D" w:rsidR="001B3FB7" w:rsidRDefault="001B3FB7">
          <w:pPr>
            <w:pStyle w:val="TOC2"/>
            <w:tabs>
              <w:tab w:val="right" w:leader="dot" w:pos="9350"/>
            </w:tabs>
            <w:rPr>
              <w:noProof/>
            </w:rPr>
          </w:pPr>
          <w:hyperlink w:anchor="_Toc518823326" w:history="1">
            <w:r w:rsidRPr="000E6979">
              <w:rPr>
                <w:rStyle w:val="Hyperlink"/>
                <w:rFonts w:cs="Times New Roman"/>
                <w:noProof/>
              </w:rPr>
              <w:t>5.3.3. Thermal stability of UPR, UPR/GO, and UPR/rGO composites</w:t>
            </w:r>
            <w:r>
              <w:rPr>
                <w:noProof/>
                <w:webHidden/>
              </w:rPr>
              <w:tab/>
            </w:r>
            <w:r>
              <w:rPr>
                <w:noProof/>
                <w:webHidden/>
              </w:rPr>
              <w:fldChar w:fldCharType="begin"/>
            </w:r>
            <w:r>
              <w:rPr>
                <w:noProof/>
                <w:webHidden/>
              </w:rPr>
              <w:instrText xml:space="preserve"> PAGEREF _Toc518823326 \h </w:instrText>
            </w:r>
            <w:r>
              <w:rPr>
                <w:noProof/>
                <w:webHidden/>
              </w:rPr>
            </w:r>
            <w:r>
              <w:rPr>
                <w:noProof/>
                <w:webHidden/>
              </w:rPr>
              <w:fldChar w:fldCharType="separate"/>
            </w:r>
            <w:r>
              <w:rPr>
                <w:noProof/>
                <w:webHidden/>
              </w:rPr>
              <w:t>114</w:t>
            </w:r>
            <w:r>
              <w:rPr>
                <w:noProof/>
                <w:webHidden/>
              </w:rPr>
              <w:fldChar w:fldCharType="end"/>
            </w:r>
          </w:hyperlink>
        </w:p>
        <w:p w14:paraId="6500630A" w14:textId="588F461B" w:rsidR="001B3FB7" w:rsidRDefault="001B3FB7">
          <w:pPr>
            <w:pStyle w:val="TOC2"/>
            <w:tabs>
              <w:tab w:val="right" w:leader="dot" w:pos="9350"/>
            </w:tabs>
            <w:rPr>
              <w:noProof/>
            </w:rPr>
          </w:pPr>
          <w:hyperlink w:anchor="_Toc518823327" w:history="1">
            <w:r w:rsidRPr="000E6979">
              <w:rPr>
                <w:rStyle w:val="Hyperlink"/>
                <w:rFonts w:cs="Times New Roman"/>
                <w:noProof/>
              </w:rPr>
              <w:t>5.3.4. Electrical property of UPR/rGO composites</w:t>
            </w:r>
            <w:r>
              <w:rPr>
                <w:noProof/>
                <w:webHidden/>
              </w:rPr>
              <w:tab/>
            </w:r>
            <w:r>
              <w:rPr>
                <w:noProof/>
                <w:webHidden/>
              </w:rPr>
              <w:fldChar w:fldCharType="begin"/>
            </w:r>
            <w:r>
              <w:rPr>
                <w:noProof/>
                <w:webHidden/>
              </w:rPr>
              <w:instrText xml:space="preserve"> PAGEREF _Toc518823327 \h </w:instrText>
            </w:r>
            <w:r>
              <w:rPr>
                <w:noProof/>
                <w:webHidden/>
              </w:rPr>
            </w:r>
            <w:r>
              <w:rPr>
                <w:noProof/>
                <w:webHidden/>
              </w:rPr>
              <w:fldChar w:fldCharType="separate"/>
            </w:r>
            <w:r>
              <w:rPr>
                <w:noProof/>
                <w:webHidden/>
              </w:rPr>
              <w:t>116</w:t>
            </w:r>
            <w:r>
              <w:rPr>
                <w:noProof/>
                <w:webHidden/>
              </w:rPr>
              <w:fldChar w:fldCharType="end"/>
            </w:r>
          </w:hyperlink>
        </w:p>
        <w:p w14:paraId="5AE46A19" w14:textId="41AF3EDB" w:rsidR="001B3FB7" w:rsidRDefault="001B3FB7">
          <w:pPr>
            <w:pStyle w:val="TOC2"/>
            <w:tabs>
              <w:tab w:val="right" w:leader="dot" w:pos="9350"/>
            </w:tabs>
            <w:rPr>
              <w:noProof/>
            </w:rPr>
          </w:pPr>
          <w:hyperlink w:anchor="_Toc518823328" w:history="1">
            <w:r w:rsidRPr="000E6979">
              <w:rPr>
                <w:rStyle w:val="Hyperlink"/>
                <w:rFonts w:cs="Times New Roman"/>
                <w:noProof/>
              </w:rPr>
              <w:t>5.3.5. Dynamic mechanical properties of UPR, UPR/GO, and UPR/rGO composites</w:t>
            </w:r>
            <w:r>
              <w:rPr>
                <w:noProof/>
                <w:webHidden/>
              </w:rPr>
              <w:tab/>
            </w:r>
            <w:r>
              <w:rPr>
                <w:noProof/>
                <w:webHidden/>
              </w:rPr>
              <w:fldChar w:fldCharType="begin"/>
            </w:r>
            <w:r>
              <w:rPr>
                <w:noProof/>
                <w:webHidden/>
              </w:rPr>
              <w:instrText xml:space="preserve"> PAGEREF _Toc518823328 \h </w:instrText>
            </w:r>
            <w:r>
              <w:rPr>
                <w:noProof/>
                <w:webHidden/>
              </w:rPr>
            </w:r>
            <w:r>
              <w:rPr>
                <w:noProof/>
                <w:webHidden/>
              </w:rPr>
              <w:fldChar w:fldCharType="separate"/>
            </w:r>
            <w:r>
              <w:rPr>
                <w:noProof/>
                <w:webHidden/>
              </w:rPr>
              <w:t>118</w:t>
            </w:r>
            <w:r>
              <w:rPr>
                <w:noProof/>
                <w:webHidden/>
              </w:rPr>
              <w:fldChar w:fldCharType="end"/>
            </w:r>
          </w:hyperlink>
        </w:p>
        <w:p w14:paraId="07C71767" w14:textId="0E6E0B9F" w:rsidR="001B3FB7" w:rsidRDefault="001B3FB7">
          <w:pPr>
            <w:pStyle w:val="TOC2"/>
            <w:tabs>
              <w:tab w:val="right" w:leader="dot" w:pos="9350"/>
            </w:tabs>
            <w:rPr>
              <w:noProof/>
            </w:rPr>
          </w:pPr>
          <w:hyperlink w:anchor="_Toc518823329" w:history="1">
            <w:r w:rsidRPr="000E6979">
              <w:rPr>
                <w:rStyle w:val="Hyperlink"/>
                <w:rFonts w:cs="Times New Roman"/>
                <w:noProof/>
              </w:rPr>
              <w:t>5.3.6. The morphology of UPR, UPR/GO, and UPR/rGO composites.</w:t>
            </w:r>
            <w:r>
              <w:rPr>
                <w:noProof/>
                <w:webHidden/>
              </w:rPr>
              <w:tab/>
            </w:r>
            <w:r>
              <w:rPr>
                <w:noProof/>
                <w:webHidden/>
              </w:rPr>
              <w:fldChar w:fldCharType="begin"/>
            </w:r>
            <w:r>
              <w:rPr>
                <w:noProof/>
                <w:webHidden/>
              </w:rPr>
              <w:instrText xml:space="preserve"> PAGEREF _Toc518823329 \h </w:instrText>
            </w:r>
            <w:r>
              <w:rPr>
                <w:noProof/>
                <w:webHidden/>
              </w:rPr>
            </w:r>
            <w:r>
              <w:rPr>
                <w:noProof/>
                <w:webHidden/>
              </w:rPr>
              <w:fldChar w:fldCharType="separate"/>
            </w:r>
            <w:r>
              <w:rPr>
                <w:noProof/>
                <w:webHidden/>
              </w:rPr>
              <w:t>122</w:t>
            </w:r>
            <w:r>
              <w:rPr>
                <w:noProof/>
                <w:webHidden/>
              </w:rPr>
              <w:fldChar w:fldCharType="end"/>
            </w:r>
          </w:hyperlink>
        </w:p>
        <w:p w14:paraId="7BD9877B" w14:textId="1F1F356B" w:rsidR="001B3FB7" w:rsidRDefault="001B3FB7">
          <w:pPr>
            <w:pStyle w:val="TOC1"/>
            <w:rPr>
              <w:noProof/>
            </w:rPr>
          </w:pPr>
          <w:hyperlink w:anchor="_Toc518823330" w:history="1">
            <w:r w:rsidRPr="000E6979">
              <w:rPr>
                <w:rStyle w:val="Hyperlink"/>
                <w:rFonts w:cs="Times New Roman"/>
                <w:noProof/>
              </w:rPr>
              <w:t>5.4. Conclusion</w:t>
            </w:r>
            <w:r>
              <w:rPr>
                <w:noProof/>
                <w:webHidden/>
              </w:rPr>
              <w:tab/>
            </w:r>
            <w:r>
              <w:rPr>
                <w:noProof/>
                <w:webHidden/>
              </w:rPr>
              <w:fldChar w:fldCharType="begin"/>
            </w:r>
            <w:r>
              <w:rPr>
                <w:noProof/>
                <w:webHidden/>
              </w:rPr>
              <w:instrText xml:space="preserve"> PAGEREF _Toc518823330 \h </w:instrText>
            </w:r>
            <w:r>
              <w:rPr>
                <w:noProof/>
                <w:webHidden/>
              </w:rPr>
            </w:r>
            <w:r>
              <w:rPr>
                <w:noProof/>
                <w:webHidden/>
              </w:rPr>
              <w:fldChar w:fldCharType="separate"/>
            </w:r>
            <w:r>
              <w:rPr>
                <w:noProof/>
                <w:webHidden/>
              </w:rPr>
              <w:t>124</w:t>
            </w:r>
            <w:r>
              <w:rPr>
                <w:noProof/>
                <w:webHidden/>
              </w:rPr>
              <w:fldChar w:fldCharType="end"/>
            </w:r>
          </w:hyperlink>
        </w:p>
        <w:p w14:paraId="632F7B4F" w14:textId="71CE6A00" w:rsidR="001B3FB7" w:rsidRDefault="001B3FB7">
          <w:pPr>
            <w:pStyle w:val="TOC1"/>
            <w:rPr>
              <w:noProof/>
            </w:rPr>
          </w:pPr>
          <w:hyperlink w:anchor="_Toc518823331" w:history="1">
            <w:r w:rsidRPr="000E6979">
              <w:rPr>
                <w:rStyle w:val="Hyperlink"/>
                <w:noProof/>
              </w:rPr>
              <w:t>Chapter 6: Synthesis and characterization of bio-based hyperbranched polyester and its nanocomposites with self-healing behavior</w:t>
            </w:r>
            <w:r>
              <w:rPr>
                <w:noProof/>
                <w:webHidden/>
              </w:rPr>
              <w:tab/>
            </w:r>
            <w:r>
              <w:rPr>
                <w:noProof/>
                <w:webHidden/>
              </w:rPr>
              <w:fldChar w:fldCharType="begin"/>
            </w:r>
            <w:r>
              <w:rPr>
                <w:noProof/>
                <w:webHidden/>
              </w:rPr>
              <w:instrText xml:space="preserve"> PAGEREF _Toc518823331 \h </w:instrText>
            </w:r>
            <w:r>
              <w:rPr>
                <w:noProof/>
                <w:webHidden/>
              </w:rPr>
            </w:r>
            <w:r>
              <w:rPr>
                <w:noProof/>
                <w:webHidden/>
              </w:rPr>
              <w:fldChar w:fldCharType="separate"/>
            </w:r>
            <w:r>
              <w:rPr>
                <w:noProof/>
                <w:webHidden/>
              </w:rPr>
              <w:t>125</w:t>
            </w:r>
            <w:r>
              <w:rPr>
                <w:noProof/>
                <w:webHidden/>
              </w:rPr>
              <w:fldChar w:fldCharType="end"/>
            </w:r>
          </w:hyperlink>
        </w:p>
        <w:p w14:paraId="2F9A68D5" w14:textId="3BF8EECC" w:rsidR="001B3FB7" w:rsidRDefault="001B3FB7">
          <w:pPr>
            <w:pStyle w:val="TOC1"/>
            <w:rPr>
              <w:noProof/>
            </w:rPr>
          </w:pPr>
          <w:hyperlink w:anchor="_Toc518823332" w:history="1">
            <w:r w:rsidRPr="000E6979">
              <w:rPr>
                <w:rStyle w:val="Hyperlink"/>
                <w:noProof/>
              </w:rPr>
              <w:t>6.1. Introduction</w:t>
            </w:r>
            <w:r>
              <w:rPr>
                <w:noProof/>
                <w:webHidden/>
              </w:rPr>
              <w:tab/>
            </w:r>
            <w:r>
              <w:rPr>
                <w:noProof/>
                <w:webHidden/>
              </w:rPr>
              <w:fldChar w:fldCharType="begin"/>
            </w:r>
            <w:r>
              <w:rPr>
                <w:noProof/>
                <w:webHidden/>
              </w:rPr>
              <w:instrText xml:space="preserve"> PAGEREF _Toc518823332 \h </w:instrText>
            </w:r>
            <w:r>
              <w:rPr>
                <w:noProof/>
                <w:webHidden/>
              </w:rPr>
            </w:r>
            <w:r>
              <w:rPr>
                <w:noProof/>
                <w:webHidden/>
              </w:rPr>
              <w:fldChar w:fldCharType="separate"/>
            </w:r>
            <w:r>
              <w:rPr>
                <w:noProof/>
                <w:webHidden/>
              </w:rPr>
              <w:t>125</w:t>
            </w:r>
            <w:r>
              <w:rPr>
                <w:noProof/>
                <w:webHidden/>
              </w:rPr>
              <w:fldChar w:fldCharType="end"/>
            </w:r>
          </w:hyperlink>
        </w:p>
        <w:p w14:paraId="51B472C4" w14:textId="5F66FBC4" w:rsidR="001B3FB7" w:rsidRDefault="001B3FB7">
          <w:pPr>
            <w:pStyle w:val="TOC1"/>
            <w:rPr>
              <w:noProof/>
            </w:rPr>
          </w:pPr>
          <w:hyperlink w:anchor="_Toc518823333" w:history="1">
            <w:r w:rsidRPr="000E6979">
              <w:rPr>
                <w:rStyle w:val="Hyperlink"/>
                <w:noProof/>
              </w:rPr>
              <w:t>6.2. Experiment</w:t>
            </w:r>
            <w:r>
              <w:rPr>
                <w:noProof/>
                <w:webHidden/>
              </w:rPr>
              <w:tab/>
            </w:r>
            <w:r>
              <w:rPr>
                <w:noProof/>
                <w:webHidden/>
              </w:rPr>
              <w:fldChar w:fldCharType="begin"/>
            </w:r>
            <w:r>
              <w:rPr>
                <w:noProof/>
                <w:webHidden/>
              </w:rPr>
              <w:instrText xml:space="preserve"> PAGEREF _Toc518823333 \h </w:instrText>
            </w:r>
            <w:r>
              <w:rPr>
                <w:noProof/>
                <w:webHidden/>
              </w:rPr>
            </w:r>
            <w:r>
              <w:rPr>
                <w:noProof/>
                <w:webHidden/>
              </w:rPr>
              <w:fldChar w:fldCharType="separate"/>
            </w:r>
            <w:r>
              <w:rPr>
                <w:noProof/>
                <w:webHidden/>
              </w:rPr>
              <w:t>127</w:t>
            </w:r>
            <w:r>
              <w:rPr>
                <w:noProof/>
                <w:webHidden/>
              </w:rPr>
              <w:fldChar w:fldCharType="end"/>
            </w:r>
          </w:hyperlink>
        </w:p>
        <w:p w14:paraId="12A3BCAC" w14:textId="69B74B36" w:rsidR="001B3FB7" w:rsidRDefault="001B3FB7">
          <w:pPr>
            <w:pStyle w:val="TOC2"/>
            <w:tabs>
              <w:tab w:val="right" w:leader="dot" w:pos="9350"/>
            </w:tabs>
            <w:rPr>
              <w:noProof/>
            </w:rPr>
          </w:pPr>
          <w:hyperlink w:anchor="_Toc518823334" w:history="1">
            <w:r w:rsidRPr="000E6979">
              <w:rPr>
                <w:rStyle w:val="Hyperlink"/>
                <w:noProof/>
              </w:rPr>
              <w:t>6.2.1. Materials</w:t>
            </w:r>
            <w:r>
              <w:rPr>
                <w:noProof/>
                <w:webHidden/>
              </w:rPr>
              <w:tab/>
            </w:r>
            <w:r>
              <w:rPr>
                <w:noProof/>
                <w:webHidden/>
              </w:rPr>
              <w:fldChar w:fldCharType="begin"/>
            </w:r>
            <w:r>
              <w:rPr>
                <w:noProof/>
                <w:webHidden/>
              </w:rPr>
              <w:instrText xml:space="preserve"> PAGEREF _Toc518823334 \h </w:instrText>
            </w:r>
            <w:r>
              <w:rPr>
                <w:noProof/>
                <w:webHidden/>
              </w:rPr>
            </w:r>
            <w:r>
              <w:rPr>
                <w:noProof/>
                <w:webHidden/>
              </w:rPr>
              <w:fldChar w:fldCharType="separate"/>
            </w:r>
            <w:r>
              <w:rPr>
                <w:noProof/>
                <w:webHidden/>
              </w:rPr>
              <w:t>127</w:t>
            </w:r>
            <w:r>
              <w:rPr>
                <w:noProof/>
                <w:webHidden/>
              </w:rPr>
              <w:fldChar w:fldCharType="end"/>
            </w:r>
          </w:hyperlink>
        </w:p>
        <w:p w14:paraId="2E89C271" w14:textId="35B2A554" w:rsidR="001B3FB7" w:rsidRDefault="001B3FB7">
          <w:pPr>
            <w:pStyle w:val="TOC2"/>
            <w:tabs>
              <w:tab w:val="right" w:leader="dot" w:pos="9350"/>
            </w:tabs>
            <w:rPr>
              <w:noProof/>
            </w:rPr>
          </w:pPr>
          <w:hyperlink w:anchor="_Toc518823335" w:history="1">
            <w:r w:rsidRPr="000E6979">
              <w:rPr>
                <w:rStyle w:val="Hyperlink"/>
                <w:noProof/>
              </w:rPr>
              <w:t>6.2.2. Synthesis of hyperbranched polyester (HBPE) through condensation polymerization</w:t>
            </w:r>
            <w:r>
              <w:rPr>
                <w:noProof/>
                <w:webHidden/>
              </w:rPr>
              <w:tab/>
            </w:r>
            <w:r>
              <w:rPr>
                <w:noProof/>
                <w:webHidden/>
              </w:rPr>
              <w:fldChar w:fldCharType="begin"/>
            </w:r>
            <w:r>
              <w:rPr>
                <w:noProof/>
                <w:webHidden/>
              </w:rPr>
              <w:instrText xml:space="preserve"> PAGEREF _Toc518823335 \h </w:instrText>
            </w:r>
            <w:r>
              <w:rPr>
                <w:noProof/>
                <w:webHidden/>
              </w:rPr>
            </w:r>
            <w:r>
              <w:rPr>
                <w:noProof/>
                <w:webHidden/>
              </w:rPr>
              <w:fldChar w:fldCharType="separate"/>
            </w:r>
            <w:r>
              <w:rPr>
                <w:noProof/>
                <w:webHidden/>
              </w:rPr>
              <w:t>127</w:t>
            </w:r>
            <w:r>
              <w:rPr>
                <w:noProof/>
                <w:webHidden/>
              </w:rPr>
              <w:fldChar w:fldCharType="end"/>
            </w:r>
          </w:hyperlink>
        </w:p>
        <w:p w14:paraId="75F5261D" w14:textId="1124D8A9" w:rsidR="001B3FB7" w:rsidRDefault="001B3FB7">
          <w:pPr>
            <w:pStyle w:val="TOC2"/>
            <w:tabs>
              <w:tab w:val="right" w:leader="dot" w:pos="9350"/>
            </w:tabs>
            <w:rPr>
              <w:noProof/>
            </w:rPr>
          </w:pPr>
          <w:hyperlink w:anchor="_Toc518823336" w:history="1">
            <w:r w:rsidRPr="000E6979">
              <w:rPr>
                <w:rStyle w:val="Hyperlink"/>
                <w:noProof/>
              </w:rPr>
              <w:t>6.2.3. Preparation of poly(p-phenylenediamine)-reduced GO hybrid (P-rGO)</w:t>
            </w:r>
            <w:r>
              <w:rPr>
                <w:noProof/>
                <w:webHidden/>
              </w:rPr>
              <w:tab/>
            </w:r>
            <w:r>
              <w:rPr>
                <w:noProof/>
                <w:webHidden/>
              </w:rPr>
              <w:fldChar w:fldCharType="begin"/>
            </w:r>
            <w:r>
              <w:rPr>
                <w:noProof/>
                <w:webHidden/>
              </w:rPr>
              <w:instrText xml:space="preserve"> PAGEREF _Toc518823336 \h </w:instrText>
            </w:r>
            <w:r>
              <w:rPr>
                <w:noProof/>
                <w:webHidden/>
              </w:rPr>
            </w:r>
            <w:r>
              <w:rPr>
                <w:noProof/>
                <w:webHidden/>
              </w:rPr>
              <w:fldChar w:fldCharType="separate"/>
            </w:r>
            <w:r>
              <w:rPr>
                <w:noProof/>
                <w:webHidden/>
              </w:rPr>
              <w:t>127</w:t>
            </w:r>
            <w:r>
              <w:rPr>
                <w:noProof/>
                <w:webHidden/>
              </w:rPr>
              <w:fldChar w:fldCharType="end"/>
            </w:r>
          </w:hyperlink>
        </w:p>
        <w:p w14:paraId="58C42829" w14:textId="044388CD" w:rsidR="001B3FB7" w:rsidRDefault="001B3FB7">
          <w:pPr>
            <w:pStyle w:val="TOC2"/>
            <w:tabs>
              <w:tab w:val="right" w:leader="dot" w:pos="9350"/>
            </w:tabs>
            <w:rPr>
              <w:noProof/>
            </w:rPr>
          </w:pPr>
          <w:hyperlink w:anchor="_Toc518823337" w:history="1">
            <w:r w:rsidRPr="000E6979">
              <w:rPr>
                <w:rStyle w:val="Hyperlink"/>
                <w:noProof/>
              </w:rPr>
              <w:t>6.2.4. Synthesis of HBPE/P-rGO nanocomposites</w:t>
            </w:r>
            <w:r>
              <w:rPr>
                <w:noProof/>
                <w:webHidden/>
              </w:rPr>
              <w:tab/>
            </w:r>
            <w:r>
              <w:rPr>
                <w:noProof/>
                <w:webHidden/>
              </w:rPr>
              <w:fldChar w:fldCharType="begin"/>
            </w:r>
            <w:r>
              <w:rPr>
                <w:noProof/>
                <w:webHidden/>
              </w:rPr>
              <w:instrText xml:space="preserve"> PAGEREF _Toc518823337 \h </w:instrText>
            </w:r>
            <w:r>
              <w:rPr>
                <w:noProof/>
                <w:webHidden/>
              </w:rPr>
            </w:r>
            <w:r>
              <w:rPr>
                <w:noProof/>
                <w:webHidden/>
              </w:rPr>
              <w:fldChar w:fldCharType="separate"/>
            </w:r>
            <w:r>
              <w:rPr>
                <w:noProof/>
                <w:webHidden/>
              </w:rPr>
              <w:t>128</w:t>
            </w:r>
            <w:r>
              <w:rPr>
                <w:noProof/>
                <w:webHidden/>
              </w:rPr>
              <w:fldChar w:fldCharType="end"/>
            </w:r>
          </w:hyperlink>
        </w:p>
        <w:p w14:paraId="78459006" w14:textId="06ED8746" w:rsidR="001B3FB7" w:rsidRDefault="001B3FB7">
          <w:pPr>
            <w:pStyle w:val="TOC2"/>
            <w:tabs>
              <w:tab w:val="right" w:leader="dot" w:pos="9350"/>
            </w:tabs>
            <w:rPr>
              <w:noProof/>
            </w:rPr>
          </w:pPr>
          <w:hyperlink w:anchor="_Toc518823338" w:history="1">
            <w:r w:rsidRPr="000E6979">
              <w:rPr>
                <w:rStyle w:val="Hyperlink"/>
                <w:noProof/>
              </w:rPr>
              <w:t>6.2.5. Characterization</w:t>
            </w:r>
            <w:r>
              <w:rPr>
                <w:noProof/>
                <w:webHidden/>
              </w:rPr>
              <w:tab/>
            </w:r>
            <w:r>
              <w:rPr>
                <w:noProof/>
                <w:webHidden/>
              </w:rPr>
              <w:fldChar w:fldCharType="begin"/>
            </w:r>
            <w:r>
              <w:rPr>
                <w:noProof/>
                <w:webHidden/>
              </w:rPr>
              <w:instrText xml:space="preserve"> PAGEREF _Toc518823338 \h </w:instrText>
            </w:r>
            <w:r>
              <w:rPr>
                <w:noProof/>
                <w:webHidden/>
              </w:rPr>
            </w:r>
            <w:r>
              <w:rPr>
                <w:noProof/>
                <w:webHidden/>
              </w:rPr>
              <w:fldChar w:fldCharType="separate"/>
            </w:r>
            <w:r>
              <w:rPr>
                <w:noProof/>
                <w:webHidden/>
              </w:rPr>
              <w:t>128</w:t>
            </w:r>
            <w:r>
              <w:rPr>
                <w:noProof/>
                <w:webHidden/>
              </w:rPr>
              <w:fldChar w:fldCharType="end"/>
            </w:r>
          </w:hyperlink>
        </w:p>
        <w:p w14:paraId="1FB31BEF" w14:textId="15AABAFD" w:rsidR="001B3FB7" w:rsidRDefault="001B3FB7">
          <w:pPr>
            <w:pStyle w:val="TOC3"/>
            <w:tabs>
              <w:tab w:val="right" w:leader="dot" w:pos="9350"/>
            </w:tabs>
            <w:rPr>
              <w:noProof/>
              <w:lang w:val="en-GB"/>
            </w:rPr>
          </w:pPr>
          <w:hyperlink w:anchor="_Toc518823339" w:history="1">
            <w:r w:rsidRPr="000E6979">
              <w:rPr>
                <w:rStyle w:val="Hyperlink"/>
                <w:noProof/>
              </w:rPr>
              <w:t>6.2.5.1. Nuclear magnetic resonance (NMR) spectroscopy</w:t>
            </w:r>
            <w:r>
              <w:rPr>
                <w:noProof/>
                <w:webHidden/>
              </w:rPr>
              <w:tab/>
            </w:r>
            <w:r>
              <w:rPr>
                <w:noProof/>
                <w:webHidden/>
              </w:rPr>
              <w:fldChar w:fldCharType="begin"/>
            </w:r>
            <w:r>
              <w:rPr>
                <w:noProof/>
                <w:webHidden/>
              </w:rPr>
              <w:instrText xml:space="preserve"> PAGEREF _Toc518823339 \h </w:instrText>
            </w:r>
            <w:r>
              <w:rPr>
                <w:noProof/>
                <w:webHidden/>
              </w:rPr>
            </w:r>
            <w:r>
              <w:rPr>
                <w:noProof/>
                <w:webHidden/>
              </w:rPr>
              <w:fldChar w:fldCharType="separate"/>
            </w:r>
            <w:r>
              <w:rPr>
                <w:noProof/>
                <w:webHidden/>
              </w:rPr>
              <w:t>128</w:t>
            </w:r>
            <w:r>
              <w:rPr>
                <w:noProof/>
                <w:webHidden/>
              </w:rPr>
              <w:fldChar w:fldCharType="end"/>
            </w:r>
          </w:hyperlink>
        </w:p>
        <w:p w14:paraId="35436D14" w14:textId="4D926599" w:rsidR="001B3FB7" w:rsidRDefault="001B3FB7">
          <w:pPr>
            <w:pStyle w:val="TOC3"/>
            <w:tabs>
              <w:tab w:val="right" w:leader="dot" w:pos="9350"/>
            </w:tabs>
            <w:rPr>
              <w:noProof/>
              <w:lang w:val="en-GB"/>
            </w:rPr>
          </w:pPr>
          <w:hyperlink w:anchor="_Toc518823340" w:history="1">
            <w:r w:rsidRPr="000E6979">
              <w:rPr>
                <w:rStyle w:val="Hyperlink"/>
                <w:noProof/>
              </w:rPr>
              <w:t>6.2.5.2. Gel permeation chromatography (GPC)</w:t>
            </w:r>
            <w:r>
              <w:rPr>
                <w:noProof/>
                <w:webHidden/>
              </w:rPr>
              <w:tab/>
            </w:r>
            <w:r>
              <w:rPr>
                <w:noProof/>
                <w:webHidden/>
              </w:rPr>
              <w:fldChar w:fldCharType="begin"/>
            </w:r>
            <w:r>
              <w:rPr>
                <w:noProof/>
                <w:webHidden/>
              </w:rPr>
              <w:instrText xml:space="preserve"> PAGEREF _Toc518823340 \h </w:instrText>
            </w:r>
            <w:r>
              <w:rPr>
                <w:noProof/>
                <w:webHidden/>
              </w:rPr>
            </w:r>
            <w:r>
              <w:rPr>
                <w:noProof/>
                <w:webHidden/>
              </w:rPr>
              <w:fldChar w:fldCharType="separate"/>
            </w:r>
            <w:r>
              <w:rPr>
                <w:noProof/>
                <w:webHidden/>
              </w:rPr>
              <w:t>129</w:t>
            </w:r>
            <w:r>
              <w:rPr>
                <w:noProof/>
                <w:webHidden/>
              </w:rPr>
              <w:fldChar w:fldCharType="end"/>
            </w:r>
          </w:hyperlink>
        </w:p>
        <w:p w14:paraId="76BC5627" w14:textId="2D001E58" w:rsidR="001B3FB7" w:rsidRDefault="001B3FB7">
          <w:pPr>
            <w:pStyle w:val="TOC3"/>
            <w:tabs>
              <w:tab w:val="right" w:leader="dot" w:pos="9350"/>
            </w:tabs>
            <w:rPr>
              <w:noProof/>
              <w:lang w:val="en-GB"/>
            </w:rPr>
          </w:pPr>
          <w:hyperlink w:anchor="_Toc518823341" w:history="1">
            <w:r w:rsidRPr="000E6979">
              <w:rPr>
                <w:rStyle w:val="Hyperlink"/>
                <w:noProof/>
              </w:rPr>
              <w:t>6.2.5.3. Potentiometric titration of end groups of HBPE pre-polymer</w:t>
            </w:r>
            <w:r>
              <w:rPr>
                <w:noProof/>
                <w:webHidden/>
              </w:rPr>
              <w:tab/>
            </w:r>
            <w:r>
              <w:rPr>
                <w:noProof/>
                <w:webHidden/>
              </w:rPr>
              <w:fldChar w:fldCharType="begin"/>
            </w:r>
            <w:r>
              <w:rPr>
                <w:noProof/>
                <w:webHidden/>
              </w:rPr>
              <w:instrText xml:space="preserve"> PAGEREF _Toc518823341 \h </w:instrText>
            </w:r>
            <w:r>
              <w:rPr>
                <w:noProof/>
                <w:webHidden/>
              </w:rPr>
            </w:r>
            <w:r>
              <w:rPr>
                <w:noProof/>
                <w:webHidden/>
              </w:rPr>
              <w:fldChar w:fldCharType="separate"/>
            </w:r>
            <w:r>
              <w:rPr>
                <w:noProof/>
                <w:webHidden/>
              </w:rPr>
              <w:t>129</w:t>
            </w:r>
            <w:r>
              <w:rPr>
                <w:noProof/>
                <w:webHidden/>
              </w:rPr>
              <w:fldChar w:fldCharType="end"/>
            </w:r>
          </w:hyperlink>
        </w:p>
        <w:p w14:paraId="324217B8" w14:textId="54FAEA31" w:rsidR="001B3FB7" w:rsidRDefault="001B3FB7">
          <w:pPr>
            <w:pStyle w:val="TOC3"/>
            <w:tabs>
              <w:tab w:val="right" w:leader="dot" w:pos="9350"/>
            </w:tabs>
            <w:rPr>
              <w:noProof/>
              <w:lang w:val="en-GB"/>
            </w:rPr>
          </w:pPr>
          <w:hyperlink w:anchor="_Toc518823342" w:history="1">
            <w:r w:rsidRPr="000E6979">
              <w:rPr>
                <w:rStyle w:val="Hyperlink"/>
                <w:noProof/>
              </w:rPr>
              <w:t>6.2.5.4. Fourier transform infrared (FTIR) spectroscopy</w:t>
            </w:r>
            <w:r>
              <w:rPr>
                <w:noProof/>
                <w:webHidden/>
              </w:rPr>
              <w:tab/>
            </w:r>
            <w:r>
              <w:rPr>
                <w:noProof/>
                <w:webHidden/>
              </w:rPr>
              <w:fldChar w:fldCharType="begin"/>
            </w:r>
            <w:r>
              <w:rPr>
                <w:noProof/>
                <w:webHidden/>
              </w:rPr>
              <w:instrText xml:space="preserve"> PAGEREF _Toc518823342 \h </w:instrText>
            </w:r>
            <w:r>
              <w:rPr>
                <w:noProof/>
                <w:webHidden/>
              </w:rPr>
            </w:r>
            <w:r>
              <w:rPr>
                <w:noProof/>
                <w:webHidden/>
              </w:rPr>
              <w:fldChar w:fldCharType="separate"/>
            </w:r>
            <w:r>
              <w:rPr>
                <w:noProof/>
                <w:webHidden/>
              </w:rPr>
              <w:t>131</w:t>
            </w:r>
            <w:r>
              <w:rPr>
                <w:noProof/>
                <w:webHidden/>
              </w:rPr>
              <w:fldChar w:fldCharType="end"/>
            </w:r>
          </w:hyperlink>
        </w:p>
        <w:p w14:paraId="2C94C9EF" w14:textId="2A8FAD3A" w:rsidR="001B3FB7" w:rsidRDefault="001B3FB7">
          <w:pPr>
            <w:pStyle w:val="TOC3"/>
            <w:tabs>
              <w:tab w:val="right" w:leader="dot" w:pos="9350"/>
            </w:tabs>
            <w:rPr>
              <w:noProof/>
              <w:lang w:val="en-GB"/>
            </w:rPr>
          </w:pPr>
          <w:hyperlink w:anchor="_Toc518823343" w:history="1">
            <w:r w:rsidRPr="000E6979">
              <w:rPr>
                <w:rStyle w:val="Hyperlink"/>
                <w:noProof/>
              </w:rPr>
              <w:t>6.2.5.5. Water swelling tests</w:t>
            </w:r>
            <w:r>
              <w:rPr>
                <w:noProof/>
                <w:webHidden/>
              </w:rPr>
              <w:tab/>
            </w:r>
            <w:r>
              <w:rPr>
                <w:noProof/>
                <w:webHidden/>
              </w:rPr>
              <w:fldChar w:fldCharType="begin"/>
            </w:r>
            <w:r>
              <w:rPr>
                <w:noProof/>
                <w:webHidden/>
              </w:rPr>
              <w:instrText xml:space="preserve"> PAGEREF _Toc518823343 \h </w:instrText>
            </w:r>
            <w:r>
              <w:rPr>
                <w:noProof/>
                <w:webHidden/>
              </w:rPr>
            </w:r>
            <w:r>
              <w:rPr>
                <w:noProof/>
                <w:webHidden/>
              </w:rPr>
              <w:fldChar w:fldCharType="separate"/>
            </w:r>
            <w:r>
              <w:rPr>
                <w:noProof/>
                <w:webHidden/>
              </w:rPr>
              <w:t>131</w:t>
            </w:r>
            <w:r>
              <w:rPr>
                <w:noProof/>
                <w:webHidden/>
              </w:rPr>
              <w:fldChar w:fldCharType="end"/>
            </w:r>
          </w:hyperlink>
        </w:p>
        <w:p w14:paraId="6313925D" w14:textId="3D3EBE2B" w:rsidR="001B3FB7" w:rsidRDefault="001B3FB7">
          <w:pPr>
            <w:pStyle w:val="TOC3"/>
            <w:tabs>
              <w:tab w:val="right" w:leader="dot" w:pos="9350"/>
            </w:tabs>
            <w:rPr>
              <w:noProof/>
              <w:lang w:val="en-GB"/>
            </w:rPr>
          </w:pPr>
          <w:hyperlink w:anchor="_Toc518823344" w:history="1">
            <w:r w:rsidRPr="000E6979">
              <w:rPr>
                <w:rStyle w:val="Hyperlink"/>
                <w:noProof/>
              </w:rPr>
              <w:t>6.2.5.6. Scanning electron microscope (SEM)</w:t>
            </w:r>
            <w:r>
              <w:rPr>
                <w:noProof/>
                <w:webHidden/>
              </w:rPr>
              <w:tab/>
            </w:r>
            <w:r>
              <w:rPr>
                <w:noProof/>
                <w:webHidden/>
              </w:rPr>
              <w:fldChar w:fldCharType="begin"/>
            </w:r>
            <w:r>
              <w:rPr>
                <w:noProof/>
                <w:webHidden/>
              </w:rPr>
              <w:instrText xml:space="preserve"> PAGEREF _Toc518823344 \h </w:instrText>
            </w:r>
            <w:r>
              <w:rPr>
                <w:noProof/>
                <w:webHidden/>
              </w:rPr>
            </w:r>
            <w:r>
              <w:rPr>
                <w:noProof/>
                <w:webHidden/>
              </w:rPr>
              <w:fldChar w:fldCharType="separate"/>
            </w:r>
            <w:r>
              <w:rPr>
                <w:noProof/>
                <w:webHidden/>
              </w:rPr>
              <w:t>131</w:t>
            </w:r>
            <w:r>
              <w:rPr>
                <w:noProof/>
                <w:webHidden/>
              </w:rPr>
              <w:fldChar w:fldCharType="end"/>
            </w:r>
          </w:hyperlink>
        </w:p>
        <w:p w14:paraId="00E2F100" w14:textId="4CA45A3D" w:rsidR="001B3FB7" w:rsidRDefault="001B3FB7">
          <w:pPr>
            <w:pStyle w:val="TOC3"/>
            <w:tabs>
              <w:tab w:val="right" w:leader="dot" w:pos="9350"/>
            </w:tabs>
            <w:rPr>
              <w:noProof/>
              <w:lang w:val="en-GB"/>
            </w:rPr>
          </w:pPr>
          <w:hyperlink w:anchor="_Toc518823345" w:history="1">
            <w:r w:rsidRPr="000E6979">
              <w:rPr>
                <w:rStyle w:val="Hyperlink"/>
                <w:noProof/>
              </w:rPr>
              <w:t>6.2.5.7. Dynamic mechanical analysis (DMA)</w:t>
            </w:r>
            <w:r>
              <w:rPr>
                <w:noProof/>
                <w:webHidden/>
              </w:rPr>
              <w:tab/>
            </w:r>
            <w:r>
              <w:rPr>
                <w:noProof/>
                <w:webHidden/>
              </w:rPr>
              <w:fldChar w:fldCharType="begin"/>
            </w:r>
            <w:r>
              <w:rPr>
                <w:noProof/>
                <w:webHidden/>
              </w:rPr>
              <w:instrText xml:space="preserve"> PAGEREF _Toc518823345 \h </w:instrText>
            </w:r>
            <w:r>
              <w:rPr>
                <w:noProof/>
                <w:webHidden/>
              </w:rPr>
            </w:r>
            <w:r>
              <w:rPr>
                <w:noProof/>
                <w:webHidden/>
              </w:rPr>
              <w:fldChar w:fldCharType="separate"/>
            </w:r>
            <w:r>
              <w:rPr>
                <w:noProof/>
                <w:webHidden/>
              </w:rPr>
              <w:t>131</w:t>
            </w:r>
            <w:r>
              <w:rPr>
                <w:noProof/>
                <w:webHidden/>
              </w:rPr>
              <w:fldChar w:fldCharType="end"/>
            </w:r>
          </w:hyperlink>
        </w:p>
        <w:p w14:paraId="1D44401B" w14:textId="301877DA" w:rsidR="001B3FB7" w:rsidRDefault="001B3FB7">
          <w:pPr>
            <w:pStyle w:val="TOC3"/>
            <w:tabs>
              <w:tab w:val="right" w:leader="dot" w:pos="9350"/>
            </w:tabs>
            <w:rPr>
              <w:noProof/>
              <w:lang w:val="en-GB"/>
            </w:rPr>
          </w:pPr>
          <w:hyperlink w:anchor="_Toc518823346" w:history="1">
            <w:r w:rsidRPr="000E6979">
              <w:rPr>
                <w:rStyle w:val="Hyperlink"/>
                <w:noProof/>
              </w:rPr>
              <w:t>6.2.5.8. Tensile properties</w:t>
            </w:r>
            <w:r>
              <w:rPr>
                <w:noProof/>
                <w:webHidden/>
              </w:rPr>
              <w:tab/>
            </w:r>
            <w:r>
              <w:rPr>
                <w:noProof/>
                <w:webHidden/>
              </w:rPr>
              <w:fldChar w:fldCharType="begin"/>
            </w:r>
            <w:r>
              <w:rPr>
                <w:noProof/>
                <w:webHidden/>
              </w:rPr>
              <w:instrText xml:space="preserve"> PAGEREF _Toc518823346 \h </w:instrText>
            </w:r>
            <w:r>
              <w:rPr>
                <w:noProof/>
                <w:webHidden/>
              </w:rPr>
            </w:r>
            <w:r>
              <w:rPr>
                <w:noProof/>
                <w:webHidden/>
              </w:rPr>
              <w:fldChar w:fldCharType="separate"/>
            </w:r>
            <w:r>
              <w:rPr>
                <w:noProof/>
                <w:webHidden/>
              </w:rPr>
              <w:t>132</w:t>
            </w:r>
            <w:r>
              <w:rPr>
                <w:noProof/>
                <w:webHidden/>
              </w:rPr>
              <w:fldChar w:fldCharType="end"/>
            </w:r>
          </w:hyperlink>
        </w:p>
        <w:p w14:paraId="5E5BFAA3" w14:textId="5CA8E965" w:rsidR="001B3FB7" w:rsidRDefault="001B3FB7">
          <w:pPr>
            <w:pStyle w:val="TOC3"/>
            <w:tabs>
              <w:tab w:val="right" w:leader="dot" w:pos="9350"/>
            </w:tabs>
            <w:rPr>
              <w:noProof/>
              <w:lang w:val="en-GB"/>
            </w:rPr>
          </w:pPr>
          <w:hyperlink w:anchor="_Toc518823347" w:history="1">
            <w:r w:rsidRPr="000E6979">
              <w:rPr>
                <w:rStyle w:val="Hyperlink"/>
                <w:noProof/>
              </w:rPr>
              <w:t>6.2.5.9. Thermogravimetric analysis (TGA)</w:t>
            </w:r>
            <w:r>
              <w:rPr>
                <w:noProof/>
                <w:webHidden/>
              </w:rPr>
              <w:tab/>
            </w:r>
            <w:r>
              <w:rPr>
                <w:noProof/>
                <w:webHidden/>
              </w:rPr>
              <w:fldChar w:fldCharType="begin"/>
            </w:r>
            <w:r>
              <w:rPr>
                <w:noProof/>
                <w:webHidden/>
              </w:rPr>
              <w:instrText xml:space="preserve"> PAGEREF _Toc518823347 \h </w:instrText>
            </w:r>
            <w:r>
              <w:rPr>
                <w:noProof/>
                <w:webHidden/>
              </w:rPr>
            </w:r>
            <w:r>
              <w:rPr>
                <w:noProof/>
                <w:webHidden/>
              </w:rPr>
              <w:fldChar w:fldCharType="separate"/>
            </w:r>
            <w:r>
              <w:rPr>
                <w:noProof/>
                <w:webHidden/>
              </w:rPr>
              <w:t>132</w:t>
            </w:r>
            <w:r>
              <w:rPr>
                <w:noProof/>
                <w:webHidden/>
              </w:rPr>
              <w:fldChar w:fldCharType="end"/>
            </w:r>
          </w:hyperlink>
        </w:p>
        <w:p w14:paraId="09AB38B7" w14:textId="2ED75A28" w:rsidR="001B3FB7" w:rsidRDefault="001B3FB7">
          <w:pPr>
            <w:pStyle w:val="TOC1"/>
            <w:rPr>
              <w:noProof/>
            </w:rPr>
          </w:pPr>
          <w:hyperlink w:anchor="_Toc518823348" w:history="1">
            <w:r w:rsidRPr="000E6979">
              <w:rPr>
                <w:rStyle w:val="Hyperlink"/>
                <w:noProof/>
              </w:rPr>
              <w:t>6.3. Results and discussion</w:t>
            </w:r>
            <w:r>
              <w:rPr>
                <w:noProof/>
                <w:webHidden/>
              </w:rPr>
              <w:tab/>
            </w:r>
            <w:r>
              <w:rPr>
                <w:noProof/>
                <w:webHidden/>
              </w:rPr>
              <w:fldChar w:fldCharType="begin"/>
            </w:r>
            <w:r>
              <w:rPr>
                <w:noProof/>
                <w:webHidden/>
              </w:rPr>
              <w:instrText xml:space="preserve"> PAGEREF _Toc518823348 \h </w:instrText>
            </w:r>
            <w:r>
              <w:rPr>
                <w:noProof/>
                <w:webHidden/>
              </w:rPr>
            </w:r>
            <w:r>
              <w:rPr>
                <w:noProof/>
                <w:webHidden/>
              </w:rPr>
              <w:fldChar w:fldCharType="separate"/>
            </w:r>
            <w:r>
              <w:rPr>
                <w:noProof/>
                <w:webHidden/>
              </w:rPr>
              <w:t>132</w:t>
            </w:r>
            <w:r>
              <w:rPr>
                <w:noProof/>
                <w:webHidden/>
              </w:rPr>
              <w:fldChar w:fldCharType="end"/>
            </w:r>
          </w:hyperlink>
        </w:p>
        <w:p w14:paraId="08AB7915" w14:textId="1C477E46" w:rsidR="001B3FB7" w:rsidRDefault="001B3FB7">
          <w:pPr>
            <w:pStyle w:val="TOC2"/>
            <w:tabs>
              <w:tab w:val="right" w:leader="dot" w:pos="9350"/>
            </w:tabs>
            <w:rPr>
              <w:noProof/>
            </w:rPr>
          </w:pPr>
          <w:hyperlink w:anchor="_Toc518823349" w:history="1">
            <w:r w:rsidRPr="000E6979">
              <w:rPr>
                <w:rStyle w:val="Hyperlink"/>
                <w:noProof/>
              </w:rPr>
              <w:t>6.3.1. Characterization of bio-based hyperbranched polyester</w:t>
            </w:r>
            <w:r>
              <w:rPr>
                <w:noProof/>
                <w:webHidden/>
              </w:rPr>
              <w:tab/>
            </w:r>
            <w:r>
              <w:rPr>
                <w:noProof/>
                <w:webHidden/>
              </w:rPr>
              <w:fldChar w:fldCharType="begin"/>
            </w:r>
            <w:r>
              <w:rPr>
                <w:noProof/>
                <w:webHidden/>
              </w:rPr>
              <w:instrText xml:space="preserve"> PAGEREF _Toc518823349 \h </w:instrText>
            </w:r>
            <w:r>
              <w:rPr>
                <w:noProof/>
                <w:webHidden/>
              </w:rPr>
            </w:r>
            <w:r>
              <w:rPr>
                <w:noProof/>
                <w:webHidden/>
              </w:rPr>
              <w:fldChar w:fldCharType="separate"/>
            </w:r>
            <w:r>
              <w:rPr>
                <w:noProof/>
                <w:webHidden/>
              </w:rPr>
              <w:t>132</w:t>
            </w:r>
            <w:r>
              <w:rPr>
                <w:noProof/>
                <w:webHidden/>
              </w:rPr>
              <w:fldChar w:fldCharType="end"/>
            </w:r>
          </w:hyperlink>
        </w:p>
        <w:p w14:paraId="3550E1BD" w14:textId="03CA6F27" w:rsidR="001B3FB7" w:rsidRDefault="001B3FB7">
          <w:pPr>
            <w:pStyle w:val="TOC3"/>
            <w:tabs>
              <w:tab w:val="right" w:leader="dot" w:pos="9350"/>
            </w:tabs>
            <w:rPr>
              <w:noProof/>
              <w:lang w:val="en-GB"/>
            </w:rPr>
          </w:pPr>
          <w:hyperlink w:anchor="_Toc518823350" w:history="1">
            <w:r w:rsidRPr="000E6979">
              <w:rPr>
                <w:rStyle w:val="Hyperlink"/>
                <w:noProof/>
              </w:rPr>
              <w:t>6.3.1.1. Chemical structure of HBPE pre-polymer</w:t>
            </w:r>
            <w:r>
              <w:rPr>
                <w:noProof/>
                <w:webHidden/>
              </w:rPr>
              <w:tab/>
            </w:r>
            <w:r>
              <w:rPr>
                <w:noProof/>
                <w:webHidden/>
              </w:rPr>
              <w:fldChar w:fldCharType="begin"/>
            </w:r>
            <w:r>
              <w:rPr>
                <w:noProof/>
                <w:webHidden/>
              </w:rPr>
              <w:instrText xml:space="preserve"> PAGEREF _Toc518823350 \h </w:instrText>
            </w:r>
            <w:r>
              <w:rPr>
                <w:noProof/>
                <w:webHidden/>
              </w:rPr>
            </w:r>
            <w:r>
              <w:rPr>
                <w:noProof/>
                <w:webHidden/>
              </w:rPr>
              <w:fldChar w:fldCharType="separate"/>
            </w:r>
            <w:r>
              <w:rPr>
                <w:noProof/>
                <w:webHidden/>
              </w:rPr>
              <w:t>132</w:t>
            </w:r>
            <w:r>
              <w:rPr>
                <w:noProof/>
                <w:webHidden/>
              </w:rPr>
              <w:fldChar w:fldCharType="end"/>
            </w:r>
          </w:hyperlink>
        </w:p>
        <w:p w14:paraId="7AF0D198" w14:textId="7B245280" w:rsidR="001B3FB7" w:rsidRDefault="001B3FB7">
          <w:pPr>
            <w:pStyle w:val="TOC3"/>
            <w:tabs>
              <w:tab w:val="right" w:leader="dot" w:pos="9350"/>
            </w:tabs>
            <w:rPr>
              <w:noProof/>
              <w:lang w:val="en-GB"/>
            </w:rPr>
          </w:pPr>
          <w:hyperlink w:anchor="_Toc518823351" w:history="1">
            <w:r w:rsidRPr="000E6979">
              <w:rPr>
                <w:rStyle w:val="Hyperlink"/>
                <w:noProof/>
              </w:rPr>
              <w:t>6.3.1.2. Molar Mass of HBPE pre-polymer</w:t>
            </w:r>
            <w:r>
              <w:rPr>
                <w:noProof/>
                <w:webHidden/>
              </w:rPr>
              <w:tab/>
            </w:r>
            <w:r>
              <w:rPr>
                <w:noProof/>
                <w:webHidden/>
              </w:rPr>
              <w:fldChar w:fldCharType="begin"/>
            </w:r>
            <w:r>
              <w:rPr>
                <w:noProof/>
                <w:webHidden/>
              </w:rPr>
              <w:instrText xml:space="preserve"> PAGEREF _Toc518823351 \h </w:instrText>
            </w:r>
            <w:r>
              <w:rPr>
                <w:noProof/>
                <w:webHidden/>
              </w:rPr>
            </w:r>
            <w:r>
              <w:rPr>
                <w:noProof/>
                <w:webHidden/>
              </w:rPr>
              <w:fldChar w:fldCharType="separate"/>
            </w:r>
            <w:r>
              <w:rPr>
                <w:noProof/>
                <w:webHidden/>
              </w:rPr>
              <w:t>139</w:t>
            </w:r>
            <w:r>
              <w:rPr>
                <w:noProof/>
                <w:webHidden/>
              </w:rPr>
              <w:fldChar w:fldCharType="end"/>
            </w:r>
          </w:hyperlink>
        </w:p>
        <w:p w14:paraId="03A5AE6E" w14:textId="766FE8D0" w:rsidR="001B3FB7" w:rsidRDefault="001B3FB7">
          <w:pPr>
            <w:pStyle w:val="TOC3"/>
            <w:tabs>
              <w:tab w:val="right" w:leader="dot" w:pos="9350"/>
            </w:tabs>
            <w:rPr>
              <w:noProof/>
              <w:lang w:val="en-GB"/>
            </w:rPr>
          </w:pPr>
          <w:hyperlink w:anchor="_Toc518823352" w:history="1">
            <w:r w:rsidRPr="000E6979">
              <w:rPr>
                <w:rStyle w:val="Hyperlink"/>
                <w:noProof/>
              </w:rPr>
              <w:t>6.3.1.3. Titration analysis of end–groups of HBPE pre-polymer</w:t>
            </w:r>
            <w:r>
              <w:rPr>
                <w:noProof/>
                <w:webHidden/>
              </w:rPr>
              <w:tab/>
            </w:r>
            <w:r>
              <w:rPr>
                <w:noProof/>
                <w:webHidden/>
              </w:rPr>
              <w:fldChar w:fldCharType="begin"/>
            </w:r>
            <w:r>
              <w:rPr>
                <w:noProof/>
                <w:webHidden/>
              </w:rPr>
              <w:instrText xml:space="preserve"> PAGEREF _Toc518823352 \h </w:instrText>
            </w:r>
            <w:r>
              <w:rPr>
                <w:noProof/>
                <w:webHidden/>
              </w:rPr>
            </w:r>
            <w:r>
              <w:rPr>
                <w:noProof/>
                <w:webHidden/>
              </w:rPr>
              <w:fldChar w:fldCharType="separate"/>
            </w:r>
            <w:r>
              <w:rPr>
                <w:noProof/>
                <w:webHidden/>
              </w:rPr>
              <w:t>140</w:t>
            </w:r>
            <w:r>
              <w:rPr>
                <w:noProof/>
                <w:webHidden/>
              </w:rPr>
              <w:fldChar w:fldCharType="end"/>
            </w:r>
          </w:hyperlink>
        </w:p>
        <w:p w14:paraId="06216F55" w14:textId="5F60C348" w:rsidR="001B3FB7" w:rsidRDefault="001B3FB7">
          <w:pPr>
            <w:pStyle w:val="TOC3"/>
            <w:tabs>
              <w:tab w:val="right" w:leader="dot" w:pos="9350"/>
            </w:tabs>
            <w:rPr>
              <w:noProof/>
              <w:lang w:val="en-GB"/>
            </w:rPr>
          </w:pPr>
          <w:hyperlink w:anchor="_Toc518823353" w:history="1">
            <w:r w:rsidRPr="000E6979">
              <w:rPr>
                <w:rStyle w:val="Hyperlink"/>
                <w:noProof/>
              </w:rPr>
              <w:t>6.3.1.4. FTIR spectroscopy of HBPE</w:t>
            </w:r>
            <w:r>
              <w:rPr>
                <w:noProof/>
                <w:webHidden/>
              </w:rPr>
              <w:tab/>
            </w:r>
            <w:r>
              <w:rPr>
                <w:noProof/>
                <w:webHidden/>
              </w:rPr>
              <w:fldChar w:fldCharType="begin"/>
            </w:r>
            <w:r>
              <w:rPr>
                <w:noProof/>
                <w:webHidden/>
              </w:rPr>
              <w:instrText xml:space="preserve"> PAGEREF _Toc518823353 \h </w:instrText>
            </w:r>
            <w:r>
              <w:rPr>
                <w:noProof/>
                <w:webHidden/>
              </w:rPr>
            </w:r>
            <w:r>
              <w:rPr>
                <w:noProof/>
                <w:webHidden/>
              </w:rPr>
              <w:fldChar w:fldCharType="separate"/>
            </w:r>
            <w:r>
              <w:rPr>
                <w:noProof/>
                <w:webHidden/>
              </w:rPr>
              <w:t>143</w:t>
            </w:r>
            <w:r>
              <w:rPr>
                <w:noProof/>
                <w:webHidden/>
              </w:rPr>
              <w:fldChar w:fldCharType="end"/>
            </w:r>
          </w:hyperlink>
        </w:p>
        <w:p w14:paraId="4BB8BA4A" w14:textId="0766D8BB" w:rsidR="001B3FB7" w:rsidRDefault="001B3FB7">
          <w:pPr>
            <w:pStyle w:val="TOC3"/>
            <w:tabs>
              <w:tab w:val="right" w:leader="dot" w:pos="9350"/>
            </w:tabs>
            <w:rPr>
              <w:noProof/>
              <w:lang w:val="en-GB"/>
            </w:rPr>
          </w:pPr>
          <w:hyperlink w:anchor="_Toc518823354" w:history="1">
            <w:r w:rsidRPr="000E6979">
              <w:rPr>
                <w:rStyle w:val="Hyperlink"/>
                <w:noProof/>
              </w:rPr>
              <w:t>6.3.1.5. Water swelling behavior of HBPE</w:t>
            </w:r>
            <w:r>
              <w:rPr>
                <w:noProof/>
                <w:webHidden/>
              </w:rPr>
              <w:tab/>
            </w:r>
            <w:r>
              <w:rPr>
                <w:noProof/>
                <w:webHidden/>
              </w:rPr>
              <w:fldChar w:fldCharType="begin"/>
            </w:r>
            <w:r>
              <w:rPr>
                <w:noProof/>
                <w:webHidden/>
              </w:rPr>
              <w:instrText xml:space="preserve"> PAGEREF _Toc518823354 \h </w:instrText>
            </w:r>
            <w:r>
              <w:rPr>
                <w:noProof/>
                <w:webHidden/>
              </w:rPr>
            </w:r>
            <w:r>
              <w:rPr>
                <w:noProof/>
                <w:webHidden/>
              </w:rPr>
              <w:fldChar w:fldCharType="separate"/>
            </w:r>
            <w:r>
              <w:rPr>
                <w:noProof/>
                <w:webHidden/>
              </w:rPr>
              <w:t>146</w:t>
            </w:r>
            <w:r>
              <w:rPr>
                <w:noProof/>
                <w:webHidden/>
              </w:rPr>
              <w:fldChar w:fldCharType="end"/>
            </w:r>
          </w:hyperlink>
        </w:p>
        <w:p w14:paraId="08CF7B62" w14:textId="68E0268A" w:rsidR="001B3FB7" w:rsidRDefault="001B3FB7">
          <w:pPr>
            <w:pStyle w:val="TOC2"/>
            <w:tabs>
              <w:tab w:val="right" w:leader="dot" w:pos="9350"/>
            </w:tabs>
            <w:rPr>
              <w:noProof/>
            </w:rPr>
          </w:pPr>
          <w:hyperlink w:anchor="_Toc518823355" w:history="1">
            <w:r w:rsidRPr="000E6979">
              <w:rPr>
                <w:rStyle w:val="Hyperlink"/>
                <w:rFonts w:ascii="Times New Roman" w:eastAsia="DengXian Light" w:hAnsi="Times New Roman" w:cs="Times New Roman"/>
                <w:noProof/>
              </w:rPr>
              <w:t>6.3.2. Characterization of poly (p-phenylenediamine)-reduced GO hybrid (P-rGO).</w:t>
            </w:r>
            <w:r>
              <w:rPr>
                <w:noProof/>
                <w:webHidden/>
              </w:rPr>
              <w:tab/>
            </w:r>
            <w:r>
              <w:rPr>
                <w:noProof/>
                <w:webHidden/>
              </w:rPr>
              <w:fldChar w:fldCharType="begin"/>
            </w:r>
            <w:r>
              <w:rPr>
                <w:noProof/>
                <w:webHidden/>
              </w:rPr>
              <w:instrText xml:space="preserve"> PAGEREF _Toc518823355 \h </w:instrText>
            </w:r>
            <w:r>
              <w:rPr>
                <w:noProof/>
                <w:webHidden/>
              </w:rPr>
            </w:r>
            <w:r>
              <w:rPr>
                <w:noProof/>
                <w:webHidden/>
              </w:rPr>
              <w:fldChar w:fldCharType="separate"/>
            </w:r>
            <w:r>
              <w:rPr>
                <w:noProof/>
                <w:webHidden/>
              </w:rPr>
              <w:t>146</w:t>
            </w:r>
            <w:r>
              <w:rPr>
                <w:noProof/>
                <w:webHidden/>
              </w:rPr>
              <w:fldChar w:fldCharType="end"/>
            </w:r>
          </w:hyperlink>
        </w:p>
        <w:p w14:paraId="1ABD118E" w14:textId="7C0C8AC6" w:rsidR="001B3FB7" w:rsidRDefault="001B3FB7">
          <w:pPr>
            <w:pStyle w:val="TOC2"/>
            <w:tabs>
              <w:tab w:val="right" w:leader="dot" w:pos="9350"/>
            </w:tabs>
            <w:rPr>
              <w:noProof/>
            </w:rPr>
          </w:pPr>
          <w:hyperlink w:anchor="_Toc518823356" w:history="1">
            <w:r w:rsidRPr="000E6979">
              <w:rPr>
                <w:rStyle w:val="Hyperlink"/>
                <w:noProof/>
              </w:rPr>
              <w:t>6.3.2. Characterization of HBPE/P-rGO nanocomposites</w:t>
            </w:r>
            <w:r>
              <w:rPr>
                <w:noProof/>
                <w:webHidden/>
              </w:rPr>
              <w:tab/>
            </w:r>
            <w:r>
              <w:rPr>
                <w:noProof/>
                <w:webHidden/>
              </w:rPr>
              <w:fldChar w:fldCharType="begin"/>
            </w:r>
            <w:r>
              <w:rPr>
                <w:noProof/>
                <w:webHidden/>
              </w:rPr>
              <w:instrText xml:space="preserve"> PAGEREF _Toc518823356 \h </w:instrText>
            </w:r>
            <w:r>
              <w:rPr>
                <w:noProof/>
                <w:webHidden/>
              </w:rPr>
            </w:r>
            <w:r>
              <w:rPr>
                <w:noProof/>
                <w:webHidden/>
              </w:rPr>
              <w:fldChar w:fldCharType="separate"/>
            </w:r>
            <w:r>
              <w:rPr>
                <w:noProof/>
                <w:webHidden/>
              </w:rPr>
              <w:t>151</w:t>
            </w:r>
            <w:r>
              <w:rPr>
                <w:noProof/>
                <w:webHidden/>
              </w:rPr>
              <w:fldChar w:fldCharType="end"/>
            </w:r>
          </w:hyperlink>
        </w:p>
        <w:p w14:paraId="62573BD7" w14:textId="76C0B107" w:rsidR="001B3FB7" w:rsidRDefault="001B3FB7">
          <w:pPr>
            <w:pStyle w:val="TOC3"/>
            <w:tabs>
              <w:tab w:val="right" w:leader="dot" w:pos="9350"/>
            </w:tabs>
            <w:rPr>
              <w:noProof/>
              <w:lang w:val="en-GB"/>
            </w:rPr>
          </w:pPr>
          <w:hyperlink w:anchor="_Toc518823357" w:history="1">
            <w:r w:rsidRPr="000E6979">
              <w:rPr>
                <w:rStyle w:val="Hyperlink"/>
                <w:noProof/>
              </w:rPr>
              <w:t>6.3.2.1. Morphology of HBPE/P-rGO nanocomposites</w:t>
            </w:r>
            <w:r>
              <w:rPr>
                <w:noProof/>
                <w:webHidden/>
              </w:rPr>
              <w:tab/>
            </w:r>
            <w:r>
              <w:rPr>
                <w:noProof/>
                <w:webHidden/>
              </w:rPr>
              <w:fldChar w:fldCharType="begin"/>
            </w:r>
            <w:r>
              <w:rPr>
                <w:noProof/>
                <w:webHidden/>
              </w:rPr>
              <w:instrText xml:space="preserve"> PAGEREF _Toc518823357 \h </w:instrText>
            </w:r>
            <w:r>
              <w:rPr>
                <w:noProof/>
                <w:webHidden/>
              </w:rPr>
            </w:r>
            <w:r>
              <w:rPr>
                <w:noProof/>
                <w:webHidden/>
              </w:rPr>
              <w:fldChar w:fldCharType="separate"/>
            </w:r>
            <w:r>
              <w:rPr>
                <w:noProof/>
                <w:webHidden/>
              </w:rPr>
              <w:t>151</w:t>
            </w:r>
            <w:r>
              <w:rPr>
                <w:noProof/>
                <w:webHidden/>
              </w:rPr>
              <w:fldChar w:fldCharType="end"/>
            </w:r>
          </w:hyperlink>
        </w:p>
        <w:p w14:paraId="479F9D58" w14:textId="459F00F8" w:rsidR="001B3FB7" w:rsidRDefault="001B3FB7">
          <w:pPr>
            <w:pStyle w:val="TOC3"/>
            <w:tabs>
              <w:tab w:val="right" w:leader="dot" w:pos="9350"/>
            </w:tabs>
            <w:rPr>
              <w:noProof/>
              <w:lang w:val="en-GB"/>
            </w:rPr>
          </w:pPr>
          <w:hyperlink w:anchor="_Toc518823358" w:history="1">
            <w:r w:rsidRPr="000E6979">
              <w:rPr>
                <w:rStyle w:val="Hyperlink"/>
                <w:noProof/>
              </w:rPr>
              <w:t>6.3.2.2. FTIR analysis of HBPE/P-rGO nanocomposites</w:t>
            </w:r>
            <w:r>
              <w:rPr>
                <w:noProof/>
                <w:webHidden/>
              </w:rPr>
              <w:tab/>
            </w:r>
            <w:r>
              <w:rPr>
                <w:noProof/>
                <w:webHidden/>
              </w:rPr>
              <w:fldChar w:fldCharType="begin"/>
            </w:r>
            <w:r>
              <w:rPr>
                <w:noProof/>
                <w:webHidden/>
              </w:rPr>
              <w:instrText xml:space="preserve"> PAGEREF _Toc518823358 \h </w:instrText>
            </w:r>
            <w:r>
              <w:rPr>
                <w:noProof/>
                <w:webHidden/>
              </w:rPr>
            </w:r>
            <w:r>
              <w:rPr>
                <w:noProof/>
                <w:webHidden/>
              </w:rPr>
              <w:fldChar w:fldCharType="separate"/>
            </w:r>
            <w:r>
              <w:rPr>
                <w:noProof/>
                <w:webHidden/>
              </w:rPr>
              <w:t>152</w:t>
            </w:r>
            <w:r>
              <w:rPr>
                <w:noProof/>
                <w:webHidden/>
              </w:rPr>
              <w:fldChar w:fldCharType="end"/>
            </w:r>
          </w:hyperlink>
        </w:p>
        <w:p w14:paraId="51640492" w14:textId="0F37C347" w:rsidR="001B3FB7" w:rsidRDefault="001B3FB7">
          <w:pPr>
            <w:pStyle w:val="TOC2"/>
            <w:tabs>
              <w:tab w:val="right" w:leader="dot" w:pos="9350"/>
            </w:tabs>
            <w:rPr>
              <w:noProof/>
            </w:rPr>
          </w:pPr>
          <w:hyperlink w:anchor="_Toc518823359" w:history="1">
            <w:r w:rsidRPr="000E6979">
              <w:rPr>
                <w:rStyle w:val="Hyperlink"/>
                <w:noProof/>
              </w:rPr>
              <w:t>6.3.3. Stress-strain behavior of HBPE and HBPE/P-rGO nanocomposites</w:t>
            </w:r>
            <w:r>
              <w:rPr>
                <w:noProof/>
                <w:webHidden/>
              </w:rPr>
              <w:tab/>
            </w:r>
            <w:r>
              <w:rPr>
                <w:noProof/>
                <w:webHidden/>
              </w:rPr>
              <w:fldChar w:fldCharType="begin"/>
            </w:r>
            <w:r>
              <w:rPr>
                <w:noProof/>
                <w:webHidden/>
              </w:rPr>
              <w:instrText xml:space="preserve"> PAGEREF _Toc518823359 \h </w:instrText>
            </w:r>
            <w:r>
              <w:rPr>
                <w:noProof/>
                <w:webHidden/>
              </w:rPr>
            </w:r>
            <w:r>
              <w:rPr>
                <w:noProof/>
                <w:webHidden/>
              </w:rPr>
              <w:fldChar w:fldCharType="separate"/>
            </w:r>
            <w:r>
              <w:rPr>
                <w:noProof/>
                <w:webHidden/>
              </w:rPr>
              <w:t>153</w:t>
            </w:r>
            <w:r>
              <w:rPr>
                <w:noProof/>
                <w:webHidden/>
              </w:rPr>
              <w:fldChar w:fldCharType="end"/>
            </w:r>
          </w:hyperlink>
        </w:p>
        <w:p w14:paraId="05103972" w14:textId="2041DCC3" w:rsidR="001B3FB7" w:rsidRDefault="001B3FB7">
          <w:pPr>
            <w:pStyle w:val="TOC3"/>
            <w:tabs>
              <w:tab w:val="right" w:leader="dot" w:pos="9350"/>
            </w:tabs>
            <w:rPr>
              <w:noProof/>
              <w:lang w:val="en-GB"/>
            </w:rPr>
          </w:pPr>
          <w:hyperlink w:anchor="_Toc518823360" w:history="1">
            <w:r w:rsidRPr="000E6979">
              <w:rPr>
                <w:rStyle w:val="Hyperlink"/>
                <w:noProof/>
              </w:rPr>
              <w:t>6.3.3.1. Tensile properties of HBPE and HBPE/P-rGO nancomposites</w:t>
            </w:r>
            <w:r>
              <w:rPr>
                <w:noProof/>
                <w:webHidden/>
              </w:rPr>
              <w:tab/>
            </w:r>
            <w:r>
              <w:rPr>
                <w:noProof/>
                <w:webHidden/>
              </w:rPr>
              <w:fldChar w:fldCharType="begin"/>
            </w:r>
            <w:r>
              <w:rPr>
                <w:noProof/>
                <w:webHidden/>
              </w:rPr>
              <w:instrText xml:space="preserve"> PAGEREF _Toc518823360 \h </w:instrText>
            </w:r>
            <w:r>
              <w:rPr>
                <w:noProof/>
                <w:webHidden/>
              </w:rPr>
            </w:r>
            <w:r>
              <w:rPr>
                <w:noProof/>
                <w:webHidden/>
              </w:rPr>
              <w:fldChar w:fldCharType="separate"/>
            </w:r>
            <w:r>
              <w:rPr>
                <w:noProof/>
                <w:webHidden/>
              </w:rPr>
              <w:t>153</w:t>
            </w:r>
            <w:r>
              <w:rPr>
                <w:noProof/>
                <w:webHidden/>
              </w:rPr>
              <w:fldChar w:fldCharType="end"/>
            </w:r>
          </w:hyperlink>
        </w:p>
        <w:p w14:paraId="5A788D2D" w14:textId="18F9AD31" w:rsidR="001B3FB7" w:rsidRDefault="001B3FB7">
          <w:pPr>
            <w:pStyle w:val="TOC3"/>
            <w:tabs>
              <w:tab w:val="right" w:leader="dot" w:pos="9350"/>
            </w:tabs>
            <w:rPr>
              <w:noProof/>
              <w:lang w:val="en-GB"/>
            </w:rPr>
          </w:pPr>
          <w:hyperlink w:anchor="_Toc518823361" w:history="1">
            <w:r w:rsidRPr="000E6979">
              <w:rPr>
                <w:rStyle w:val="Hyperlink"/>
                <w:noProof/>
              </w:rPr>
              <w:t>6.3.3.2. Hysteresis behavior of HBPE and HBPE/P-rGO nanocomposites</w:t>
            </w:r>
            <w:r>
              <w:rPr>
                <w:noProof/>
                <w:webHidden/>
              </w:rPr>
              <w:tab/>
            </w:r>
            <w:r>
              <w:rPr>
                <w:noProof/>
                <w:webHidden/>
              </w:rPr>
              <w:fldChar w:fldCharType="begin"/>
            </w:r>
            <w:r>
              <w:rPr>
                <w:noProof/>
                <w:webHidden/>
              </w:rPr>
              <w:instrText xml:space="preserve"> PAGEREF _Toc518823361 \h </w:instrText>
            </w:r>
            <w:r>
              <w:rPr>
                <w:noProof/>
                <w:webHidden/>
              </w:rPr>
            </w:r>
            <w:r>
              <w:rPr>
                <w:noProof/>
                <w:webHidden/>
              </w:rPr>
              <w:fldChar w:fldCharType="separate"/>
            </w:r>
            <w:r>
              <w:rPr>
                <w:noProof/>
                <w:webHidden/>
              </w:rPr>
              <w:t>156</w:t>
            </w:r>
            <w:r>
              <w:rPr>
                <w:noProof/>
                <w:webHidden/>
              </w:rPr>
              <w:fldChar w:fldCharType="end"/>
            </w:r>
          </w:hyperlink>
        </w:p>
        <w:p w14:paraId="5DCCCB1E" w14:textId="4E15E871" w:rsidR="001B3FB7" w:rsidRDefault="001B3FB7">
          <w:pPr>
            <w:pStyle w:val="TOC3"/>
            <w:tabs>
              <w:tab w:val="right" w:leader="dot" w:pos="9350"/>
            </w:tabs>
            <w:rPr>
              <w:noProof/>
              <w:lang w:val="en-GB"/>
            </w:rPr>
          </w:pPr>
          <w:hyperlink w:anchor="_Toc518823362" w:history="1">
            <w:r w:rsidRPr="000E6979">
              <w:rPr>
                <w:rStyle w:val="Hyperlink"/>
                <w:noProof/>
              </w:rPr>
              <w:t>6.3.3.3</w:t>
            </w:r>
            <w:r w:rsidRPr="000E6979">
              <w:rPr>
                <w:rStyle w:val="Hyperlink"/>
                <w:noProof/>
                <w:lang w:val="en-GB"/>
              </w:rPr>
              <w:t>.</w:t>
            </w:r>
            <w:r w:rsidRPr="000E6979">
              <w:rPr>
                <w:rStyle w:val="Hyperlink"/>
                <w:noProof/>
              </w:rPr>
              <w:t xml:space="preserve"> Fatigue behavior of HBPE and HBPE/P-rGO nanocomposites</w:t>
            </w:r>
            <w:r>
              <w:rPr>
                <w:noProof/>
                <w:webHidden/>
              </w:rPr>
              <w:tab/>
            </w:r>
            <w:r>
              <w:rPr>
                <w:noProof/>
                <w:webHidden/>
              </w:rPr>
              <w:fldChar w:fldCharType="begin"/>
            </w:r>
            <w:r>
              <w:rPr>
                <w:noProof/>
                <w:webHidden/>
              </w:rPr>
              <w:instrText xml:space="preserve"> PAGEREF _Toc518823362 \h </w:instrText>
            </w:r>
            <w:r>
              <w:rPr>
                <w:noProof/>
                <w:webHidden/>
              </w:rPr>
            </w:r>
            <w:r>
              <w:rPr>
                <w:noProof/>
                <w:webHidden/>
              </w:rPr>
              <w:fldChar w:fldCharType="separate"/>
            </w:r>
            <w:r>
              <w:rPr>
                <w:noProof/>
                <w:webHidden/>
              </w:rPr>
              <w:t>160</w:t>
            </w:r>
            <w:r>
              <w:rPr>
                <w:noProof/>
                <w:webHidden/>
              </w:rPr>
              <w:fldChar w:fldCharType="end"/>
            </w:r>
          </w:hyperlink>
        </w:p>
        <w:p w14:paraId="14991A96" w14:textId="783B430A" w:rsidR="001B3FB7" w:rsidRDefault="001B3FB7">
          <w:pPr>
            <w:pStyle w:val="TOC2"/>
            <w:tabs>
              <w:tab w:val="right" w:leader="dot" w:pos="9350"/>
            </w:tabs>
            <w:rPr>
              <w:noProof/>
            </w:rPr>
          </w:pPr>
          <w:hyperlink w:anchor="_Toc518823363" w:history="1">
            <w:r w:rsidRPr="000E6979">
              <w:rPr>
                <w:rStyle w:val="Hyperlink"/>
                <w:noProof/>
              </w:rPr>
              <w:t>6.3.4. Glass transition temperature (</w:t>
            </w:r>
            <w:r w:rsidRPr="000E6979">
              <w:rPr>
                <w:rStyle w:val="Hyperlink"/>
                <w:i/>
                <w:noProof/>
              </w:rPr>
              <w:t>T</w:t>
            </w:r>
            <w:r w:rsidRPr="000E6979">
              <w:rPr>
                <w:rStyle w:val="Hyperlink"/>
                <w:i/>
                <w:noProof/>
                <w:vertAlign w:val="subscript"/>
              </w:rPr>
              <w:t>g</w:t>
            </w:r>
            <w:r w:rsidRPr="000E6979">
              <w:rPr>
                <w:rStyle w:val="Hyperlink"/>
                <w:noProof/>
              </w:rPr>
              <w:t>)</w:t>
            </w:r>
            <w:r>
              <w:rPr>
                <w:noProof/>
                <w:webHidden/>
              </w:rPr>
              <w:tab/>
            </w:r>
            <w:r>
              <w:rPr>
                <w:noProof/>
                <w:webHidden/>
              </w:rPr>
              <w:fldChar w:fldCharType="begin"/>
            </w:r>
            <w:r>
              <w:rPr>
                <w:noProof/>
                <w:webHidden/>
              </w:rPr>
              <w:instrText xml:space="preserve"> PAGEREF _Toc518823363 \h </w:instrText>
            </w:r>
            <w:r>
              <w:rPr>
                <w:noProof/>
                <w:webHidden/>
              </w:rPr>
            </w:r>
            <w:r>
              <w:rPr>
                <w:noProof/>
                <w:webHidden/>
              </w:rPr>
              <w:fldChar w:fldCharType="separate"/>
            </w:r>
            <w:r>
              <w:rPr>
                <w:noProof/>
                <w:webHidden/>
              </w:rPr>
              <w:t>161</w:t>
            </w:r>
            <w:r>
              <w:rPr>
                <w:noProof/>
                <w:webHidden/>
              </w:rPr>
              <w:fldChar w:fldCharType="end"/>
            </w:r>
          </w:hyperlink>
        </w:p>
        <w:p w14:paraId="509DBA6B" w14:textId="285C61AD" w:rsidR="001B3FB7" w:rsidRDefault="001B3FB7">
          <w:pPr>
            <w:pStyle w:val="TOC2"/>
            <w:tabs>
              <w:tab w:val="right" w:leader="dot" w:pos="9350"/>
            </w:tabs>
            <w:rPr>
              <w:noProof/>
            </w:rPr>
          </w:pPr>
          <w:hyperlink w:anchor="_Toc518823364" w:history="1">
            <w:r w:rsidRPr="000E6979">
              <w:rPr>
                <w:rStyle w:val="Hyperlink"/>
                <w:noProof/>
              </w:rPr>
              <w:t>6.3.5. Thermal stability</w:t>
            </w:r>
            <w:r>
              <w:rPr>
                <w:noProof/>
                <w:webHidden/>
              </w:rPr>
              <w:tab/>
            </w:r>
            <w:r>
              <w:rPr>
                <w:noProof/>
                <w:webHidden/>
              </w:rPr>
              <w:fldChar w:fldCharType="begin"/>
            </w:r>
            <w:r>
              <w:rPr>
                <w:noProof/>
                <w:webHidden/>
              </w:rPr>
              <w:instrText xml:space="preserve"> PAGEREF _Toc518823364 \h </w:instrText>
            </w:r>
            <w:r>
              <w:rPr>
                <w:noProof/>
                <w:webHidden/>
              </w:rPr>
            </w:r>
            <w:r>
              <w:rPr>
                <w:noProof/>
                <w:webHidden/>
              </w:rPr>
              <w:fldChar w:fldCharType="separate"/>
            </w:r>
            <w:r>
              <w:rPr>
                <w:noProof/>
                <w:webHidden/>
              </w:rPr>
              <w:t>162</w:t>
            </w:r>
            <w:r>
              <w:rPr>
                <w:noProof/>
                <w:webHidden/>
              </w:rPr>
              <w:fldChar w:fldCharType="end"/>
            </w:r>
          </w:hyperlink>
        </w:p>
        <w:p w14:paraId="4E05711D" w14:textId="67643902" w:rsidR="001B3FB7" w:rsidRDefault="001B3FB7">
          <w:pPr>
            <w:pStyle w:val="TOC2"/>
            <w:tabs>
              <w:tab w:val="right" w:leader="dot" w:pos="9350"/>
            </w:tabs>
            <w:rPr>
              <w:noProof/>
            </w:rPr>
          </w:pPr>
          <w:hyperlink w:anchor="_Toc518823365" w:history="1">
            <w:r w:rsidRPr="000E6979">
              <w:rPr>
                <w:rStyle w:val="Hyperlink"/>
                <w:noProof/>
              </w:rPr>
              <w:t>6.3.6. Self-healing efficiency</w:t>
            </w:r>
            <w:r>
              <w:rPr>
                <w:noProof/>
                <w:webHidden/>
              </w:rPr>
              <w:tab/>
            </w:r>
            <w:r>
              <w:rPr>
                <w:noProof/>
                <w:webHidden/>
              </w:rPr>
              <w:fldChar w:fldCharType="begin"/>
            </w:r>
            <w:r>
              <w:rPr>
                <w:noProof/>
                <w:webHidden/>
              </w:rPr>
              <w:instrText xml:space="preserve"> PAGEREF _Toc518823365 \h </w:instrText>
            </w:r>
            <w:r>
              <w:rPr>
                <w:noProof/>
                <w:webHidden/>
              </w:rPr>
            </w:r>
            <w:r>
              <w:rPr>
                <w:noProof/>
                <w:webHidden/>
              </w:rPr>
              <w:fldChar w:fldCharType="separate"/>
            </w:r>
            <w:r>
              <w:rPr>
                <w:noProof/>
                <w:webHidden/>
              </w:rPr>
              <w:t>164</w:t>
            </w:r>
            <w:r>
              <w:rPr>
                <w:noProof/>
                <w:webHidden/>
              </w:rPr>
              <w:fldChar w:fldCharType="end"/>
            </w:r>
          </w:hyperlink>
        </w:p>
        <w:p w14:paraId="41D141FF" w14:textId="6503A7BE" w:rsidR="001B3FB7" w:rsidRDefault="001B3FB7">
          <w:pPr>
            <w:pStyle w:val="TOC1"/>
            <w:rPr>
              <w:noProof/>
            </w:rPr>
          </w:pPr>
          <w:hyperlink w:anchor="_Toc518823366" w:history="1">
            <w:r w:rsidRPr="000E6979">
              <w:rPr>
                <w:rStyle w:val="Hyperlink"/>
                <w:noProof/>
              </w:rPr>
              <w:t>6.4. Conclusions</w:t>
            </w:r>
            <w:r>
              <w:rPr>
                <w:noProof/>
                <w:webHidden/>
              </w:rPr>
              <w:tab/>
            </w:r>
            <w:r>
              <w:rPr>
                <w:noProof/>
                <w:webHidden/>
              </w:rPr>
              <w:fldChar w:fldCharType="begin"/>
            </w:r>
            <w:r>
              <w:rPr>
                <w:noProof/>
                <w:webHidden/>
              </w:rPr>
              <w:instrText xml:space="preserve"> PAGEREF _Toc518823366 \h </w:instrText>
            </w:r>
            <w:r>
              <w:rPr>
                <w:noProof/>
                <w:webHidden/>
              </w:rPr>
            </w:r>
            <w:r>
              <w:rPr>
                <w:noProof/>
                <w:webHidden/>
              </w:rPr>
              <w:fldChar w:fldCharType="separate"/>
            </w:r>
            <w:r>
              <w:rPr>
                <w:noProof/>
                <w:webHidden/>
              </w:rPr>
              <w:t>167</w:t>
            </w:r>
            <w:r>
              <w:rPr>
                <w:noProof/>
                <w:webHidden/>
              </w:rPr>
              <w:fldChar w:fldCharType="end"/>
            </w:r>
          </w:hyperlink>
        </w:p>
        <w:p w14:paraId="13DDB306" w14:textId="2DD316E8" w:rsidR="001B3FB7" w:rsidRDefault="001B3FB7">
          <w:pPr>
            <w:pStyle w:val="TOC1"/>
            <w:rPr>
              <w:noProof/>
            </w:rPr>
          </w:pPr>
          <w:hyperlink w:anchor="_Toc518823367" w:history="1">
            <w:r w:rsidRPr="000E6979">
              <w:rPr>
                <w:rStyle w:val="Hyperlink"/>
                <w:noProof/>
              </w:rPr>
              <w:t>Chapter 7: Conclusions</w:t>
            </w:r>
            <w:r>
              <w:rPr>
                <w:noProof/>
                <w:webHidden/>
              </w:rPr>
              <w:tab/>
            </w:r>
            <w:r>
              <w:rPr>
                <w:noProof/>
                <w:webHidden/>
              </w:rPr>
              <w:fldChar w:fldCharType="begin"/>
            </w:r>
            <w:r>
              <w:rPr>
                <w:noProof/>
                <w:webHidden/>
              </w:rPr>
              <w:instrText xml:space="preserve"> PAGEREF _Toc518823367 \h </w:instrText>
            </w:r>
            <w:r>
              <w:rPr>
                <w:noProof/>
                <w:webHidden/>
              </w:rPr>
            </w:r>
            <w:r>
              <w:rPr>
                <w:noProof/>
                <w:webHidden/>
              </w:rPr>
              <w:fldChar w:fldCharType="separate"/>
            </w:r>
            <w:r>
              <w:rPr>
                <w:noProof/>
                <w:webHidden/>
              </w:rPr>
              <w:t>169</w:t>
            </w:r>
            <w:r>
              <w:rPr>
                <w:noProof/>
                <w:webHidden/>
              </w:rPr>
              <w:fldChar w:fldCharType="end"/>
            </w:r>
          </w:hyperlink>
        </w:p>
        <w:p w14:paraId="3B29A96C" w14:textId="55684381" w:rsidR="001B3FB7" w:rsidRDefault="001B3FB7">
          <w:pPr>
            <w:pStyle w:val="TOC1"/>
            <w:rPr>
              <w:noProof/>
            </w:rPr>
          </w:pPr>
          <w:hyperlink w:anchor="_Toc518823368" w:history="1">
            <w:r w:rsidRPr="000E6979">
              <w:rPr>
                <w:rStyle w:val="Hyperlink"/>
                <w:noProof/>
              </w:rPr>
              <w:t>Chapter 8: Future work</w:t>
            </w:r>
            <w:r>
              <w:rPr>
                <w:noProof/>
                <w:webHidden/>
              </w:rPr>
              <w:tab/>
            </w:r>
            <w:r>
              <w:rPr>
                <w:noProof/>
                <w:webHidden/>
              </w:rPr>
              <w:fldChar w:fldCharType="begin"/>
            </w:r>
            <w:r>
              <w:rPr>
                <w:noProof/>
                <w:webHidden/>
              </w:rPr>
              <w:instrText xml:space="preserve"> PAGEREF _Toc518823368 \h </w:instrText>
            </w:r>
            <w:r>
              <w:rPr>
                <w:noProof/>
                <w:webHidden/>
              </w:rPr>
            </w:r>
            <w:r>
              <w:rPr>
                <w:noProof/>
                <w:webHidden/>
              </w:rPr>
              <w:fldChar w:fldCharType="separate"/>
            </w:r>
            <w:r>
              <w:rPr>
                <w:noProof/>
                <w:webHidden/>
              </w:rPr>
              <w:t>172</w:t>
            </w:r>
            <w:r>
              <w:rPr>
                <w:noProof/>
                <w:webHidden/>
              </w:rPr>
              <w:fldChar w:fldCharType="end"/>
            </w:r>
          </w:hyperlink>
        </w:p>
        <w:p w14:paraId="48556F92" w14:textId="781FB20A" w:rsidR="001B3FB7" w:rsidRDefault="001B3FB7">
          <w:pPr>
            <w:pStyle w:val="TOC1"/>
            <w:rPr>
              <w:noProof/>
            </w:rPr>
          </w:pPr>
          <w:hyperlink w:anchor="_Toc518823369" w:history="1">
            <w:r w:rsidRPr="000E6979">
              <w:rPr>
                <w:rStyle w:val="Hyperlink"/>
                <w:noProof/>
              </w:rPr>
              <w:t>References</w:t>
            </w:r>
            <w:r>
              <w:rPr>
                <w:noProof/>
                <w:webHidden/>
              </w:rPr>
              <w:tab/>
            </w:r>
            <w:r>
              <w:rPr>
                <w:noProof/>
                <w:webHidden/>
              </w:rPr>
              <w:fldChar w:fldCharType="begin"/>
            </w:r>
            <w:r>
              <w:rPr>
                <w:noProof/>
                <w:webHidden/>
              </w:rPr>
              <w:instrText xml:space="preserve"> PAGEREF _Toc518823369 \h </w:instrText>
            </w:r>
            <w:r>
              <w:rPr>
                <w:noProof/>
                <w:webHidden/>
              </w:rPr>
            </w:r>
            <w:r>
              <w:rPr>
                <w:noProof/>
                <w:webHidden/>
              </w:rPr>
              <w:fldChar w:fldCharType="separate"/>
            </w:r>
            <w:r>
              <w:rPr>
                <w:noProof/>
                <w:webHidden/>
              </w:rPr>
              <w:t>173</w:t>
            </w:r>
            <w:r>
              <w:rPr>
                <w:noProof/>
                <w:webHidden/>
              </w:rPr>
              <w:fldChar w:fldCharType="end"/>
            </w:r>
          </w:hyperlink>
        </w:p>
        <w:p w14:paraId="6245137C" w14:textId="33F0FB7C" w:rsidR="00E709EE" w:rsidRPr="000E7129" w:rsidRDefault="00E709EE" w:rsidP="003D716D">
          <w:pPr>
            <w:spacing w:line="360" w:lineRule="auto"/>
            <w:rPr>
              <w:rFonts w:ascii="Times New Roman" w:hAnsi="Times New Roman" w:cs="Times New Roman"/>
              <w:b/>
              <w:bCs/>
              <w:noProof/>
              <w:sz w:val="24"/>
              <w:szCs w:val="24"/>
            </w:rPr>
          </w:pPr>
          <w:r w:rsidRPr="00E709EE">
            <w:rPr>
              <w:rFonts w:ascii="Times New Roman" w:hAnsi="Times New Roman" w:cs="Times New Roman"/>
              <w:b/>
              <w:bCs/>
              <w:noProof/>
              <w:sz w:val="24"/>
              <w:szCs w:val="24"/>
            </w:rPr>
            <w:fldChar w:fldCharType="end"/>
          </w:r>
        </w:p>
      </w:sdtContent>
    </w:sdt>
    <w:p w14:paraId="298865AB" w14:textId="77777777" w:rsidR="000D327D" w:rsidRDefault="000D327D" w:rsidP="001733A4">
      <w:pPr>
        <w:pStyle w:val="NoSpacing"/>
      </w:pPr>
    </w:p>
    <w:p w14:paraId="1F0A39C6" w14:textId="77777777" w:rsidR="001B3FB7" w:rsidRPr="00F148DD" w:rsidRDefault="00EB703A" w:rsidP="001733A4">
      <w:pPr>
        <w:pStyle w:val="NoSpacing"/>
        <w:rPr>
          <w:rFonts w:asciiTheme="minorHAnsi" w:eastAsiaTheme="minorEastAsia" w:hAnsiTheme="minorHAnsi"/>
          <w:b w:val="0"/>
          <w:noProof/>
          <w:sz w:val="22"/>
        </w:rPr>
      </w:pPr>
      <w:r>
        <w:t>List of F</w:t>
      </w:r>
      <w:r w:rsidR="00A717F2">
        <w:t>igures</w:t>
      </w:r>
      <w:r w:rsidR="001733A4" w:rsidRPr="00F148DD">
        <w:rPr>
          <w:rFonts w:asciiTheme="minorHAnsi" w:eastAsiaTheme="minorEastAsia" w:hAnsiTheme="minorHAnsi"/>
          <w:b w:val="0"/>
          <w:sz w:val="22"/>
        </w:rPr>
        <w:fldChar w:fldCharType="begin"/>
      </w:r>
      <w:r w:rsidR="001733A4" w:rsidRPr="00F148DD">
        <w:rPr>
          <w:rFonts w:asciiTheme="minorHAnsi" w:eastAsiaTheme="minorEastAsia" w:hAnsiTheme="minorHAnsi"/>
          <w:b w:val="0"/>
          <w:sz w:val="22"/>
        </w:rPr>
        <w:instrText xml:space="preserve"> TOC \c "Figure 2." </w:instrText>
      </w:r>
      <w:r w:rsidR="001733A4" w:rsidRPr="00F148DD">
        <w:rPr>
          <w:rFonts w:asciiTheme="minorHAnsi" w:eastAsiaTheme="minorEastAsia" w:hAnsiTheme="minorHAnsi"/>
          <w:b w:val="0"/>
          <w:sz w:val="22"/>
        </w:rPr>
        <w:fldChar w:fldCharType="separate"/>
      </w:r>
    </w:p>
    <w:p w14:paraId="66571813" w14:textId="491BC203" w:rsidR="001B3FB7" w:rsidRPr="00F148DD" w:rsidRDefault="001B3FB7">
      <w:pPr>
        <w:pStyle w:val="TableofFigures"/>
        <w:tabs>
          <w:tab w:val="right" w:leader="dot" w:pos="9350"/>
        </w:tabs>
        <w:rPr>
          <w:noProof/>
          <w:lang w:val="en-GB"/>
        </w:rPr>
      </w:pPr>
      <w:r w:rsidRPr="00F148DD">
        <w:rPr>
          <w:noProof/>
        </w:rPr>
        <w:t xml:space="preserve">Figure 2.1. </w:t>
      </w:r>
      <w:r w:rsidRPr="00F148DD">
        <w:rPr>
          <w:rFonts w:cs="Times New Roman"/>
          <w:noProof/>
        </w:rPr>
        <w:t>Graphene as a building block of graphitic materials. (a) fullerenes. (b) carbon nanotubes. (c) graphite (Reproduced from reference [20]).</w:t>
      </w:r>
      <w:r w:rsidRPr="00F148DD">
        <w:rPr>
          <w:noProof/>
        </w:rPr>
        <w:tab/>
      </w:r>
      <w:r w:rsidRPr="00F148DD">
        <w:rPr>
          <w:noProof/>
        </w:rPr>
        <w:fldChar w:fldCharType="begin"/>
      </w:r>
      <w:r w:rsidRPr="00F148DD">
        <w:rPr>
          <w:noProof/>
        </w:rPr>
        <w:instrText xml:space="preserve"> PAGEREF _Toc518823378 \h </w:instrText>
      </w:r>
      <w:r w:rsidRPr="00F148DD">
        <w:rPr>
          <w:noProof/>
        </w:rPr>
      </w:r>
      <w:r w:rsidRPr="00F148DD">
        <w:rPr>
          <w:noProof/>
        </w:rPr>
        <w:fldChar w:fldCharType="separate"/>
      </w:r>
      <w:r w:rsidRPr="00F148DD">
        <w:rPr>
          <w:noProof/>
        </w:rPr>
        <w:t>9</w:t>
      </w:r>
      <w:r w:rsidRPr="00F148DD">
        <w:rPr>
          <w:noProof/>
        </w:rPr>
        <w:fldChar w:fldCharType="end"/>
      </w:r>
    </w:p>
    <w:p w14:paraId="3643851E" w14:textId="7602AF1F" w:rsidR="001B3FB7" w:rsidRPr="00F148DD" w:rsidRDefault="001B3FB7">
      <w:pPr>
        <w:pStyle w:val="TableofFigures"/>
        <w:tabs>
          <w:tab w:val="right" w:leader="dot" w:pos="9350"/>
        </w:tabs>
        <w:rPr>
          <w:noProof/>
          <w:lang w:val="en-GB"/>
        </w:rPr>
      </w:pPr>
      <w:r w:rsidRPr="00F148DD">
        <w:rPr>
          <w:noProof/>
        </w:rPr>
        <w:t xml:space="preserve">Figure 2.2. </w:t>
      </w:r>
      <w:r w:rsidRPr="00F148DD">
        <w:rPr>
          <w:rFonts w:cstheme="majorBidi"/>
          <w:bCs/>
          <w:noProof/>
        </w:rPr>
        <w:t xml:space="preserve">(a) </w:t>
      </w:r>
      <w:r w:rsidRPr="00F148DD">
        <w:rPr>
          <w:rFonts w:cstheme="majorBidi"/>
          <w:noProof/>
        </w:rPr>
        <w:t xml:space="preserve">Lerf-Klinowski model </w:t>
      </w:r>
      <w:r w:rsidRPr="00F148DD">
        <w:rPr>
          <w:rFonts w:cstheme="majorBidi"/>
          <w:bCs/>
          <w:noProof/>
        </w:rPr>
        <w:t>structure of GO (Reproduced from reference [22]), (b) ~25 μm thick GO strip, (c) SEM image of side of GO sheet with 10 μm thickness (Reproduced from reference [45])</w:t>
      </w:r>
      <w:r w:rsidRPr="00F148DD">
        <w:rPr>
          <w:noProof/>
        </w:rPr>
        <w:tab/>
      </w:r>
      <w:r w:rsidRPr="00F148DD">
        <w:rPr>
          <w:noProof/>
        </w:rPr>
        <w:fldChar w:fldCharType="begin"/>
      </w:r>
      <w:r w:rsidRPr="00F148DD">
        <w:rPr>
          <w:noProof/>
        </w:rPr>
        <w:instrText xml:space="preserve"> PAGEREF _Toc518823379 \h </w:instrText>
      </w:r>
      <w:r w:rsidRPr="00F148DD">
        <w:rPr>
          <w:noProof/>
        </w:rPr>
      </w:r>
      <w:r w:rsidRPr="00F148DD">
        <w:rPr>
          <w:noProof/>
        </w:rPr>
        <w:fldChar w:fldCharType="separate"/>
      </w:r>
      <w:r w:rsidRPr="00F148DD">
        <w:rPr>
          <w:noProof/>
        </w:rPr>
        <w:t>11</w:t>
      </w:r>
      <w:r w:rsidRPr="00F148DD">
        <w:rPr>
          <w:noProof/>
        </w:rPr>
        <w:fldChar w:fldCharType="end"/>
      </w:r>
    </w:p>
    <w:p w14:paraId="57569F2C" w14:textId="68C43916" w:rsidR="001B3FB7" w:rsidRPr="00F148DD" w:rsidRDefault="001B3FB7">
      <w:pPr>
        <w:pStyle w:val="TableofFigures"/>
        <w:tabs>
          <w:tab w:val="right" w:leader="dot" w:pos="9350"/>
        </w:tabs>
        <w:rPr>
          <w:noProof/>
          <w:lang w:val="en-GB"/>
        </w:rPr>
      </w:pPr>
      <w:r w:rsidRPr="00F148DD">
        <w:rPr>
          <w:noProof/>
        </w:rPr>
        <w:t xml:space="preserve">Figure 2.3. </w:t>
      </w:r>
      <w:r w:rsidRPr="00F148DD">
        <w:rPr>
          <w:rFonts w:cs="Times New Roman"/>
          <w:noProof/>
        </w:rPr>
        <w:t>Digital images of GO in water and 13 organic solvents after ultra-sonication and after 3 weeks (Reproduced from reference [50]).</w:t>
      </w:r>
      <w:r w:rsidRPr="00F148DD">
        <w:rPr>
          <w:noProof/>
        </w:rPr>
        <w:tab/>
      </w:r>
      <w:r w:rsidRPr="00F148DD">
        <w:rPr>
          <w:noProof/>
        </w:rPr>
        <w:fldChar w:fldCharType="begin"/>
      </w:r>
      <w:r w:rsidRPr="00F148DD">
        <w:rPr>
          <w:noProof/>
        </w:rPr>
        <w:instrText xml:space="preserve"> PAGEREF _Toc518823380 \h </w:instrText>
      </w:r>
      <w:r w:rsidRPr="00F148DD">
        <w:rPr>
          <w:noProof/>
        </w:rPr>
      </w:r>
      <w:r w:rsidRPr="00F148DD">
        <w:rPr>
          <w:noProof/>
        </w:rPr>
        <w:fldChar w:fldCharType="separate"/>
      </w:r>
      <w:r w:rsidRPr="00F148DD">
        <w:rPr>
          <w:noProof/>
        </w:rPr>
        <w:t>13</w:t>
      </w:r>
      <w:r w:rsidRPr="00F148DD">
        <w:rPr>
          <w:noProof/>
        </w:rPr>
        <w:fldChar w:fldCharType="end"/>
      </w:r>
    </w:p>
    <w:p w14:paraId="31253B91" w14:textId="23BACD9F" w:rsidR="001B3FB7" w:rsidRPr="00F148DD" w:rsidRDefault="001B3FB7">
      <w:pPr>
        <w:pStyle w:val="TableofFigures"/>
        <w:tabs>
          <w:tab w:val="right" w:leader="dot" w:pos="9350"/>
        </w:tabs>
        <w:rPr>
          <w:noProof/>
          <w:lang w:val="en-GB"/>
        </w:rPr>
      </w:pPr>
      <w:r w:rsidRPr="00F148DD">
        <w:rPr>
          <w:noProof/>
        </w:rPr>
        <w:t xml:space="preserve">Figure 2.4. </w:t>
      </w:r>
      <w:r w:rsidRPr="00F148DD">
        <w:rPr>
          <w:rFonts w:cs="Times New Roman"/>
          <w:noProof/>
        </w:rPr>
        <w:t>Schematic diagram of the formation of carbamate and amide functionalities of iGO (Reproduced from reference [34]).</w:t>
      </w:r>
      <w:r w:rsidRPr="00F148DD">
        <w:rPr>
          <w:noProof/>
        </w:rPr>
        <w:tab/>
      </w:r>
      <w:r w:rsidRPr="00F148DD">
        <w:rPr>
          <w:noProof/>
        </w:rPr>
        <w:fldChar w:fldCharType="begin"/>
      </w:r>
      <w:r w:rsidRPr="00F148DD">
        <w:rPr>
          <w:noProof/>
        </w:rPr>
        <w:instrText xml:space="preserve"> PAGEREF _Toc518823381 \h </w:instrText>
      </w:r>
      <w:r w:rsidRPr="00F148DD">
        <w:rPr>
          <w:noProof/>
        </w:rPr>
      </w:r>
      <w:r w:rsidRPr="00F148DD">
        <w:rPr>
          <w:noProof/>
        </w:rPr>
        <w:fldChar w:fldCharType="separate"/>
      </w:r>
      <w:r w:rsidRPr="00F148DD">
        <w:rPr>
          <w:noProof/>
        </w:rPr>
        <w:t>15</w:t>
      </w:r>
      <w:r w:rsidRPr="00F148DD">
        <w:rPr>
          <w:noProof/>
        </w:rPr>
        <w:fldChar w:fldCharType="end"/>
      </w:r>
    </w:p>
    <w:p w14:paraId="7C6B08AE" w14:textId="0787331F" w:rsidR="001B3FB7" w:rsidRPr="00F148DD" w:rsidRDefault="001B3FB7" w:rsidP="00F148DD">
      <w:pPr>
        <w:pStyle w:val="TableofFigures"/>
        <w:tabs>
          <w:tab w:val="right" w:leader="dot" w:pos="9350"/>
        </w:tabs>
        <w:spacing w:line="240" w:lineRule="auto"/>
        <w:rPr>
          <w:noProof/>
          <w:lang w:val="en-GB"/>
        </w:rPr>
      </w:pPr>
      <w:r w:rsidRPr="00F148DD">
        <w:rPr>
          <w:noProof/>
        </w:rPr>
        <w:t xml:space="preserve">Figure 2.5. </w:t>
      </w:r>
      <w:r w:rsidRPr="00F148DD">
        <w:rPr>
          <w:rFonts w:cs="Times New Roman"/>
          <w:noProof/>
        </w:rPr>
        <w:t>Schematic illustration of graphene aqueous (0.25 mg ml-1): (a) reduced GO aqueous, (b) rGO-PDI aqueous, and (c) rGO-PyS aqueous (Reproduced from reference [58]).</w:t>
      </w:r>
      <w:r w:rsidRPr="00F148DD">
        <w:rPr>
          <w:noProof/>
        </w:rPr>
        <w:tab/>
      </w:r>
      <w:r w:rsidRPr="00F148DD">
        <w:rPr>
          <w:noProof/>
        </w:rPr>
        <w:fldChar w:fldCharType="begin"/>
      </w:r>
      <w:r w:rsidRPr="00F148DD">
        <w:rPr>
          <w:noProof/>
        </w:rPr>
        <w:instrText xml:space="preserve"> PAGEREF _Toc518823382 \h </w:instrText>
      </w:r>
      <w:r w:rsidRPr="00F148DD">
        <w:rPr>
          <w:noProof/>
        </w:rPr>
      </w:r>
      <w:r w:rsidRPr="00F148DD">
        <w:rPr>
          <w:noProof/>
        </w:rPr>
        <w:fldChar w:fldCharType="separate"/>
      </w:r>
      <w:r w:rsidRPr="00F148DD">
        <w:rPr>
          <w:noProof/>
        </w:rPr>
        <w:t>17</w:t>
      </w:r>
      <w:r w:rsidRPr="00F148DD">
        <w:rPr>
          <w:noProof/>
        </w:rPr>
        <w:fldChar w:fldCharType="end"/>
      </w:r>
    </w:p>
    <w:p w14:paraId="313907B4" w14:textId="6448FEF0" w:rsidR="001B3FB7" w:rsidRPr="00F148DD" w:rsidRDefault="001B3FB7" w:rsidP="00F148DD">
      <w:pPr>
        <w:pStyle w:val="TableofFigures"/>
        <w:tabs>
          <w:tab w:val="right" w:leader="dot" w:pos="9350"/>
        </w:tabs>
        <w:spacing w:line="480" w:lineRule="auto"/>
        <w:rPr>
          <w:noProof/>
          <w:lang w:val="en-GB"/>
        </w:rPr>
      </w:pPr>
      <w:r w:rsidRPr="00F148DD">
        <w:rPr>
          <w:noProof/>
        </w:rPr>
        <w:t xml:space="preserve">Figure 2.6. </w:t>
      </w:r>
      <w:r w:rsidRPr="00F148DD">
        <w:rPr>
          <w:rFonts w:cs="Times New Roman"/>
          <w:noProof/>
        </w:rPr>
        <w:t>Experimental set-up diagram (left) and the exfoliation of the graphite anode (right) (Reproduced from reference [59]).</w:t>
      </w:r>
      <w:r w:rsidRPr="00F148DD">
        <w:rPr>
          <w:noProof/>
        </w:rPr>
        <w:tab/>
      </w:r>
      <w:r w:rsidRPr="00F148DD">
        <w:rPr>
          <w:noProof/>
        </w:rPr>
        <w:fldChar w:fldCharType="begin"/>
      </w:r>
      <w:r w:rsidRPr="00F148DD">
        <w:rPr>
          <w:noProof/>
        </w:rPr>
        <w:instrText xml:space="preserve"> PAGEREF _Toc518823383 \h </w:instrText>
      </w:r>
      <w:r w:rsidRPr="00F148DD">
        <w:rPr>
          <w:noProof/>
        </w:rPr>
      </w:r>
      <w:r w:rsidRPr="00F148DD">
        <w:rPr>
          <w:noProof/>
        </w:rPr>
        <w:fldChar w:fldCharType="separate"/>
      </w:r>
      <w:r w:rsidRPr="00F148DD">
        <w:rPr>
          <w:noProof/>
        </w:rPr>
        <w:t>18</w:t>
      </w:r>
      <w:r w:rsidRPr="00F148DD">
        <w:rPr>
          <w:noProof/>
        </w:rPr>
        <w:fldChar w:fldCharType="end"/>
      </w:r>
    </w:p>
    <w:p w14:paraId="73E94E0B" w14:textId="64E2ABB2" w:rsidR="001B3FB7" w:rsidRPr="00F148DD" w:rsidRDefault="001B3FB7" w:rsidP="00F148DD">
      <w:pPr>
        <w:pStyle w:val="TableofFigures"/>
        <w:tabs>
          <w:tab w:val="right" w:leader="dot" w:pos="9350"/>
        </w:tabs>
        <w:spacing w:line="360" w:lineRule="auto"/>
        <w:rPr>
          <w:noProof/>
          <w:lang w:val="en-GB"/>
        </w:rPr>
      </w:pPr>
      <w:r w:rsidRPr="00F148DD">
        <w:rPr>
          <w:noProof/>
        </w:rPr>
        <w:t xml:space="preserve">Figure 2.7. </w:t>
      </w:r>
      <w:r w:rsidRPr="00F148DD">
        <w:rPr>
          <w:rFonts w:cstheme="majorBidi"/>
          <w:bCs/>
          <w:noProof/>
        </w:rPr>
        <w:t>Schematic diagram for 4 possible reactions in UPR/styrene system: (a) intermolecular crosslinking E-(Sn)-E, (b) intermolecular crosslinking E-E, (c) intramolecular crosslinking E-(Sn)-E, (d) intramolecular crosslinking E-E, (e) branching growth E-(Sn); (f) styrene homopolymerization Sn-Sn [1].</w:t>
      </w:r>
      <w:r w:rsidRPr="00F148DD">
        <w:rPr>
          <w:noProof/>
        </w:rPr>
        <w:tab/>
      </w:r>
      <w:r w:rsidRPr="00F148DD">
        <w:rPr>
          <w:noProof/>
        </w:rPr>
        <w:fldChar w:fldCharType="begin"/>
      </w:r>
      <w:r w:rsidRPr="00F148DD">
        <w:rPr>
          <w:noProof/>
        </w:rPr>
        <w:instrText xml:space="preserve"> PAGEREF _Toc518823384 \h </w:instrText>
      </w:r>
      <w:r w:rsidRPr="00F148DD">
        <w:rPr>
          <w:noProof/>
        </w:rPr>
      </w:r>
      <w:r w:rsidRPr="00F148DD">
        <w:rPr>
          <w:noProof/>
        </w:rPr>
        <w:fldChar w:fldCharType="separate"/>
      </w:r>
      <w:r w:rsidRPr="00F148DD">
        <w:rPr>
          <w:noProof/>
        </w:rPr>
        <w:t>21</w:t>
      </w:r>
      <w:r w:rsidRPr="00F148DD">
        <w:rPr>
          <w:noProof/>
        </w:rPr>
        <w:fldChar w:fldCharType="end"/>
      </w:r>
    </w:p>
    <w:p w14:paraId="5863EB0A" w14:textId="00EAA3AF" w:rsidR="001B3FB7" w:rsidRPr="00F148DD" w:rsidRDefault="001B3FB7">
      <w:pPr>
        <w:pStyle w:val="TableofFigures"/>
        <w:tabs>
          <w:tab w:val="right" w:leader="dot" w:pos="9350"/>
        </w:tabs>
        <w:rPr>
          <w:noProof/>
          <w:lang w:val="en-GB"/>
        </w:rPr>
      </w:pPr>
      <w:r w:rsidRPr="00F148DD">
        <w:rPr>
          <w:noProof/>
        </w:rPr>
        <w:t xml:space="preserve">Figure 2.8. </w:t>
      </w:r>
      <w:r w:rsidRPr="00F148DD">
        <w:rPr>
          <w:rFonts w:cs="Times New Roman"/>
          <w:noProof/>
        </w:rPr>
        <w:t>Mechanical properties of PVA/graphene nanocomposites: stress-strain curve (left) and tensile strength and elongation at break versus graphene loadings (Reproduced from reference [81]).</w:t>
      </w:r>
      <w:r w:rsidRPr="00F148DD">
        <w:rPr>
          <w:noProof/>
        </w:rPr>
        <w:tab/>
      </w:r>
      <w:r w:rsidRPr="00F148DD">
        <w:rPr>
          <w:noProof/>
        </w:rPr>
        <w:fldChar w:fldCharType="begin"/>
      </w:r>
      <w:r w:rsidRPr="00F148DD">
        <w:rPr>
          <w:noProof/>
        </w:rPr>
        <w:instrText xml:space="preserve"> PAGEREF _Toc518823385 \h </w:instrText>
      </w:r>
      <w:r w:rsidRPr="00F148DD">
        <w:rPr>
          <w:noProof/>
        </w:rPr>
      </w:r>
      <w:r w:rsidRPr="00F148DD">
        <w:rPr>
          <w:noProof/>
        </w:rPr>
        <w:fldChar w:fldCharType="separate"/>
      </w:r>
      <w:r w:rsidRPr="00F148DD">
        <w:rPr>
          <w:noProof/>
        </w:rPr>
        <w:t>25</w:t>
      </w:r>
      <w:r w:rsidRPr="00F148DD">
        <w:rPr>
          <w:noProof/>
        </w:rPr>
        <w:fldChar w:fldCharType="end"/>
      </w:r>
    </w:p>
    <w:p w14:paraId="0C3CBFF8" w14:textId="3889F3DD" w:rsidR="001B3FB7" w:rsidRPr="00F148DD" w:rsidRDefault="001B3FB7">
      <w:pPr>
        <w:pStyle w:val="TableofFigures"/>
        <w:tabs>
          <w:tab w:val="right" w:leader="dot" w:pos="9350"/>
        </w:tabs>
        <w:rPr>
          <w:noProof/>
          <w:lang w:val="en-GB"/>
        </w:rPr>
      </w:pPr>
      <w:r w:rsidRPr="00F148DD">
        <w:rPr>
          <w:noProof/>
        </w:rPr>
        <w:t xml:space="preserve">Figure 2.9. </w:t>
      </w:r>
      <w:r w:rsidRPr="00F148DD">
        <w:rPr>
          <w:rFonts w:cs="Times New Roman"/>
          <w:noProof/>
        </w:rPr>
        <w:t>Schematic models of various dispersion types of graphene nanosheets in polymer matrix: (1) Graphene nanosheets are individually dispersed in the matrix at intervals. (2) The edges of graphene nanosheets just join together side by side. (3) Graphene nanosheets are overlapping with each other. (4) Graphene nanosheets are restacking together by layers (Reproduced from reference [81]).</w:t>
      </w:r>
      <w:r w:rsidRPr="00F148DD">
        <w:rPr>
          <w:noProof/>
        </w:rPr>
        <w:tab/>
      </w:r>
      <w:r w:rsidRPr="00F148DD">
        <w:rPr>
          <w:noProof/>
        </w:rPr>
        <w:fldChar w:fldCharType="begin"/>
      </w:r>
      <w:r w:rsidRPr="00F148DD">
        <w:rPr>
          <w:noProof/>
        </w:rPr>
        <w:instrText xml:space="preserve"> PAGEREF _Toc518823386 \h </w:instrText>
      </w:r>
      <w:r w:rsidRPr="00F148DD">
        <w:rPr>
          <w:noProof/>
        </w:rPr>
      </w:r>
      <w:r w:rsidRPr="00F148DD">
        <w:rPr>
          <w:noProof/>
        </w:rPr>
        <w:fldChar w:fldCharType="separate"/>
      </w:r>
      <w:r w:rsidRPr="00F148DD">
        <w:rPr>
          <w:noProof/>
        </w:rPr>
        <w:t>26</w:t>
      </w:r>
      <w:r w:rsidRPr="00F148DD">
        <w:rPr>
          <w:noProof/>
        </w:rPr>
        <w:fldChar w:fldCharType="end"/>
      </w:r>
    </w:p>
    <w:p w14:paraId="119D3EB3" w14:textId="4D2DDB39" w:rsidR="001B3FB7" w:rsidRPr="00F148DD" w:rsidRDefault="001B3FB7">
      <w:pPr>
        <w:pStyle w:val="TableofFigures"/>
        <w:tabs>
          <w:tab w:val="right" w:leader="dot" w:pos="9350"/>
        </w:tabs>
        <w:rPr>
          <w:noProof/>
          <w:lang w:val="en-GB"/>
        </w:rPr>
      </w:pPr>
      <w:r w:rsidRPr="00F148DD">
        <w:rPr>
          <w:noProof/>
        </w:rPr>
        <w:t xml:space="preserve">Figure 2.10. </w:t>
      </w:r>
      <w:r w:rsidRPr="00F148DD">
        <w:rPr>
          <w:rFonts w:cs="Times New Roman"/>
          <w:noProof/>
        </w:rPr>
        <w:t>Thermal conductivity with various filler contents of MWCNTs/epoxy, graphene/epoxy, and Py-PGMA–graphene (Reproduced from reference [98]).</w:t>
      </w:r>
      <w:r w:rsidRPr="00F148DD">
        <w:rPr>
          <w:noProof/>
        </w:rPr>
        <w:tab/>
      </w:r>
      <w:r w:rsidRPr="00F148DD">
        <w:rPr>
          <w:noProof/>
        </w:rPr>
        <w:fldChar w:fldCharType="begin"/>
      </w:r>
      <w:r w:rsidRPr="00F148DD">
        <w:rPr>
          <w:noProof/>
        </w:rPr>
        <w:instrText xml:space="preserve"> PAGEREF _Toc518823387 \h </w:instrText>
      </w:r>
      <w:r w:rsidRPr="00F148DD">
        <w:rPr>
          <w:noProof/>
        </w:rPr>
      </w:r>
      <w:r w:rsidRPr="00F148DD">
        <w:rPr>
          <w:noProof/>
        </w:rPr>
        <w:fldChar w:fldCharType="separate"/>
      </w:r>
      <w:r w:rsidRPr="00F148DD">
        <w:rPr>
          <w:noProof/>
        </w:rPr>
        <w:t>29</w:t>
      </w:r>
      <w:r w:rsidRPr="00F148DD">
        <w:rPr>
          <w:noProof/>
        </w:rPr>
        <w:fldChar w:fldCharType="end"/>
      </w:r>
    </w:p>
    <w:p w14:paraId="587B15F1" w14:textId="0B1FD3EB" w:rsidR="001B3FB7" w:rsidRPr="00F148DD" w:rsidRDefault="001B3FB7">
      <w:pPr>
        <w:pStyle w:val="TableofFigures"/>
        <w:tabs>
          <w:tab w:val="right" w:leader="dot" w:pos="9350"/>
        </w:tabs>
        <w:rPr>
          <w:noProof/>
          <w:lang w:val="en-GB"/>
        </w:rPr>
      </w:pPr>
      <w:r w:rsidRPr="00F148DD">
        <w:rPr>
          <w:noProof/>
        </w:rPr>
        <w:t xml:space="preserve">Figure 2.11. </w:t>
      </w:r>
      <w:r w:rsidRPr="00F148DD">
        <w:rPr>
          <w:rFonts w:cs="Times New Roman"/>
          <w:noProof/>
          <w:color w:val="222222"/>
          <w:shd w:val="clear" w:color="auto" w:fill="FFFFFF"/>
        </w:rPr>
        <w:t xml:space="preserve">TEM images of poly(urethane) filled with various nanofillers: (a) unexfoliated graphite, (b) TEGO, prepared by melt mixing. (c) and (d) show TEGO/polyurethane composites produced by solution blending and in situ polymerization, respectively </w:t>
      </w:r>
      <w:r w:rsidRPr="00F148DD">
        <w:rPr>
          <w:rFonts w:cs="Times New Roman"/>
          <w:noProof/>
        </w:rPr>
        <w:t>(Reproduced from reference</w:t>
      </w:r>
      <w:r w:rsidRPr="00F148DD">
        <w:rPr>
          <w:rFonts w:cs="Times New Roman"/>
          <w:noProof/>
          <w:color w:val="222222"/>
          <w:shd w:val="clear" w:color="auto" w:fill="FFFFFF"/>
        </w:rPr>
        <w:t xml:space="preserve"> [82]).</w:t>
      </w:r>
      <w:r w:rsidRPr="00F148DD">
        <w:rPr>
          <w:noProof/>
        </w:rPr>
        <w:tab/>
      </w:r>
      <w:r w:rsidRPr="00F148DD">
        <w:rPr>
          <w:noProof/>
        </w:rPr>
        <w:fldChar w:fldCharType="begin"/>
      </w:r>
      <w:r w:rsidRPr="00F148DD">
        <w:rPr>
          <w:noProof/>
        </w:rPr>
        <w:instrText xml:space="preserve"> PAGEREF _Toc518823388 \h </w:instrText>
      </w:r>
      <w:r w:rsidRPr="00F148DD">
        <w:rPr>
          <w:noProof/>
        </w:rPr>
      </w:r>
      <w:r w:rsidRPr="00F148DD">
        <w:rPr>
          <w:noProof/>
        </w:rPr>
        <w:fldChar w:fldCharType="separate"/>
      </w:r>
      <w:r w:rsidRPr="00F148DD">
        <w:rPr>
          <w:noProof/>
        </w:rPr>
        <w:t>33</w:t>
      </w:r>
      <w:r w:rsidRPr="00F148DD">
        <w:rPr>
          <w:noProof/>
        </w:rPr>
        <w:fldChar w:fldCharType="end"/>
      </w:r>
    </w:p>
    <w:p w14:paraId="0505B23E" w14:textId="165E4C2C" w:rsidR="001B3FB7" w:rsidRPr="00F148DD" w:rsidRDefault="001B3FB7">
      <w:pPr>
        <w:pStyle w:val="TableofFigures"/>
        <w:tabs>
          <w:tab w:val="right" w:leader="dot" w:pos="9350"/>
        </w:tabs>
        <w:rPr>
          <w:noProof/>
          <w:lang w:val="en-GB"/>
        </w:rPr>
      </w:pPr>
      <w:r w:rsidRPr="00F148DD">
        <w:rPr>
          <w:noProof/>
        </w:rPr>
        <w:t xml:space="preserve">Figure 2.12. </w:t>
      </w:r>
      <w:r w:rsidRPr="00F148DD">
        <w:rPr>
          <w:rFonts w:cs="Times New Roman"/>
          <w:noProof/>
        </w:rPr>
        <w:t>Stress-strain curves for PU/EG composites. Insert is the low strain region of stress-strain curves for PC/EG (Reproduced from reference [133]</w:t>
      </w:r>
      <w:r w:rsidRPr="00F148DD">
        <w:rPr>
          <w:rFonts w:cs="Times New Roman"/>
          <w:noProof/>
          <w:color w:val="222222"/>
          <w:shd w:val="clear" w:color="auto" w:fill="FFFFFF"/>
        </w:rPr>
        <w:t>).</w:t>
      </w:r>
      <w:r w:rsidRPr="00F148DD">
        <w:rPr>
          <w:noProof/>
        </w:rPr>
        <w:tab/>
      </w:r>
      <w:r w:rsidRPr="00F148DD">
        <w:rPr>
          <w:noProof/>
        </w:rPr>
        <w:fldChar w:fldCharType="begin"/>
      </w:r>
      <w:r w:rsidRPr="00F148DD">
        <w:rPr>
          <w:noProof/>
        </w:rPr>
        <w:instrText xml:space="preserve"> PAGEREF _Toc518823389 \h </w:instrText>
      </w:r>
      <w:r w:rsidRPr="00F148DD">
        <w:rPr>
          <w:noProof/>
        </w:rPr>
      </w:r>
      <w:r w:rsidRPr="00F148DD">
        <w:rPr>
          <w:noProof/>
        </w:rPr>
        <w:fldChar w:fldCharType="separate"/>
      </w:r>
      <w:r w:rsidRPr="00F148DD">
        <w:rPr>
          <w:noProof/>
        </w:rPr>
        <w:t>38</w:t>
      </w:r>
      <w:r w:rsidRPr="00F148DD">
        <w:rPr>
          <w:noProof/>
        </w:rPr>
        <w:fldChar w:fldCharType="end"/>
      </w:r>
    </w:p>
    <w:p w14:paraId="4693B962" w14:textId="3C7ADC03" w:rsidR="001B3FB7" w:rsidRPr="00F148DD" w:rsidRDefault="001B3FB7">
      <w:pPr>
        <w:pStyle w:val="TableofFigures"/>
        <w:tabs>
          <w:tab w:val="right" w:leader="dot" w:pos="9350"/>
        </w:tabs>
        <w:rPr>
          <w:noProof/>
          <w:lang w:val="en-GB"/>
        </w:rPr>
      </w:pPr>
      <w:r w:rsidRPr="00F148DD">
        <w:rPr>
          <w:noProof/>
        </w:rPr>
        <w:t>Figure 2.13.</w:t>
      </w:r>
      <w:r w:rsidRPr="00F148DD">
        <w:rPr>
          <w:rFonts w:cs="Times New Roman"/>
          <w:noProof/>
        </w:rPr>
        <w:t xml:space="preserve"> a) Synthetic route of HB-NH2; b) Schematic illustration of the synthesis of the self-healing nanocomposite (HBN-GO)</w:t>
      </w:r>
      <w:r w:rsidRPr="00F148DD">
        <w:rPr>
          <w:noProof/>
        </w:rPr>
        <w:tab/>
      </w:r>
      <w:r w:rsidRPr="00F148DD">
        <w:rPr>
          <w:noProof/>
        </w:rPr>
        <w:fldChar w:fldCharType="begin"/>
      </w:r>
      <w:r w:rsidRPr="00F148DD">
        <w:rPr>
          <w:noProof/>
        </w:rPr>
        <w:instrText xml:space="preserve"> PAGEREF _Toc518823390 \h </w:instrText>
      </w:r>
      <w:r w:rsidRPr="00F148DD">
        <w:rPr>
          <w:noProof/>
        </w:rPr>
      </w:r>
      <w:r w:rsidRPr="00F148DD">
        <w:rPr>
          <w:noProof/>
        </w:rPr>
        <w:fldChar w:fldCharType="separate"/>
      </w:r>
      <w:r w:rsidRPr="00F148DD">
        <w:rPr>
          <w:noProof/>
        </w:rPr>
        <w:t>40</w:t>
      </w:r>
      <w:r w:rsidRPr="00F148DD">
        <w:rPr>
          <w:noProof/>
        </w:rPr>
        <w:fldChar w:fldCharType="end"/>
      </w:r>
    </w:p>
    <w:p w14:paraId="2C3BBBAB" w14:textId="571E5C1E" w:rsidR="001B3FB7" w:rsidRPr="00F148DD" w:rsidRDefault="001B3FB7">
      <w:pPr>
        <w:pStyle w:val="TableofFigures"/>
        <w:tabs>
          <w:tab w:val="right" w:leader="dot" w:pos="9350"/>
        </w:tabs>
        <w:rPr>
          <w:noProof/>
          <w:lang w:val="en-GB"/>
        </w:rPr>
      </w:pPr>
      <w:r w:rsidRPr="00F148DD">
        <w:rPr>
          <w:noProof/>
        </w:rPr>
        <w:t xml:space="preserve">Figure 2.14. </w:t>
      </w:r>
      <w:r w:rsidRPr="00F148DD">
        <w:rPr>
          <w:rFonts w:cs="Times New Roman"/>
          <w:noProof/>
        </w:rPr>
        <w:t>Self-healing behaviour of HB-NH2 composites with GO at a) 1 wt%, b) 2 wt% and c) 4 wt% upon different healing time at room temperature; d) Strain-stress curves of HBN-2% GO composites of 10 min healing time after different waiting time.</w:t>
      </w:r>
      <w:r w:rsidRPr="00F148DD">
        <w:rPr>
          <w:noProof/>
        </w:rPr>
        <w:tab/>
      </w:r>
      <w:r w:rsidRPr="00F148DD">
        <w:rPr>
          <w:noProof/>
        </w:rPr>
        <w:fldChar w:fldCharType="begin"/>
      </w:r>
      <w:r w:rsidRPr="00F148DD">
        <w:rPr>
          <w:noProof/>
        </w:rPr>
        <w:instrText xml:space="preserve"> PAGEREF _Toc518823391 \h </w:instrText>
      </w:r>
      <w:r w:rsidRPr="00F148DD">
        <w:rPr>
          <w:noProof/>
        </w:rPr>
      </w:r>
      <w:r w:rsidRPr="00F148DD">
        <w:rPr>
          <w:noProof/>
        </w:rPr>
        <w:fldChar w:fldCharType="separate"/>
      </w:r>
      <w:r w:rsidRPr="00F148DD">
        <w:rPr>
          <w:noProof/>
        </w:rPr>
        <w:t>41</w:t>
      </w:r>
      <w:r w:rsidRPr="00F148DD">
        <w:rPr>
          <w:noProof/>
        </w:rPr>
        <w:fldChar w:fldCharType="end"/>
      </w:r>
    </w:p>
    <w:p w14:paraId="7276475A" w14:textId="77777777" w:rsidR="001B3FB7" w:rsidRPr="00F148DD" w:rsidRDefault="001733A4" w:rsidP="001733A4">
      <w:pPr>
        <w:pStyle w:val="NoSpacing"/>
        <w:rPr>
          <w:rFonts w:asciiTheme="minorHAnsi" w:eastAsiaTheme="minorEastAsia" w:hAnsiTheme="minorHAnsi"/>
          <w:b w:val="0"/>
          <w:noProof/>
          <w:sz w:val="22"/>
        </w:rPr>
      </w:pPr>
      <w:r w:rsidRPr="00F148DD">
        <w:rPr>
          <w:rFonts w:asciiTheme="minorHAnsi" w:eastAsiaTheme="minorEastAsia" w:hAnsiTheme="minorHAnsi"/>
          <w:b w:val="0"/>
          <w:sz w:val="22"/>
        </w:rPr>
        <w:fldChar w:fldCharType="end"/>
      </w:r>
      <w:r w:rsidRPr="00F148DD">
        <w:rPr>
          <w:rFonts w:asciiTheme="minorHAnsi" w:eastAsiaTheme="minorEastAsia" w:hAnsiTheme="minorHAnsi" w:cs="Times New Roman"/>
          <w:b w:val="0"/>
          <w:sz w:val="22"/>
          <w:szCs w:val="24"/>
        </w:rPr>
        <w:fldChar w:fldCharType="begin"/>
      </w:r>
      <w:r w:rsidRPr="00F148DD">
        <w:rPr>
          <w:rFonts w:asciiTheme="minorHAnsi" w:eastAsiaTheme="minorEastAsia" w:hAnsiTheme="minorHAnsi" w:cs="Times New Roman"/>
          <w:b w:val="0"/>
          <w:sz w:val="22"/>
          <w:szCs w:val="24"/>
        </w:rPr>
        <w:instrText xml:space="preserve"> TOC \c "Figure 3." </w:instrText>
      </w:r>
      <w:r w:rsidRPr="00F148DD">
        <w:rPr>
          <w:rFonts w:asciiTheme="minorHAnsi" w:eastAsiaTheme="minorEastAsia" w:hAnsiTheme="minorHAnsi" w:cs="Times New Roman"/>
          <w:b w:val="0"/>
          <w:sz w:val="22"/>
          <w:szCs w:val="24"/>
        </w:rPr>
        <w:fldChar w:fldCharType="separate"/>
      </w:r>
    </w:p>
    <w:p w14:paraId="3855C7D6" w14:textId="165FFCAA" w:rsidR="001B3FB7" w:rsidRPr="00F148DD" w:rsidRDefault="001B3FB7">
      <w:pPr>
        <w:pStyle w:val="TableofFigures"/>
        <w:tabs>
          <w:tab w:val="right" w:leader="dot" w:pos="9350"/>
        </w:tabs>
        <w:rPr>
          <w:noProof/>
          <w:lang w:val="en-GB"/>
        </w:rPr>
      </w:pPr>
      <w:r w:rsidRPr="00F148DD">
        <w:rPr>
          <w:noProof/>
        </w:rPr>
        <w:t>Figure 3.1.</w:t>
      </w:r>
      <w:r w:rsidRPr="00F148DD">
        <w:rPr>
          <w:rFonts w:cs="Times New Roman"/>
          <w:bCs/>
          <w:noProof/>
          <w:lang w:val="en-GB"/>
        </w:rPr>
        <w:t xml:space="preserve"> (a, b) AFM image of GO in water and (c) FTIR spectrum of GO.</w:t>
      </w:r>
      <w:r w:rsidRPr="00F148DD">
        <w:rPr>
          <w:noProof/>
        </w:rPr>
        <w:tab/>
      </w:r>
      <w:r w:rsidRPr="00F148DD">
        <w:rPr>
          <w:noProof/>
        </w:rPr>
        <w:fldChar w:fldCharType="begin"/>
      </w:r>
      <w:r w:rsidRPr="00F148DD">
        <w:rPr>
          <w:noProof/>
        </w:rPr>
        <w:instrText xml:space="preserve"> PAGEREF _Toc518823392 \h </w:instrText>
      </w:r>
      <w:r w:rsidRPr="00F148DD">
        <w:rPr>
          <w:noProof/>
        </w:rPr>
      </w:r>
      <w:r w:rsidRPr="00F148DD">
        <w:rPr>
          <w:noProof/>
        </w:rPr>
        <w:fldChar w:fldCharType="separate"/>
      </w:r>
      <w:r w:rsidRPr="00F148DD">
        <w:rPr>
          <w:noProof/>
        </w:rPr>
        <w:t>49</w:t>
      </w:r>
      <w:r w:rsidRPr="00F148DD">
        <w:rPr>
          <w:noProof/>
        </w:rPr>
        <w:fldChar w:fldCharType="end"/>
      </w:r>
    </w:p>
    <w:p w14:paraId="4DE03887" w14:textId="682DBAF5" w:rsidR="001B3FB7" w:rsidRPr="00F148DD" w:rsidRDefault="001B3FB7">
      <w:pPr>
        <w:pStyle w:val="TableofFigures"/>
        <w:tabs>
          <w:tab w:val="right" w:leader="dot" w:pos="9350"/>
        </w:tabs>
        <w:rPr>
          <w:noProof/>
          <w:lang w:val="en-GB"/>
        </w:rPr>
      </w:pPr>
      <w:r w:rsidRPr="00F148DD">
        <w:rPr>
          <w:noProof/>
        </w:rPr>
        <w:t xml:space="preserve">Figure 3.2. </w:t>
      </w:r>
      <w:r w:rsidRPr="00F148DD">
        <w:rPr>
          <w:rFonts w:cs="Times New Roman"/>
          <w:bCs/>
          <w:noProof/>
          <w:lang w:val="en-GB"/>
        </w:rPr>
        <w:t>FTIR spectrum of (a) neat UPR non-post cured and post cured; (b) UPR, UPR-THF, and 0.1 wt.% UPR/GO composite.</w:t>
      </w:r>
      <w:r w:rsidRPr="00F148DD">
        <w:rPr>
          <w:noProof/>
        </w:rPr>
        <w:tab/>
      </w:r>
      <w:r w:rsidRPr="00F148DD">
        <w:rPr>
          <w:noProof/>
        </w:rPr>
        <w:fldChar w:fldCharType="begin"/>
      </w:r>
      <w:r w:rsidRPr="00F148DD">
        <w:rPr>
          <w:noProof/>
        </w:rPr>
        <w:instrText xml:space="preserve"> PAGEREF _Toc518823393 \h </w:instrText>
      </w:r>
      <w:r w:rsidRPr="00F148DD">
        <w:rPr>
          <w:noProof/>
        </w:rPr>
      </w:r>
      <w:r w:rsidRPr="00F148DD">
        <w:rPr>
          <w:noProof/>
        </w:rPr>
        <w:fldChar w:fldCharType="separate"/>
      </w:r>
      <w:r w:rsidRPr="00F148DD">
        <w:rPr>
          <w:noProof/>
        </w:rPr>
        <w:t>52</w:t>
      </w:r>
      <w:r w:rsidRPr="00F148DD">
        <w:rPr>
          <w:noProof/>
        </w:rPr>
        <w:fldChar w:fldCharType="end"/>
      </w:r>
    </w:p>
    <w:p w14:paraId="2DE58071" w14:textId="6AE5B548" w:rsidR="001B3FB7" w:rsidRPr="00F148DD" w:rsidRDefault="001B3FB7">
      <w:pPr>
        <w:pStyle w:val="TableofFigures"/>
        <w:tabs>
          <w:tab w:val="right" w:leader="dot" w:pos="9350"/>
        </w:tabs>
        <w:rPr>
          <w:noProof/>
          <w:lang w:val="en-GB"/>
        </w:rPr>
      </w:pPr>
      <w:r w:rsidRPr="00F148DD">
        <w:rPr>
          <w:noProof/>
        </w:rPr>
        <w:t xml:space="preserve">Figure 3.3. </w:t>
      </w:r>
      <w:r w:rsidRPr="00F148DD">
        <w:rPr>
          <w:rFonts w:cs="Times New Roman"/>
          <w:bCs/>
          <w:noProof/>
          <w:lang w:val="en-GB"/>
        </w:rPr>
        <w:t>SEM images of (a) neat UPR, (b) 0.01 wt.% UPR/GO, (c, d) 0.05 wt.% UPR/GO, and (e, f) 0.1 wt.% UPR/GO.</w:t>
      </w:r>
      <w:r w:rsidRPr="00F148DD">
        <w:rPr>
          <w:noProof/>
        </w:rPr>
        <w:tab/>
      </w:r>
      <w:r w:rsidRPr="00F148DD">
        <w:rPr>
          <w:noProof/>
        </w:rPr>
        <w:fldChar w:fldCharType="begin"/>
      </w:r>
      <w:r w:rsidRPr="00F148DD">
        <w:rPr>
          <w:noProof/>
        </w:rPr>
        <w:instrText xml:space="preserve"> PAGEREF _Toc518823394 \h </w:instrText>
      </w:r>
      <w:r w:rsidRPr="00F148DD">
        <w:rPr>
          <w:noProof/>
        </w:rPr>
      </w:r>
      <w:r w:rsidRPr="00F148DD">
        <w:rPr>
          <w:noProof/>
        </w:rPr>
        <w:fldChar w:fldCharType="separate"/>
      </w:r>
      <w:r w:rsidRPr="00F148DD">
        <w:rPr>
          <w:noProof/>
        </w:rPr>
        <w:t>54</w:t>
      </w:r>
      <w:r w:rsidRPr="00F148DD">
        <w:rPr>
          <w:noProof/>
        </w:rPr>
        <w:fldChar w:fldCharType="end"/>
      </w:r>
    </w:p>
    <w:p w14:paraId="75F8CB97" w14:textId="2253AC85" w:rsidR="00D973A8" w:rsidRPr="00F148DD" w:rsidRDefault="001733A4" w:rsidP="001733A4">
      <w:pPr>
        <w:pStyle w:val="NoSpacing"/>
        <w:rPr>
          <w:rFonts w:asciiTheme="minorHAnsi" w:eastAsiaTheme="minorEastAsia" w:hAnsiTheme="minorHAnsi" w:cs="Times New Roman"/>
          <w:b w:val="0"/>
          <w:sz w:val="22"/>
          <w:szCs w:val="24"/>
        </w:rPr>
      </w:pPr>
      <w:r w:rsidRPr="00F148DD">
        <w:rPr>
          <w:rFonts w:asciiTheme="minorHAnsi" w:eastAsiaTheme="minorEastAsia" w:hAnsiTheme="minorHAnsi" w:cs="Times New Roman"/>
          <w:b w:val="0"/>
          <w:sz w:val="22"/>
          <w:szCs w:val="24"/>
        </w:rPr>
        <w:fldChar w:fldCharType="end"/>
      </w:r>
    </w:p>
    <w:p w14:paraId="688DAB37" w14:textId="06880E4C" w:rsidR="001733A4" w:rsidRPr="00F148DD" w:rsidRDefault="001733A4" w:rsidP="001733A4">
      <w:pPr>
        <w:pStyle w:val="TableofFigures"/>
        <w:tabs>
          <w:tab w:val="right" w:leader="dot" w:pos="9350"/>
        </w:tabs>
        <w:spacing w:line="360" w:lineRule="auto"/>
        <w:jc w:val="both"/>
        <w:rPr>
          <w:rFonts w:cs="Times New Roman"/>
          <w:noProof/>
          <w:szCs w:val="24"/>
          <w:lang w:val="en-GB"/>
        </w:rPr>
      </w:pPr>
      <w:r w:rsidRPr="00F148DD">
        <w:fldChar w:fldCharType="begin"/>
      </w:r>
      <w:r w:rsidRPr="00F148DD">
        <w:instrText xml:space="preserve"> TOC \h \z \c "Figure 4." </w:instrText>
      </w:r>
      <w:r w:rsidRPr="00F148DD">
        <w:fldChar w:fldCharType="separate"/>
      </w:r>
      <w:hyperlink w:anchor="_Toc502662467" w:history="1">
        <w:r w:rsidRPr="00F148DD">
          <w:rPr>
            <w:rStyle w:val="Hyperlink"/>
            <w:rFonts w:cs="Times New Roman"/>
            <w:noProof/>
            <w:szCs w:val="24"/>
          </w:rPr>
          <w:t>Figure 4. 1. XPS spectra of graphite, graphene oxide (GO), and reduced graphene oxide (rGO): (a) survey spectra and (b) C 1s of XPS spectra.</w:t>
        </w:r>
        <w:r w:rsidRPr="00F148DD">
          <w:rPr>
            <w:rFonts w:cs="Times New Roman"/>
            <w:noProof/>
            <w:webHidden/>
            <w:szCs w:val="24"/>
          </w:rPr>
          <w:tab/>
        </w:r>
        <w:r w:rsidRPr="00F148DD">
          <w:rPr>
            <w:rFonts w:cs="Times New Roman"/>
            <w:noProof/>
            <w:webHidden/>
            <w:szCs w:val="24"/>
          </w:rPr>
          <w:fldChar w:fldCharType="begin"/>
        </w:r>
        <w:r w:rsidRPr="00F148DD">
          <w:rPr>
            <w:rFonts w:cs="Times New Roman"/>
            <w:noProof/>
            <w:webHidden/>
            <w:szCs w:val="24"/>
          </w:rPr>
          <w:instrText xml:space="preserve"> PAGEREF _Toc502662467 \h </w:instrText>
        </w:r>
        <w:r w:rsidRPr="00F148DD">
          <w:rPr>
            <w:rFonts w:cs="Times New Roman"/>
            <w:noProof/>
            <w:webHidden/>
            <w:szCs w:val="24"/>
          </w:rPr>
        </w:r>
        <w:r w:rsidRPr="00F148DD">
          <w:rPr>
            <w:rFonts w:cs="Times New Roman"/>
            <w:noProof/>
            <w:webHidden/>
            <w:szCs w:val="24"/>
          </w:rPr>
          <w:fldChar w:fldCharType="separate"/>
        </w:r>
        <w:r w:rsidR="00551ED9" w:rsidRPr="00F148DD">
          <w:rPr>
            <w:rFonts w:cs="Times New Roman"/>
            <w:noProof/>
            <w:webHidden/>
            <w:szCs w:val="24"/>
          </w:rPr>
          <w:t>84</w:t>
        </w:r>
        <w:r w:rsidRPr="00F148DD">
          <w:rPr>
            <w:rFonts w:cs="Times New Roman"/>
            <w:noProof/>
            <w:webHidden/>
            <w:szCs w:val="24"/>
          </w:rPr>
          <w:fldChar w:fldCharType="end"/>
        </w:r>
      </w:hyperlink>
    </w:p>
    <w:p w14:paraId="1DEE48BB" w14:textId="0A5B0291"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68" w:history="1">
        <w:r w:rsidR="001733A4" w:rsidRPr="00F148DD">
          <w:rPr>
            <w:rStyle w:val="Hyperlink"/>
            <w:rFonts w:cs="Times New Roman"/>
            <w:noProof/>
            <w:szCs w:val="24"/>
          </w:rPr>
          <w:t>Figure 4. 2. FITR spectra of graphite, graphene oxide (GO), and reduced graphene oxide (rGO).</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_Toc502662468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85</w:t>
        </w:r>
        <w:r w:rsidR="001733A4" w:rsidRPr="00F148DD">
          <w:rPr>
            <w:rFonts w:cs="Times New Roman"/>
            <w:noProof/>
            <w:webHidden/>
            <w:szCs w:val="24"/>
          </w:rPr>
          <w:fldChar w:fldCharType="end"/>
        </w:r>
      </w:hyperlink>
    </w:p>
    <w:p w14:paraId="5968E90D" w14:textId="62197A60"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69" w:history="1">
        <w:r w:rsidR="001733A4" w:rsidRPr="00F148DD">
          <w:rPr>
            <w:rStyle w:val="Hyperlink"/>
            <w:rFonts w:cs="Times New Roman"/>
            <w:noProof/>
            <w:szCs w:val="24"/>
          </w:rPr>
          <w:t>Figure 4. 3. TGA of graphene oxide (GO), and reduced graphene oxide (rGO) and vitamin C.</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_Toc502662469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86</w:t>
        </w:r>
        <w:r w:rsidR="001733A4" w:rsidRPr="00F148DD">
          <w:rPr>
            <w:rFonts w:cs="Times New Roman"/>
            <w:noProof/>
            <w:webHidden/>
            <w:szCs w:val="24"/>
          </w:rPr>
          <w:fldChar w:fldCharType="end"/>
        </w:r>
      </w:hyperlink>
    </w:p>
    <w:p w14:paraId="28C17DA0" w14:textId="5A7ACEFA"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0" w:history="1">
        <w:r w:rsidR="001733A4" w:rsidRPr="00F148DD">
          <w:rPr>
            <w:rStyle w:val="Hyperlink"/>
            <w:rFonts w:cs="Times New Roman"/>
            <w:noProof/>
            <w:szCs w:val="24"/>
          </w:rPr>
          <w:t>Figure 4. 4. FTIR spectra of UPR, UPR-THF, UPR/rGO (1.0 wt.%), and rGO.</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_Toc502662470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87</w:t>
        </w:r>
        <w:r w:rsidR="001733A4" w:rsidRPr="00F148DD">
          <w:rPr>
            <w:rFonts w:cs="Times New Roman"/>
            <w:noProof/>
            <w:webHidden/>
            <w:szCs w:val="24"/>
          </w:rPr>
          <w:fldChar w:fldCharType="end"/>
        </w:r>
      </w:hyperlink>
    </w:p>
    <w:p w14:paraId="21FD3E2A" w14:textId="5EC88549"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1" w:history="1">
        <w:r w:rsidR="001733A4" w:rsidRPr="00F148DD">
          <w:rPr>
            <w:rStyle w:val="Hyperlink"/>
            <w:rFonts w:cs="Times New Roman"/>
            <w:noProof/>
            <w:szCs w:val="24"/>
          </w:rPr>
          <w:t>Figure 4. 5. Electrical conductivity of UPR/rGO composites.</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_Toc502662471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89</w:t>
        </w:r>
        <w:r w:rsidR="001733A4" w:rsidRPr="00F148DD">
          <w:rPr>
            <w:rFonts w:cs="Times New Roman"/>
            <w:noProof/>
            <w:webHidden/>
            <w:szCs w:val="24"/>
          </w:rPr>
          <w:fldChar w:fldCharType="end"/>
        </w:r>
      </w:hyperlink>
    </w:p>
    <w:p w14:paraId="0B469F56" w14:textId="2B22ECAF"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2" w:history="1">
        <w:r w:rsidR="001733A4" w:rsidRPr="00F148DD">
          <w:rPr>
            <w:rStyle w:val="Hyperlink"/>
            <w:rFonts w:cs="Times New Roman"/>
            <w:noProof/>
            <w:szCs w:val="24"/>
          </w:rPr>
          <w:t>Figure 4. 6. Thermal conductivity of UPR and UPR/rGO composites at elevated temperatures.</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_Toc502662472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91</w:t>
        </w:r>
        <w:r w:rsidR="001733A4" w:rsidRPr="00F148DD">
          <w:rPr>
            <w:rFonts w:cs="Times New Roman"/>
            <w:noProof/>
            <w:webHidden/>
            <w:szCs w:val="24"/>
          </w:rPr>
          <w:fldChar w:fldCharType="end"/>
        </w:r>
      </w:hyperlink>
    </w:p>
    <w:p w14:paraId="2F5B640F" w14:textId="0478325D"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3" w:history="1">
        <w:r w:rsidR="00F148DD" w:rsidRPr="00F148DD">
          <w:rPr>
            <w:rStyle w:val="Hyperlink"/>
            <w:rFonts w:cs="Times New Roman"/>
            <w:noProof/>
            <w:szCs w:val="24"/>
          </w:rPr>
          <w:t>Figure 4.</w:t>
        </w:r>
        <w:r w:rsidR="001733A4" w:rsidRPr="00F148DD">
          <w:rPr>
            <w:rStyle w:val="Hyperlink"/>
            <w:rFonts w:cs="Times New Roman"/>
            <w:noProof/>
            <w:szCs w:val="24"/>
          </w:rPr>
          <w:t>7. Tensile properties of UPR and UPR/rGO composites: (a) stress-strain curves, (b) Young’s modulus, (c) tensile strength, (d) elongation at break, and (e) energy at break.</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_Toc502662473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95</w:t>
        </w:r>
        <w:r w:rsidR="001733A4" w:rsidRPr="00F148DD">
          <w:rPr>
            <w:rFonts w:cs="Times New Roman"/>
            <w:noProof/>
            <w:webHidden/>
            <w:szCs w:val="24"/>
          </w:rPr>
          <w:fldChar w:fldCharType="end"/>
        </w:r>
      </w:hyperlink>
    </w:p>
    <w:p w14:paraId="601A67AB" w14:textId="702D9F1F"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4" w:history="1">
        <w:r w:rsidR="001733A4" w:rsidRPr="00F148DD">
          <w:rPr>
            <w:rStyle w:val="Hyperlink"/>
            <w:rFonts w:cs="Times New Roman"/>
            <w:noProof/>
            <w:szCs w:val="24"/>
          </w:rPr>
          <w:t>Figure 4. 8. Compressive properties of UPR and UPR/rGO composites: (a) stress-strain curves, (b) Young’s modulus, (c) compressive strength, (d) compressive strain at break, (e) energy at break, (e) yield strength and (f) yield strain.</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_Toc502662474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98</w:t>
        </w:r>
        <w:r w:rsidR="001733A4" w:rsidRPr="00F148DD">
          <w:rPr>
            <w:rFonts w:cs="Times New Roman"/>
            <w:noProof/>
            <w:webHidden/>
            <w:szCs w:val="24"/>
          </w:rPr>
          <w:fldChar w:fldCharType="end"/>
        </w:r>
      </w:hyperlink>
    </w:p>
    <w:p w14:paraId="7007EB40" w14:textId="6EB6B787"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5" w:history="1">
        <w:r w:rsidR="001733A4" w:rsidRPr="00F148DD">
          <w:rPr>
            <w:rStyle w:val="Hyperlink"/>
            <w:rFonts w:cs="Times New Roman"/>
            <w:noProof/>
            <w:szCs w:val="24"/>
          </w:rPr>
          <w:t>Figure 4. 9. Dynamic mechanical properties of UPR/rGO composites: (a) storage modulus, (b) loss modulus, and (c) tan δ.</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_Toc502662475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102</w:t>
        </w:r>
        <w:r w:rsidR="001733A4" w:rsidRPr="00F148DD">
          <w:rPr>
            <w:rFonts w:cs="Times New Roman"/>
            <w:noProof/>
            <w:webHidden/>
            <w:szCs w:val="24"/>
          </w:rPr>
          <w:fldChar w:fldCharType="end"/>
        </w:r>
      </w:hyperlink>
    </w:p>
    <w:p w14:paraId="7AD8F82C" w14:textId="40560264"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6" w:history="1">
        <w:r w:rsidR="001733A4" w:rsidRPr="00F148DD">
          <w:rPr>
            <w:rStyle w:val="Hyperlink"/>
            <w:rFonts w:cs="Times New Roman"/>
            <w:noProof/>
            <w:szCs w:val="24"/>
          </w:rPr>
          <w:t>Figure 4. 10. Thermal properties of UPR and UPR/rGO composites: (a) TGA and (b) DTG.</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_Toc502662476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104</w:t>
        </w:r>
        <w:r w:rsidR="001733A4" w:rsidRPr="00F148DD">
          <w:rPr>
            <w:rFonts w:cs="Times New Roman"/>
            <w:noProof/>
            <w:webHidden/>
            <w:szCs w:val="24"/>
          </w:rPr>
          <w:fldChar w:fldCharType="end"/>
        </w:r>
      </w:hyperlink>
    </w:p>
    <w:p w14:paraId="70B5AEFC" w14:textId="1585A3D9"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7" w:history="1">
        <w:r w:rsidR="001733A4" w:rsidRPr="00F148DD">
          <w:rPr>
            <w:rStyle w:val="Hyperlink"/>
            <w:rFonts w:cs="Times New Roman"/>
            <w:noProof/>
            <w:szCs w:val="24"/>
          </w:rPr>
          <w:t>Figure 4. 11. SEM images of the fracture surfaces of UPR and UPR/rGO composites: (a) neat UPR, (b) 0.05 wt.%, (c) 0.1.0 wt.%, (d) 0.3 %, (e) 0.5 wt.%, and (f) 1</w:t>
        </w:r>
        <w:r w:rsidR="001733A4" w:rsidRPr="00F148DD">
          <w:rPr>
            <w:rStyle w:val="Hyperlink"/>
            <w:rFonts w:cs="Times New Roman"/>
            <w:noProof/>
            <w:szCs w:val="24"/>
            <w:lang w:val="en-GB"/>
          </w:rPr>
          <w:t>.0</w:t>
        </w:r>
        <w:r w:rsidR="001733A4" w:rsidRPr="00F148DD">
          <w:rPr>
            <w:rStyle w:val="Hyperlink"/>
            <w:rFonts w:cs="Times New Roman"/>
            <w:noProof/>
            <w:szCs w:val="24"/>
          </w:rPr>
          <w:t xml:space="preserve"> wt.%.</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_Toc502662477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106</w:t>
        </w:r>
        <w:r w:rsidR="001733A4" w:rsidRPr="00F148DD">
          <w:rPr>
            <w:rFonts w:cs="Times New Roman"/>
            <w:noProof/>
            <w:webHidden/>
            <w:szCs w:val="24"/>
          </w:rPr>
          <w:fldChar w:fldCharType="end"/>
        </w:r>
      </w:hyperlink>
    </w:p>
    <w:p w14:paraId="0506F542" w14:textId="61588A7C" w:rsidR="001733A4" w:rsidRPr="00F148DD" w:rsidRDefault="00B72F48" w:rsidP="001733A4">
      <w:pPr>
        <w:pStyle w:val="TableofFigures"/>
        <w:tabs>
          <w:tab w:val="right" w:leader="dot" w:pos="9350"/>
        </w:tabs>
        <w:spacing w:line="360" w:lineRule="auto"/>
        <w:jc w:val="both"/>
        <w:rPr>
          <w:rFonts w:cs="Times New Roman"/>
          <w:noProof/>
          <w:szCs w:val="24"/>
          <w:lang w:val="en-GB"/>
        </w:rPr>
      </w:pPr>
      <w:hyperlink w:anchor="_Toc502662478" w:history="1">
        <w:r w:rsidR="001733A4" w:rsidRPr="00F148DD">
          <w:rPr>
            <w:rStyle w:val="Hyperlink"/>
            <w:rFonts w:cs="Times New Roman"/>
            <w:noProof/>
            <w:szCs w:val="24"/>
          </w:rPr>
          <w:t>Figure 4. 12. SEM images of UPR/rGO composites at high magnification (×8000): (a) 0.05 wt.% and (b) 1.0 wt.%.</w:t>
        </w:r>
        <w:r w:rsidR="001733A4" w:rsidRPr="00F148DD">
          <w:rPr>
            <w:rFonts w:cs="Times New Roman"/>
            <w:noProof/>
            <w:webHidden/>
            <w:szCs w:val="24"/>
          </w:rPr>
          <w:tab/>
        </w:r>
        <w:r w:rsidR="001733A4" w:rsidRPr="00F148DD">
          <w:rPr>
            <w:rFonts w:cs="Times New Roman"/>
            <w:noProof/>
            <w:webHidden/>
            <w:szCs w:val="24"/>
          </w:rPr>
          <w:fldChar w:fldCharType="begin"/>
        </w:r>
        <w:r w:rsidR="001733A4" w:rsidRPr="00F148DD">
          <w:rPr>
            <w:rFonts w:cs="Times New Roman"/>
            <w:noProof/>
            <w:webHidden/>
            <w:szCs w:val="24"/>
          </w:rPr>
          <w:instrText xml:space="preserve"> PAGEREF _Toc502662478 \h </w:instrText>
        </w:r>
        <w:r w:rsidR="001733A4" w:rsidRPr="00F148DD">
          <w:rPr>
            <w:rFonts w:cs="Times New Roman"/>
            <w:noProof/>
            <w:webHidden/>
            <w:szCs w:val="24"/>
          </w:rPr>
        </w:r>
        <w:r w:rsidR="001733A4" w:rsidRPr="00F148DD">
          <w:rPr>
            <w:rFonts w:cs="Times New Roman"/>
            <w:noProof/>
            <w:webHidden/>
            <w:szCs w:val="24"/>
          </w:rPr>
          <w:fldChar w:fldCharType="separate"/>
        </w:r>
        <w:r w:rsidR="00551ED9" w:rsidRPr="00F148DD">
          <w:rPr>
            <w:rFonts w:cs="Times New Roman"/>
            <w:noProof/>
            <w:webHidden/>
            <w:szCs w:val="24"/>
          </w:rPr>
          <w:t>107</w:t>
        </w:r>
        <w:r w:rsidR="001733A4" w:rsidRPr="00F148DD">
          <w:rPr>
            <w:rFonts w:cs="Times New Roman"/>
            <w:noProof/>
            <w:webHidden/>
            <w:szCs w:val="24"/>
          </w:rPr>
          <w:fldChar w:fldCharType="end"/>
        </w:r>
      </w:hyperlink>
    </w:p>
    <w:p w14:paraId="6791DBEB" w14:textId="77777777" w:rsidR="00F148DD" w:rsidRPr="00F148DD" w:rsidRDefault="001733A4" w:rsidP="00736803">
      <w:pPr>
        <w:pStyle w:val="NoSpacing"/>
        <w:spacing w:line="480" w:lineRule="auto"/>
        <w:contextualSpacing/>
        <w:rPr>
          <w:rFonts w:asciiTheme="minorHAnsi" w:eastAsiaTheme="minorEastAsia" w:hAnsiTheme="minorHAnsi"/>
          <w:b w:val="0"/>
          <w:noProof/>
          <w:sz w:val="22"/>
        </w:rPr>
      </w:pPr>
      <w:r w:rsidRPr="00F148DD">
        <w:rPr>
          <w:rFonts w:asciiTheme="minorHAnsi" w:eastAsiaTheme="minorEastAsia" w:hAnsiTheme="minorHAnsi"/>
          <w:b w:val="0"/>
          <w:sz w:val="22"/>
        </w:rPr>
        <w:fldChar w:fldCharType="end"/>
      </w:r>
      <w:r w:rsidR="00EB703A" w:rsidRPr="00F148DD">
        <w:rPr>
          <w:rFonts w:asciiTheme="minorHAnsi" w:eastAsiaTheme="minorEastAsia" w:hAnsiTheme="minorHAnsi"/>
          <w:b w:val="0"/>
          <w:sz w:val="22"/>
        </w:rPr>
        <w:fldChar w:fldCharType="begin"/>
      </w:r>
      <w:r w:rsidR="00EB703A" w:rsidRPr="00F148DD">
        <w:rPr>
          <w:rFonts w:asciiTheme="minorHAnsi" w:eastAsiaTheme="minorEastAsia" w:hAnsiTheme="minorHAnsi"/>
          <w:b w:val="0"/>
          <w:sz w:val="22"/>
        </w:rPr>
        <w:instrText xml:space="preserve"> TOC \c "Figure 5." </w:instrText>
      </w:r>
      <w:r w:rsidR="00EB703A" w:rsidRPr="00F148DD">
        <w:rPr>
          <w:rFonts w:asciiTheme="minorHAnsi" w:eastAsiaTheme="minorEastAsia" w:hAnsiTheme="minorHAnsi"/>
          <w:b w:val="0"/>
          <w:sz w:val="22"/>
        </w:rPr>
        <w:fldChar w:fldCharType="separate"/>
      </w:r>
    </w:p>
    <w:p w14:paraId="61AEA54E" w14:textId="6AEB598E" w:rsidR="00F148DD" w:rsidRPr="00F148DD" w:rsidRDefault="00F148DD">
      <w:pPr>
        <w:pStyle w:val="TableofFigures"/>
        <w:tabs>
          <w:tab w:val="right" w:leader="dot" w:pos="9350"/>
        </w:tabs>
        <w:rPr>
          <w:noProof/>
          <w:lang w:val="en-GB"/>
        </w:rPr>
      </w:pPr>
      <w:r w:rsidRPr="00F148DD">
        <w:rPr>
          <w:noProof/>
        </w:rPr>
        <w:t>Figure 5.1</w:t>
      </w:r>
      <w:r w:rsidRPr="00F148DD">
        <w:rPr>
          <w:rFonts w:cs="Times New Roman"/>
          <w:noProof/>
        </w:rPr>
        <w:t>. The evolution of FTIR spectrum of GO reduced by vitamin C at 40 °C over 4 days.</w:t>
      </w:r>
      <w:r w:rsidRPr="00F148DD">
        <w:rPr>
          <w:noProof/>
        </w:rPr>
        <w:tab/>
      </w:r>
      <w:r w:rsidRPr="00F148DD">
        <w:rPr>
          <w:noProof/>
        </w:rPr>
        <w:fldChar w:fldCharType="begin"/>
      </w:r>
      <w:r w:rsidRPr="00F148DD">
        <w:rPr>
          <w:noProof/>
        </w:rPr>
        <w:instrText xml:space="preserve"> PAGEREF _Toc518823438 \h </w:instrText>
      </w:r>
      <w:r w:rsidRPr="00F148DD">
        <w:rPr>
          <w:noProof/>
        </w:rPr>
      </w:r>
      <w:r w:rsidRPr="00F148DD">
        <w:rPr>
          <w:noProof/>
        </w:rPr>
        <w:fldChar w:fldCharType="separate"/>
      </w:r>
      <w:r w:rsidRPr="00F148DD">
        <w:rPr>
          <w:noProof/>
        </w:rPr>
        <w:t>111</w:t>
      </w:r>
      <w:r w:rsidRPr="00F148DD">
        <w:rPr>
          <w:noProof/>
        </w:rPr>
        <w:fldChar w:fldCharType="end"/>
      </w:r>
    </w:p>
    <w:p w14:paraId="04088080" w14:textId="3E05FA22" w:rsidR="00F148DD" w:rsidRPr="00F148DD" w:rsidRDefault="00F148DD">
      <w:pPr>
        <w:pStyle w:val="TableofFigures"/>
        <w:tabs>
          <w:tab w:val="right" w:leader="dot" w:pos="9350"/>
        </w:tabs>
        <w:rPr>
          <w:noProof/>
          <w:lang w:val="en-GB"/>
        </w:rPr>
      </w:pPr>
      <w:r w:rsidRPr="00F148DD">
        <w:rPr>
          <w:noProof/>
        </w:rPr>
        <w:t>Figure 5.2</w:t>
      </w:r>
      <w:r w:rsidRPr="00F148DD">
        <w:rPr>
          <w:rFonts w:cs="Times New Roman"/>
          <w:noProof/>
        </w:rPr>
        <w:t>. TGA of GO and rGO reduced by vitamin C at low temperature up to 4 days.</w:t>
      </w:r>
      <w:r w:rsidRPr="00F148DD">
        <w:rPr>
          <w:noProof/>
        </w:rPr>
        <w:tab/>
      </w:r>
      <w:r w:rsidRPr="00F148DD">
        <w:rPr>
          <w:noProof/>
        </w:rPr>
        <w:fldChar w:fldCharType="begin"/>
      </w:r>
      <w:r w:rsidRPr="00F148DD">
        <w:rPr>
          <w:noProof/>
        </w:rPr>
        <w:instrText xml:space="preserve"> PAGEREF _Toc518823439 \h </w:instrText>
      </w:r>
      <w:r w:rsidRPr="00F148DD">
        <w:rPr>
          <w:noProof/>
        </w:rPr>
      </w:r>
      <w:r w:rsidRPr="00F148DD">
        <w:rPr>
          <w:noProof/>
        </w:rPr>
        <w:fldChar w:fldCharType="separate"/>
      </w:r>
      <w:r w:rsidRPr="00F148DD">
        <w:rPr>
          <w:noProof/>
        </w:rPr>
        <w:t>112</w:t>
      </w:r>
      <w:r w:rsidRPr="00F148DD">
        <w:rPr>
          <w:noProof/>
        </w:rPr>
        <w:fldChar w:fldCharType="end"/>
      </w:r>
    </w:p>
    <w:p w14:paraId="553655D6" w14:textId="448EEBF0" w:rsidR="00F148DD" w:rsidRPr="00F148DD" w:rsidRDefault="00F148DD">
      <w:pPr>
        <w:pStyle w:val="TableofFigures"/>
        <w:tabs>
          <w:tab w:val="right" w:leader="dot" w:pos="9350"/>
        </w:tabs>
        <w:rPr>
          <w:noProof/>
          <w:lang w:val="en-GB"/>
        </w:rPr>
      </w:pPr>
      <w:r w:rsidRPr="00F148DD">
        <w:rPr>
          <w:noProof/>
        </w:rPr>
        <w:t>Figure 5.3</w:t>
      </w:r>
      <w:r w:rsidRPr="00F148DD">
        <w:rPr>
          <w:rFonts w:cs="Times New Roman"/>
          <w:noProof/>
        </w:rPr>
        <w:t>. FTIR spectra of GO, vitamin C, UPR, UPR (THF/DMF) and UPR/rGO1.32.</w:t>
      </w:r>
      <w:r w:rsidRPr="00F148DD">
        <w:rPr>
          <w:noProof/>
        </w:rPr>
        <w:tab/>
      </w:r>
      <w:r w:rsidRPr="00F148DD">
        <w:rPr>
          <w:noProof/>
        </w:rPr>
        <w:fldChar w:fldCharType="begin"/>
      </w:r>
      <w:r w:rsidRPr="00F148DD">
        <w:rPr>
          <w:noProof/>
        </w:rPr>
        <w:instrText xml:space="preserve"> PAGEREF _Toc518823440 \h </w:instrText>
      </w:r>
      <w:r w:rsidRPr="00F148DD">
        <w:rPr>
          <w:noProof/>
        </w:rPr>
      </w:r>
      <w:r w:rsidRPr="00F148DD">
        <w:rPr>
          <w:noProof/>
        </w:rPr>
        <w:fldChar w:fldCharType="separate"/>
      </w:r>
      <w:r w:rsidRPr="00F148DD">
        <w:rPr>
          <w:noProof/>
        </w:rPr>
        <w:t>113</w:t>
      </w:r>
      <w:r w:rsidRPr="00F148DD">
        <w:rPr>
          <w:noProof/>
        </w:rPr>
        <w:fldChar w:fldCharType="end"/>
      </w:r>
    </w:p>
    <w:p w14:paraId="2087DA72" w14:textId="7A80DE48" w:rsidR="00F148DD" w:rsidRPr="00F148DD" w:rsidRDefault="00F148DD">
      <w:pPr>
        <w:pStyle w:val="TableofFigures"/>
        <w:tabs>
          <w:tab w:val="right" w:leader="dot" w:pos="9350"/>
        </w:tabs>
        <w:rPr>
          <w:noProof/>
          <w:lang w:val="en-GB"/>
        </w:rPr>
      </w:pPr>
      <w:r w:rsidRPr="00F148DD">
        <w:rPr>
          <w:noProof/>
        </w:rPr>
        <w:t>Figure 5.4</w:t>
      </w:r>
      <w:r w:rsidRPr="00F148DD">
        <w:rPr>
          <w:rFonts w:cs="Times New Roman"/>
          <w:noProof/>
        </w:rPr>
        <w:t>. Thermal properties of UPR, UPR/GO, and UPR/rGO composites: (a) TGA and (b) DTG.</w:t>
      </w:r>
      <w:r w:rsidRPr="00F148DD">
        <w:rPr>
          <w:noProof/>
        </w:rPr>
        <w:tab/>
      </w:r>
      <w:r w:rsidRPr="00F148DD">
        <w:rPr>
          <w:noProof/>
        </w:rPr>
        <w:fldChar w:fldCharType="begin"/>
      </w:r>
      <w:r w:rsidRPr="00F148DD">
        <w:rPr>
          <w:noProof/>
        </w:rPr>
        <w:instrText xml:space="preserve"> PAGEREF _Toc518823441 \h </w:instrText>
      </w:r>
      <w:r w:rsidRPr="00F148DD">
        <w:rPr>
          <w:noProof/>
        </w:rPr>
      </w:r>
      <w:r w:rsidRPr="00F148DD">
        <w:rPr>
          <w:noProof/>
        </w:rPr>
        <w:fldChar w:fldCharType="separate"/>
      </w:r>
      <w:r w:rsidRPr="00F148DD">
        <w:rPr>
          <w:noProof/>
        </w:rPr>
        <w:t>116</w:t>
      </w:r>
      <w:r w:rsidRPr="00F148DD">
        <w:rPr>
          <w:noProof/>
        </w:rPr>
        <w:fldChar w:fldCharType="end"/>
      </w:r>
    </w:p>
    <w:p w14:paraId="16D409E1" w14:textId="379D388B" w:rsidR="00F148DD" w:rsidRPr="00F148DD" w:rsidRDefault="00F148DD">
      <w:pPr>
        <w:pStyle w:val="TableofFigures"/>
        <w:tabs>
          <w:tab w:val="right" w:leader="dot" w:pos="9350"/>
        </w:tabs>
        <w:rPr>
          <w:noProof/>
          <w:lang w:val="en-GB"/>
        </w:rPr>
      </w:pPr>
      <w:r w:rsidRPr="00F148DD">
        <w:rPr>
          <w:noProof/>
        </w:rPr>
        <w:t>Figure 5.5</w:t>
      </w:r>
      <w:r w:rsidRPr="00F148DD">
        <w:rPr>
          <w:rFonts w:cs="Times New Roman"/>
          <w:noProof/>
        </w:rPr>
        <w:t>. Electrical conductivity of UPR/rGO composites.</w:t>
      </w:r>
      <w:r w:rsidRPr="00F148DD">
        <w:rPr>
          <w:noProof/>
        </w:rPr>
        <w:tab/>
      </w:r>
      <w:r w:rsidRPr="00F148DD">
        <w:rPr>
          <w:noProof/>
        </w:rPr>
        <w:fldChar w:fldCharType="begin"/>
      </w:r>
      <w:r w:rsidRPr="00F148DD">
        <w:rPr>
          <w:noProof/>
        </w:rPr>
        <w:instrText xml:space="preserve"> PAGEREF _Toc518823442 \h </w:instrText>
      </w:r>
      <w:r w:rsidRPr="00F148DD">
        <w:rPr>
          <w:noProof/>
        </w:rPr>
      </w:r>
      <w:r w:rsidRPr="00F148DD">
        <w:rPr>
          <w:noProof/>
        </w:rPr>
        <w:fldChar w:fldCharType="separate"/>
      </w:r>
      <w:r w:rsidRPr="00F148DD">
        <w:rPr>
          <w:noProof/>
        </w:rPr>
        <w:t>117</w:t>
      </w:r>
      <w:r w:rsidRPr="00F148DD">
        <w:rPr>
          <w:noProof/>
        </w:rPr>
        <w:fldChar w:fldCharType="end"/>
      </w:r>
    </w:p>
    <w:p w14:paraId="5F8BB4A2" w14:textId="574240F4" w:rsidR="00F148DD" w:rsidRPr="00F148DD" w:rsidRDefault="00F148DD">
      <w:pPr>
        <w:pStyle w:val="TableofFigures"/>
        <w:tabs>
          <w:tab w:val="right" w:leader="dot" w:pos="9350"/>
        </w:tabs>
        <w:rPr>
          <w:noProof/>
          <w:lang w:val="en-GB"/>
        </w:rPr>
      </w:pPr>
      <w:r w:rsidRPr="00F148DD">
        <w:rPr>
          <w:noProof/>
        </w:rPr>
        <w:t>Figure 5.6</w:t>
      </w:r>
      <w:r w:rsidRPr="00F148DD">
        <w:rPr>
          <w:rFonts w:cs="Times New Roman"/>
          <w:noProof/>
        </w:rPr>
        <w:t>. The dynamic mechanical properties of UPR, UPR/GO, and UPR/rGO composites: (a) Storage modulus and (b) Loss modulus.</w:t>
      </w:r>
      <w:r w:rsidRPr="00F148DD">
        <w:rPr>
          <w:noProof/>
        </w:rPr>
        <w:tab/>
      </w:r>
      <w:r w:rsidRPr="00F148DD">
        <w:rPr>
          <w:noProof/>
        </w:rPr>
        <w:fldChar w:fldCharType="begin"/>
      </w:r>
      <w:r w:rsidRPr="00F148DD">
        <w:rPr>
          <w:noProof/>
        </w:rPr>
        <w:instrText xml:space="preserve"> PAGEREF _Toc518823443 \h </w:instrText>
      </w:r>
      <w:r w:rsidRPr="00F148DD">
        <w:rPr>
          <w:noProof/>
        </w:rPr>
      </w:r>
      <w:r w:rsidRPr="00F148DD">
        <w:rPr>
          <w:noProof/>
        </w:rPr>
        <w:fldChar w:fldCharType="separate"/>
      </w:r>
      <w:r w:rsidRPr="00F148DD">
        <w:rPr>
          <w:noProof/>
        </w:rPr>
        <w:t>121</w:t>
      </w:r>
      <w:r w:rsidRPr="00F148DD">
        <w:rPr>
          <w:noProof/>
        </w:rPr>
        <w:fldChar w:fldCharType="end"/>
      </w:r>
    </w:p>
    <w:p w14:paraId="0D9D9807" w14:textId="130D421B" w:rsidR="00F148DD" w:rsidRPr="00F148DD" w:rsidRDefault="00F148DD">
      <w:pPr>
        <w:pStyle w:val="TableofFigures"/>
        <w:tabs>
          <w:tab w:val="right" w:leader="dot" w:pos="9350"/>
        </w:tabs>
        <w:rPr>
          <w:noProof/>
          <w:lang w:val="en-GB"/>
        </w:rPr>
      </w:pPr>
      <w:r w:rsidRPr="00F148DD">
        <w:rPr>
          <w:noProof/>
        </w:rPr>
        <w:t>Figure 5.7</w:t>
      </w:r>
      <w:r w:rsidRPr="00F148DD">
        <w:rPr>
          <w:rFonts w:cs="Times New Roman"/>
          <w:noProof/>
        </w:rPr>
        <w:t>. SEM images of the fracture surfaces of (a, b) UPR/rGO1.32, (c) UPR/rGO1.32 (DMF), (d) UPR/GO0.96, (e) UPR, and (f) UPR(THF/DMF)</w:t>
      </w:r>
      <w:r w:rsidRPr="00F148DD">
        <w:rPr>
          <w:noProof/>
        </w:rPr>
        <w:tab/>
      </w:r>
      <w:r w:rsidRPr="00F148DD">
        <w:rPr>
          <w:noProof/>
        </w:rPr>
        <w:fldChar w:fldCharType="begin"/>
      </w:r>
      <w:r w:rsidRPr="00F148DD">
        <w:rPr>
          <w:noProof/>
        </w:rPr>
        <w:instrText xml:space="preserve"> PAGEREF _Toc518823444 \h </w:instrText>
      </w:r>
      <w:r w:rsidRPr="00F148DD">
        <w:rPr>
          <w:noProof/>
        </w:rPr>
      </w:r>
      <w:r w:rsidRPr="00F148DD">
        <w:rPr>
          <w:noProof/>
        </w:rPr>
        <w:fldChar w:fldCharType="separate"/>
      </w:r>
      <w:r w:rsidRPr="00F148DD">
        <w:rPr>
          <w:noProof/>
        </w:rPr>
        <w:t>123</w:t>
      </w:r>
      <w:r w:rsidRPr="00F148DD">
        <w:rPr>
          <w:noProof/>
        </w:rPr>
        <w:fldChar w:fldCharType="end"/>
      </w:r>
    </w:p>
    <w:p w14:paraId="375DBA4B" w14:textId="77777777" w:rsidR="00F148DD" w:rsidRPr="00F148DD" w:rsidRDefault="00EB703A" w:rsidP="00EB703A">
      <w:pPr>
        <w:pStyle w:val="NoSpacing"/>
        <w:contextualSpacing/>
        <w:rPr>
          <w:rFonts w:asciiTheme="minorHAnsi" w:eastAsiaTheme="minorEastAsia" w:hAnsiTheme="minorHAnsi"/>
          <w:b w:val="0"/>
          <w:noProof/>
          <w:sz w:val="22"/>
        </w:rPr>
      </w:pPr>
      <w:r w:rsidRPr="00F148DD">
        <w:rPr>
          <w:rFonts w:asciiTheme="minorHAnsi" w:eastAsiaTheme="minorEastAsia" w:hAnsiTheme="minorHAnsi"/>
          <w:b w:val="0"/>
          <w:sz w:val="22"/>
        </w:rPr>
        <w:fldChar w:fldCharType="end"/>
      </w:r>
      <w:r w:rsidRPr="00F148DD">
        <w:rPr>
          <w:rFonts w:asciiTheme="minorHAnsi" w:eastAsiaTheme="minorEastAsia" w:hAnsiTheme="minorHAnsi"/>
          <w:b w:val="0"/>
          <w:sz w:val="22"/>
        </w:rPr>
        <w:fldChar w:fldCharType="begin"/>
      </w:r>
      <w:r w:rsidRPr="00F148DD">
        <w:rPr>
          <w:rFonts w:asciiTheme="minorHAnsi" w:eastAsiaTheme="minorEastAsia" w:hAnsiTheme="minorHAnsi"/>
          <w:b w:val="0"/>
          <w:sz w:val="22"/>
        </w:rPr>
        <w:instrText xml:space="preserve"> TOC \c "Figure 6." </w:instrText>
      </w:r>
      <w:r w:rsidRPr="00F148DD">
        <w:rPr>
          <w:rFonts w:asciiTheme="minorHAnsi" w:eastAsiaTheme="minorEastAsia" w:hAnsiTheme="minorHAnsi"/>
          <w:b w:val="0"/>
          <w:sz w:val="22"/>
        </w:rPr>
        <w:fldChar w:fldCharType="separate"/>
      </w:r>
    </w:p>
    <w:p w14:paraId="21C096CE" w14:textId="69666E62" w:rsidR="00F148DD" w:rsidRPr="00F148DD" w:rsidRDefault="00F148DD">
      <w:pPr>
        <w:pStyle w:val="TableofFigures"/>
        <w:tabs>
          <w:tab w:val="right" w:leader="dot" w:pos="9350"/>
        </w:tabs>
        <w:rPr>
          <w:noProof/>
          <w:lang w:val="en-GB"/>
        </w:rPr>
      </w:pPr>
      <w:r w:rsidRPr="00F148DD">
        <w:rPr>
          <w:noProof/>
        </w:rPr>
        <w:t>Figure 6.1</w:t>
      </w:r>
      <w:r w:rsidRPr="00F148DD">
        <w:rPr>
          <w:rFonts w:cs="Times New Roman"/>
          <w:noProof/>
        </w:rPr>
        <w:t>. NMR spectra of Pripol 2030.</w:t>
      </w:r>
      <w:r w:rsidRPr="00F148DD">
        <w:rPr>
          <w:noProof/>
        </w:rPr>
        <w:tab/>
      </w:r>
      <w:r w:rsidRPr="00F148DD">
        <w:rPr>
          <w:noProof/>
        </w:rPr>
        <w:fldChar w:fldCharType="begin"/>
      </w:r>
      <w:r w:rsidRPr="00F148DD">
        <w:rPr>
          <w:noProof/>
        </w:rPr>
        <w:instrText xml:space="preserve"> PAGEREF _Toc518823417 \h </w:instrText>
      </w:r>
      <w:r w:rsidRPr="00F148DD">
        <w:rPr>
          <w:noProof/>
        </w:rPr>
      </w:r>
      <w:r w:rsidRPr="00F148DD">
        <w:rPr>
          <w:noProof/>
        </w:rPr>
        <w:fldChar w:fldCharType="separate"/>
      </w:r>
      <w:r w:rsidRPr="00F148DD">
        <w:rPr>
          <w:noProof/>
        </w:rPr>
        <w:t>134</w:t>
      </w:r>
      <w:r w:rsidRPr="00F148DD">
        <w:rPr>
          <w:noProof/>
        </w:rPr>
        <w:fldChar w:fldCharType="end"/>
      </w:r>
    </w:p>
    <w:p w14:paraId="74662237" w14:textId="6BBBAEC3" w:rsidR="00F148DD" w:rsidRPr="00F148DD" w:rsidRDefault="00F148DD">
      <w:pPr>
        <w:pStyle w:val="TableofFigures"/>
        <w:tabs>
          <w:tab w:val="right" w:leader="dot" w:pos="9350"/>
        </w:tabs>
        <w:rPr>
          <w:noProof/>
          <w:lang w:val="en-GB"/>
        </w:rPr>
      </w:pPr>
      <w:r w:rsidRPr="00F148DD">
        <w:rPr>
          <w:noProof/>
        </w:rPr>
        <w:t>Figure 6.2</w:t>
      </w:r>
      <w:r w:rsidRPr="00F148DD">
        <w:rPr>
          <w:rFonts w:cs="Times New Roman"/>
          <w:noProof/>
        </w:rPr>
        <w:t>. NMR spectra of Pripol 1040.</w:t>
      </w:r>
      <w:r w:rsidRPr="00F148DD">
        <w:rPr>
          <w:noProof/>
        </w:rPr>
        <w:tab/>
      </w:r>
      <w:r w:rsidRPr="00F148DD">
        <w:rPr>
          <w:noProof/>
        </w:rPr>
        <w:fldChar w:fldCharType="begin"/>
      </w:r>
      <w:r w:rsidRPr="00F148DD">
        <w:rPr>
          <w:noProof/>
        </w:rPr>
        <w:instrText xml:space="preserve"> PAGEREF _Toc518823418 \h </w:instrText>
      </w:r>
      <w:r w:rsidRPr="00F148DD">
        <w:rPr>
          <w:noProof/>
        </w:rPr>
      </w:r>
      <w:r w:rsidRPr="00F148DD">
        <w:rPr>
          <w:noProof/>
        </w:rPr>
        <w:fldChar w:fldCharType="separate"/>
      </w:r>
      <w:r w:rsidRPr="00F148DD">
        <w:rPr>
          <w:noProof/>
        </w:rPr>
        <w:t>135</w:t>
      </w:r>
      <w:r w:rsidRPr="00F148DD">
        <w:rPr>
          <w:noProof/>
        </w:rPr>
        <w:fldChar w:fldCharType="end"/>
      </w:r>
    </w:p>
    <w:p w14:paraId="0D3B9FD4" w14:textId="37C58768" w:rsidR="00F148DD" w:rsidRPr="00F148DD" w:rsidRDefault="00F148DD">
      <w:pPr>
        <w:pStyle w:val="TableofFigures"/>
        <w:tabs>
          <w:tab w:val="right" w:leader="dot" w:pos="9350"/>
        </w:tabs>
        <w:rPr>
          <w:noProof/>
          <w:lang w:val="en-GB"/>
        </w:rPr>
      </w:pPr>
      <w:r w:rsidRPr="00F148DD">
        <w:rPr>
          <w:noProof/>
        </w:rPr>
        <w:t>Figure 6.3</w:t>
      </w:r>
      <w:r w:rsidRPr="00F148DD">
        <w:rPr>
          <w:rFonts w:cs="Times New Roman"/>
          <w:noProof/>
        </w:rPr>
        <w:t>. Schematic representation of synthesis of bio-based hyperbranched polyester (prepolymer)</w:t>
      </w:r>
      <w:r w:rsidRPr="00F148DD">
        <w:rPr>
          <w:noProof/>
        </w:rPr>
        <w:tab/>
      </w:r>
      <w:r w:rsidRPr="00F148DD">
        <w:rPr>
          <w:noProof/>
        </w:rPr>
        <w:fldChar w:fldCharType="begin"/>
      </w:r>
      <w:r w:rsidRPr="00F148DD">
        <w:rPr>
          <w:noProof/>
        </w:rPr>
        <w:instrText xml:space="preserve"> PAGEREF _Toc518823419 \h </w:instrText>
      </w:r>
      <w:r w:rsidRPr="00F148DD">
        <w:rPr>
          <w:noProof/>
        </w:rPr>
      </w:r>
      <w:r w:rsidRPr="00F148DD">
        <w:rPr>
          <w:noProof/>
        </w:rPr>
        <w:fldChar w:fldCharType="separate"/>
      </w:r>
      <w:r w:rsidRPr="00F148DD">
        <w:rPr>
          <w:noProof/>
        </w:rPr>
        <w:t>137</w:t>
      </w:r>
      <w:r w:rsidRPr="00F148DD">
        <w:rPr>
          <w:noProof/>
        </w:rPr>
        <w:fldChar w:fldCharType="end"/>
      </w:r>
    </w:p>
    <w:p w14:paraId="436F47A1" w14:textId="7EE6EC52" w:rsidR="00F148DD" w:rsidRPr="00F148DD" w:rsidRDefault="00F148DD">
      <w:pPr>
        <w:pStyle w:val="TableofFigures"/>
        <w:tabs>
          <w:tab w:val="right" w:leader="dot" w:pos="9350"/>
        </w:tabs>
        <w:rPr>
          <w:noProof/>
          <w:lang w:val="en-GB"/>
        </w:rPr>
      </w:pPr>
      <w:r w:rsidRPr="00F148DD">
        <w:rPr>
          <w:noProof/>
        </w:rPr>
        <w:t>Figure 6.4</w:t>
      </w:r>
      <w:r w:rsidRPr="00F148DD">
        <w:rPr>
          <w:rFonts w:cs="Times New Roman"/>
          <w:noProof/>
        </w:rPr>
        <w:t>. NMR spectra of HBPE pre-polymer. CH2OH: 2 should be subscript.</w:t>
      </w:r>
      <w:r w:rsidRPr="00F148DD">
        <w:rPr>
          <w:noProof/>
        </w:rPr>
        <w:tab/>
      </w:r>
      <w:r w:rsidRPr="00F148DD">
        <w:rPr>
          <w:noProof/>
        </w:rPr>
        <w:fldChar w:fldCharType="begin"/>
      </w:r>
      <w:r w:rsidRPr="00F148DD">
        <w:rPr>
          <w:noProof/>
        </w:rPr>
        <w:instrText xml:space="preserve"> PAGEREF _Toc518823420 \h </w:instrText>
      </w:r>
      <w:r w:rsidRPr="00F148DD">
        <w:rPr>
          <w:noProof/>
        </w:rPr>
      </w:r>
      <w:r w:rsidRPr="00F148DD">
        <w:rPr>
          <w:noProof/>
        </w:rPr>
        <w:fldChar w:fldCharType="separate"/>
      </w:r>
      <w:r w:rsidRPr="00F148DD">
        <w:rPr>
          <w:noProof/>
        </w:rPr>
        <w:t>138</w:t>
      </w:r>
      <w:r w:rsidRPr="00F148DD">
        <w:rPr>
          <w:noProof/>
        </w:rPr>
        <w:fldChar w:fldCharType="end"/>
      </w:r>
    </w:p>
    <w:p w14:paraId="1F1BCD7F" w14:textId="6105028C" w:rsidR="00F148DD" w:rsidRPr="00F148DD" w:rsidRDefault="00F148DD">
      <w:pPr>
        <w:pStyle w:val="TableofFigures"/>
        <w:tabs>
          <w:tab w:val="right" w:leader="dot" w:pos="9350"/>
        </w:tabs>
        <w:rPr>
          <w:noProof/>
          <w:lang w:val="en-GB"/>
        </w:rPr>
      </w:pPr>
      <w:r w:rsidRPr="00F148DD">
        <w:rPr>
          <w:noProof/>
        </w:rPr>
        <w:t>Figure 6.5</w:t>
      </w:r>
      <w:r w:rsidRPr="00F148DD">
        <w:rPr>
          <w:rFonts w:cs="Times New Roman"/>
          <w:noProof/>
        </w:rPr>
        <w:t>. Probable segments of HBPE pre-polymer.</w:t>
      </w:r>
      <w:r w:rsidRPr="00F148DD">
        <w:rPr>
          <w:noProof/>
        </w:rPr>
        <w:tab/>
      </w:r>
      <w:r w:rsidRPr="00F148DD">
        <w:rPr>
          <w:noProof/>
        </w:rPr>
        <w:fldChar w:fldCharType="begin"/>
      </w:r>
      <w:r w:rsidRPr="00F148DD">
        <w:rPr>
          <w:noProof/>
        </w:rPr>
        <w:instrText xml:space="preserve"> PAGEREF _Toc518823421 \h </w:instrText>
      </w:r>
      <w:r w:rsidRPr="00F148DD">
        <w:rPr>
          <w:noProof/>
        </w:rPr>
      </w:r>
      <w:r w:rsidRPr="00F148DD">
        <w:rPr>
          <w:noProof/>
        </w:rPr>
        <w:fldChar w:fldCharType="separate"/>
      </w:r>
      <w:r w:rsidRPr="00F148DD">
        <w:rPr>
          <w:noProof/>
        </w:rPr>
        <w:t>139</w:t>
      </w:r>
      <w:r w:rsidRPr="00F148DD">
        <w:rPr>
          <w:noProof/>
        </w:rPr>
        <w:fldChar w:fldCharType="end"/>
      </w:r>
    </w:p>
    <w:p w14:paraId="08A74B18" w14:textId="5C361EFE" w:rsidR="00F148DD" w:rsidRPr="00F148DD" w:rsidRDefault="00F148DD">
      <w:pPr>
        <w:pStyle w:val="TableofFigures"/>
        <w:tabs>
          <w:tab w:val="right" w:leader="dot" w:pos="9350"/>
        </w:tabs>
        <w:rPr>
          <w:noProof/>
          <w:lang w:val="en-GB"/>
        </w:rPr>
      </w:pPr>
      <w:r w:rsidRPr="00F148DD">
        <w:rPr>
          <w:noProof/>
        </w:rPr>
        <w:t>Figure 6.6</w:t>
      </w:r>
      <w:r w:rsidRPr="00F148DD">
        <w:rPr>
          <w:rFonts w:cs="Times New Roman"/>
          <w:noProof/>
        </w:rPr>
        <w:t>. GPC chromatogram (CDCl3 eluent, RI detector) of HBPE pre-polymer.</w:t>
      </w:r>
      <w:r w:rsidRPr="00F148DD">
        <w:rPr>
          <w:noProof/>
        </w:rPr>
        <w:tab/>
      </w:r>
      <w:r w:rsidRPr="00F148DD">
        <w:rPr>
          <w:noProof/>
        </w:rPr>
        <w:fldChar w:fldCharType="begin"/>
      </w:r>
      <w:r w:rsidRPr="00F148DD">
        <w:rPr>
          <w:noProof/>
        </w:rPr>
        <w:instrText xml:space="preserve"> PAGEREF _Toc518823422 \h </w:instrText>
      </w:r>
      <w:r w:rsidRPr="00F148DD">
        <w:rPr>
          <w:noProof/>
        </w:rPr>
      </w:r>
      <w:r w:rsidRPr="00F148DD">
        <w:rPr>
          <w:noProof/>
        </w:rPr>
        <w:fldChar w:fldCharType="separate"/>
      </w:r>
      <w:r w:rsidRPr="00F148DD">
        <w:rPr>
          <w:noProof/>
        </w:rPr>
        <w:t>140</w:t>
      </w:r>
      <w:r w:rsidRPr="00F148DD">
        <w:rPr>
          <w:noProof/>
        </w:rPr>
        <w:fldChar w:fldCharType="end"/>
      </w:r>
    </w:p>
    <w:p w14:paraId="14F895EA" w14:textId="1AD9EA81" w:rsidR="00F148DD" w:rsidRPr="00F148DD" w:rsidRDefault="00F148DD">
      <w:pPr>
        <w:pStyle w:val="TableofFigures"/>
        <w:tabs>
          <w:tab w:val="right" w:leader="dot" w:pos="9350"/>
        </w:tabs>
        <w:rPr>
          <w:noProof/>
          <w:lang w:val="en-GB"/>
        </w:rPr>
      </w:pPr>
      <w:r w:rsidRPr="00F148DD">
        <w:rPr>
          <w:noProof/>
        </w:rPr>
        <w:t>Figure 6.7</w:t>
      </w:r>
      <w:r w:rsidRPr="00F148DD">
        <w:rPr>
          <w:rFonts w:cs="Times New Roman"/>
          <w:noProof/>
        </w:rPr>
        <w:t>. Potentiometric titration curve for determination of hydroxyl number with TSI reagent.</w:t>
      </w:r>
      <w:r w:rsidRPr="00F148DD">
        <w:rPr>
          <w:noProof/>
        </w:rPr>
        <w:tab/>
      </w:r>
      <w:r w:rsidRPr="00F148DD">
        <w:rPr>
          <w:noProof/>
        </w:rPr>
        <w:fldChar w:fldCharType="begin"/>
      </w:r>
      <w:r w:rsidRPr="00F148DD">
        <w:rPr>
          <w:noProof/>
        </w:rPr>
        <w:instrText xml:space="preserve"> PAGEREF _Toc518823423 \h </w:instrText>
      </w:r>
      <w:r w:rsidRPr="00F148DD">
        <w:rPr>
          <w:noProof/>
        </w:rPr>
      </w:r>
      <w:r w:rsidRPr="00F148DD">
        <w:rPr>
          <w:noProof/>
        </w:rPr>
        <w:fldChar w:fldCharType="separate"/>
      </w:r>
      <w:r w:rsidRPr="00F148DD">
        <w:rPr>
          <w:noProof/>
        </w:rPr>
        <w:t>142</w:t>
      </w:r>
      <w:r w:rsidRPr="00F148DD">
        <w:rPr>
          <w:noProof/>
        </w:rPr>
        <w:fldChar w:fldCharType="end"/>
      </w:r>
    </w:p>
    <w:p w14:paraId="1F9BDC58" w14:textId="545D365F" w:rsidR="00F148DD" w:rsidRPr="00F148DD" w:rsidRDefault="00F148DD">
      <w:pPr>
        <w:pStyle w:val="TableofFigures"/>
        <w:tabs>
          <w:tab w:val="right" w:leader="dot" w:pos="9350"/>
        </w:tabs>
        <w:rPr>
          <w:noProof/>
          <w:lang w:val="en-GB"/>
        </w:rPr>
      </w:pPr>
      <w:r w:rsidRPr="00F148DD">
        <w:rPr>
          <w:noProof/>
        </w:rPr>
        <w:t>Figure 6.8</w:t>
      </w:r>
      <w:r w:rsidRPr="00F148DD">
        <w:rPr>
          <w:rFonts w:cs="Times New Roman"/>
          <w:noProof/>
        </w:rPr>
        <w:t>. FTIR spectra of monomers, HBPE pre-polymer and HBPE.</w:t>
      </w:r>
      <w:r w:rsidRPr="00F148DD">
        <w:rPr>
          <w:noProof/>
        </w:rPr>
        <w:tab/>
      </w:r>
      <w:r w:rsidRPr="00F148DD">
        <w:rPr>
          <w:noProof/>
        </w:rPr>
        <w:fldChar w:fldCharType="begin"/>
      </w:r>
      <w:r w:rsidRPr="00F148DD">
        <w:rPr>
          <w:noProof/>
        </w:rPr>
        <w:instrText xml:space="preserve"> PAGEREF _Toc518823424 \h </w:instrText>
      </w:r>
      <w:r w:rsidRPr="00F148DD">
        <w:rPr>
          <w:noProof/>
        </w:rPr>
      </w:r>
      <w:r w:rsidRPr="00F148DD">
        <w:rPr>
          <w:noProof/>
        </w:rPr>
        <w:fldChar w:fldCharType="separate"/>
      </w:r>
      <w:r w:rsidRPr="00F148DD">
        <w:rPr>
          <w:noProof/>
        </w:rPr>
        <w:t>145</w:t>
      </w:r>
      <w:r w:rsidRPr="00F148DD">
        <w:rPr>
          <w:noProof/>
        </w:rPr>
        <w:fldChar w:fldCharType="end"/>
      </w:r>
    </w:p>
    <w:p w14:paraId="3960E77F" w14:textId="010CED5A" w:rsidR="00F148DD" w:rsidRPr="00F148DD" w:rsidRDefault="00F148DD">
      <w:pPr>
        <w:pStyle w:val="TableofFigures"/>
        <w:tabs>
          <w:tab w:val="right" w:leader="dot" w:pos="9350"/>
        </w:tabs>
        <w:rPr>
          <w:noProof/>
          <w:lang w:val="en-GB"/>
        </w:rPr>
      </w:pPr>
      <w:r w:rsidRPr="00F148DD">
        <w:rPr>
          <w:noProof/>
        </w:rPr>
        <w:t>Figure 6.9</w:t>
      </w:r>
      <w:r w:rsidRPr="00F148DD">
        <w:rPr>
          <w:rFonts w:cs="Times New Roman"/>
          <w:noProof/>
        </w:rPr>
        <w:t>. Water swelling behavior of HBPE</w:t>
      </w:r>
      <w:r w:rsidRPr="00F148DD">
        <w:rPr>
          <w:noProof/>
        </w:rPr>
        <w:tab/>
      </w:r>
      <w:r w:rsidRPr="00F148DD">
        <w:rPr>
          <w:noProof/>
        </w:rPr>
        <w:fldChar w:fldCharType="begin"/>
      </w:r>
      <w:r w:rsidRPr="00F148DD">
        <w:rPr>
          <w:noProof/>
        </w:rPr>
        <w:instrText xml:space="preserve"> PAGEREF _Toc518823425 \h </w:instrText>
      </w:r>
      <w:r w:rsidRPr="00F148DD">
        <w:rPr>
          <w:noProof/>
        </w:rPr>
      </w:r>
      <w:r w:rsidRPr="00F148DD">
        <w:rPr>
          <w:noProof/>
        </w:rPr>
        <w:fldChar w:fldCharType="separate"/>
      </w:r>
      <w:r w:rsidRPr="00F148DD">
        <w:rPr>
          <w:noProof/>
        </w:rPr>
        <w:t>146</w:t>
      </w:r>
      <w:r w:rsidRPr="00F148DD">
        <w:rPr>
          <w:noProof/>
        </w:rPr>
        <w:fldChar w:fldCharType="end"/>
      </w:r>
    </w:p>
    <w:p w14:paraId="559DD092" w14:textId="60DBD5E4" w:rsidR="00F148DD" w:rsidRPr="00F148DD" w:rsidRDefault="00F148DD">
      <w:pPr>
        <w:pStyle w:val="TableofFigures"/>
        <w:tabs>
          <w:tab w:val="right" w:leader="dot" w:pos="9350"/>
        </w:tabs>
        <w:rPr>
          <w:noProof/>
          <w:lang w:val="en-GB"/>
        </w:rPr>
      </w:pPr>
      <w:r w:rsidRPr="00F148DD">
        <w:rPr>
          <w:noProof/>
        </w:rPr>
        <w:t>Figure 6.10</w:t>
      </w:r>
      <w:r w:rsidRPr="00F148DD">
        <w:rPr>
          <w:rFonts w:cs="Times New Roman"/>
          <w:noProof/>
          <w:color w:val="000000"/>
        </w:rPr>
        <w:t>. FTIR spectra of PPD, GO, poly-PPD, and P-rGO.</w:t>
      </w:r>
      <w:r w:rsidRPr="00F148DD">
        <w:rPr>
          <w:noProof/>
        </w:rPr>
        <w:tab/>
      </w:r>
      <w:r w:rsidRPr="00F148DD">
        <w:rPr>
          <w:noProof/>
        </w:rPr>
        <w:fldChar w:fldCharType="begin"/>
      </w:r>
      <w:r w:rsidRPr="00F148DD">
        <w:rPr>
          <w:noProof/>
        </w:rPr>
        <w:instrText xml:space="preserve"> PAGEREF _Toc518823426 \h </w:instrText>
      </w:r>
      <w:r w:rsidRPr="00F148DD">
        <w:rPr>
          <w:noProof/>
        </w:rPr>
      </w:r>
      <w:r w:rsidRPr="00F148DD">
        <w:rPr>
          <w:noProof/>
        </w:rPr>
        <w:fldChar w:fldCharType="separate"/>
      </w:r>
      <w:r w:rsidRPr="00F148DD">
        <w:rPr>
          <w:noProof/>
        </w:rPr>
        <w:t>148</w:t>
      </w:r>
      <w:r w:rsidRPr="00F148DD">
        <w:rPr>
          <w:noProof/>
        </w:rPr>
        <w:fldChar w:fldCharType="end"/>
      </w:r>
    </w:p>
    <w:p w14:paraId="22575E49" w14:textId="0D381DF6" w:rsidR="00F148DD" w:rsidRPr="00F148DD" w:rsidRDefault="00F148DD">
      <w:pPr>
        <w:pStyle w:val="TableofFigures"/>
        <w:tabs>
          <w:tab w:val="right" w:leader="dot" w:pos="9350"/>
        </w:tabs>
        <w:rPr>
          <w:noProof/>
          <w:lang w:val="en-GB"/>
        </w:rPr>
      </w:pPr>
      <w:r w:rsidRPr="00F148DD">
        <w:rPr>
          <w:noProof/>
        </w:rPr>
        <w:t>Figure 10.11</w:t>
      </w:r>
      <w:r w:rsidRPr="00F148DD">
        <w:rPr>
          <w:rFonts w:cs="Times New Roman"/>
          <w:noProof/>
        </w:rPr>
        <w:t>. Schematic representations of (a) the polymerization of PPD and (b) preparation of P-rGO in one pot method.</w:t>
      </w:r>
      <w:r w:rsidRPr="00F148DD">
        <w:rPr>
          <w:noProof/>
        </w:rPr>
        <w:tab/>
      </w:r>
      <w:r w:rsidRPr="00F148DD">
        <w:rPr>
          <w:noProof/>
        </w:rPr>
        <w:fldChar w:fldCharType="begin"/>
      </w:r>
      <w:r w:rsidRPr="00F148DD">
        <w:rPr>
          <w:noProof/>
        </w:rPr>
        <w:instrText xml:space="preserve"> PAGEREF _Toc518823427 \h </w:instrText>
      </w:r>
      <w:r w:rsidRPr="00F148DD">
        <w:rPr>
          <w:noProof/>
        </w:rPr>
      </w:r>
      <w:r w:rsidRPr="00F148DD">
        <w:rPr>
          <w:noProof/>
        </w:rPr>
        <w:fldChar w:fldCharType="separate"/>
      </w:r>
      <w:r w:rsidRPr="00F148DD">
        <w:rPr>
          <w:noProof/>
        </w:rPr>
        <w:t>149</w:t>
      </w:r>
      <w:r w:rsidRPr="00F148DD">
        <w:rPr>
          <w:noProof/>
        </w:rPr>
        <w:fldChar w:fldCharType="end"/>
      </w:r>
    </w:p>
    <w:p w14:paraId="0CC8E9EB" w14:textId="6CC6CBED" w:rsidR="00F148DD" w:rsidRPr="00F148DD" w:rsidRDefault="00F148DD">
      <w:pPr>
        <w:pStyle w:val="TableofFigures"/>
        <w:tabs>
          <w:tab w:val="right" w:leader="dot" w:pos="9350"/>
        </w:tabs>
        <w:rPr>
          <w:noProof/>
          <w:lang w:val="en-GB"/>
        </w:rPr>
      </w:pPr>
      <w:r w:rsidRPr="00F148DD">
        <w:rPr>
          <w:noProof/>
        </w:rPr>
        <w:t>Figure 6.12</w:t>
      </w:r>
      <w:r w:rsidRPr="00F148DD">
        <w:rPr>
          <w:rFonts w:cs="Times New Roman"/>
          <w:noProof/>
        </w:rPr>
        <w:t>. Digital photographs of P-rGO aqueous dispersions after 3 weeks: (a) pH ~5, (b) pH ~3, and (c) pH ~2.</w:t>
      </w:r>
      <w:r w:rsidRPr="00F148DD">
        <w:rPr>
          <w:noProof/>
        </w:rPr>
        <w:tab/>
      </w:r>
      <w:r w:rsidRPr="00F148DD">
        <w:rPr>
          <w:noProof/>
        </w:rPr>
        <w:fldChar w:fldCharType="begin"/>
      </w:r>
      <w:r w:rsidRPr="00F148DD">
        <w:rPr>
          <w:noProof/>
        </w:rPr>
        <w:instrText xml:space="preserve"> PAGEREF _Toc518823428 \h </w:instrText>
      </w:r>
      <w:r w:rsidRPr="00F148DD">
        <w:rPr>
          <w:noProof/>
        </w:rPr>
      </w:r>
      <w:r w:rsidRPr="00F148DD">
        <w:rPr>
          <w:noProof/>
        </w:rPr>
        <w:fldChar w:fldCharType="separate"/>
      </w:r>
      <w:r w:rsidRPr="00F148DD">
        <w:rPr>
          <w:noProof/>
        </w:rPr>
        <w:t>150</w:t>
      </w:r>
      <w:r w:rsidRPr="00F148DD">
        <w:rPr>
          <w:noProof/>
        </w:rPr>
        <w:fldChar w:fldCharType="end"/>
      </w:r>
    </w:p>
    <w:p w14:paraId="12C29638" w14:textId="652CDE69" w:rsidR="00F148DD" w:rsidRPr="00F148DD" w:rsidRDefault="00F148DD">
      <w:pPr>
        <w:pStyle w:val="TableofFigures"/>
        <w:tabs>
          <w:tab w:val="right" w:leader="dot" w:pos="9350"/>
        </w:tabs>
        <w:rPr>
          <w:noProof/>
          <w:lang w:val="en-GB"/>
        </w:rPr>
      </w:pPr>
      <w:r w:rsidRPr="00F148DD">
        <w:rPr>
          <w:noProof/>
        </w:rPr>
        <w:t>Figure 6.13</w:t>
      </w:r>
      <w:r w:rsidRPr="00F148DD">
        <w:rPr>
          <w:rFonts w:cs="Times New Roman"/>
          <w:noProof/>
        </w:rPr>
        <w:t>. Optical images (a) and SEM micrographs, (b) of HBPE and HBPE/P-rGO nanocomposites.</w:t>
      </w:r>
      <w:r w:rsidRPr="00F148DD">
        <w:rPr>
          <w:noProof/>
        </w:rPr>
        <w:tab/>
      </w:r>
      <w:r w:rsidRPr="00F148DD">
        <w:rPr>
          <w:noProof/>
        </w:rPr>
        <w:fldChar w:fldCharType="begin"/>
      </w:r>
      <w:r w:rsidRPr="00F148DD">
        <w:rPr>
          <w:noProof/>
        </w:rPr>
        <w:instrText xml:space="preserve"> PAGEREF _Toc518823429 \h </w:instrText>
      </w:r>
      <w:r w:rsidRPr="00F148DD">
        <w:rPr>
          <w:noProof/>
        </w:rPr>
      </w:r>
      <w:r w:rsidRPr="00F148DD">
        <w:rPr>
          <w:noProof/>
        </w:rPr>
        <w:fldChar w:fldCharType="separate"/>
      </w:r>
      <w:r w:rsidRPr="00F148DD">
        <w:rPr>
          <w:noProof/>
        </w:rPr>
        <w:t>151</w:t>
      </w:r>
      <w:r w:rsidRPr="00F148DD">
        <w:rPr>
          <w:noProof/>
        </w:rPr>
        <w:fldChar w:fldCharType="end"/>
      </w:r>
    </w:p>
    <w:p w14:paraId="4E099E83" w14:textId="6840F2CF" w:rsidR="00F148DD" w:rsidRPr="00F148DD" w:rsidRDefault="00F148DD">
      <w:pPr>
        <w:pStyle w:val="TableofFigures"/>
        <w:tabs>
          <w:tab w:val="right" w:leader="dot" w:pos="9350"/>
        </w:tabs>
        <w:rPr>
          <w:noProof/>
          <w:lang w:val="en-GB"/>
        </w:rPr>
      </w:pPr>
      <w:r w:rsidRPr="00F148DD">
        <w:rPr>
          <w:noProof/>
        </w:rPr>
        <w:t>Figure 6.14</w:t>
      </w:r>
      <w:r w:rsidRPr="00F148DD">
        <w:rPr>
          <w:rFonts w:cs="Times New Roman"/>
          <w:noProof/>
        </w:rPr>
        <w:t>.  FTIR spectra of HBPE and HBPE/P-rGO nanocomposites with various P-rGO loadings.</w:t>
      </w:r>
      <w:r w:rsidRPr="00F148DD">
        <w:rPr>
          <w:noProof/>
        </w:rPr>
        <w:tab/>
      </w:r>
      <w:r w:rsidRPr="00F148DD">
        <w:rPr>
          <w:noProof/>
        </w:rPr>
        <w:fldChar w:fldCharType="begin"/>
      </w:r>
      <w:r w:rsidRPr="00F148DD">
        <w:rPr>
          <w:noProof/>
        </w:rPr>
        <w:instrText xml:space="preserve"> PAGEREF _Toc518823430 \h </w:instrText>
      </w:r>
      <w:r w:rsidRPr="00F148DD">
        <w:rPr>
          <w:noProof/>
        </w:rPr>
      </w:r>
      <w:r w:rsidRPr="00F148DD">
        <w:rPr>
          <w:noProof/>
        </w:rPr>
        <w:fldChar w:fldCharType="separate"/>
      </w:r>
      <w:r w:rsidRPr="00F148DD">
        <w:rPr>
          <w:noProof/>
        </w:rPr>
        <w:t>153</w:t>
      </w:r>
      <w:r w:rsidRPr="00F148DD">
        <w:rPr>
          <w:noProof/>
        </w:rPr>
        <w:fldChar w:fldCharType="end"/>
      </w:r>
    </w:p>
    <w:p w14:paraId="6212DBF5" w14:textId="3C3697FF" w:rsidR="00F148DD" w:rsidRPr="00F148DD" w:rsidRDefault="00F148DD">
      <w:pPr>
        <w:pStyle w:val="TableofFigures"/>
        <w:tabs>
          <w:tab w:val="right" w:leader="dot" w:pos="9350"/>
        </w:tabs>
        <w:rPr>
          <w:noProof/>
          <w:lang w:val="en-GB"/>
        </w:rPr>
      </w:pPr>
      <w:r w:rsidRPr="00F148DD">
        <w:rPr>
          <w:noProof/>
        </w:rPr>
        <w:t>Figure 6.15</w:t>
      </w:r>
      <w:r w:rsidRPr="00F148DD">
        <w:rPr>
          <w:rFonts w:cs="Times New Roman"/>
          <w:noProof/>
        </w:rPr>
        <w:t>. Representative tensile stress–strain curves of HBPE and HBPE/P-rGO nanocomposites with various P-rGO loadings.</w:t>
      </w:r>
      <w:r w:rsidRPr="00F148DD">
        <w:rPr>
          <w:noProof/>
        </w:rPr>
        <w:tab/>
      </w:r>
      <w:r w:rsidRPr="00F148DD">
        <w:rPr>
          <w:noProof/>
        </w:rPr>
        <w:fldChar w:fldCharType="begin"/>
      </w:r>
      <w:r w:rsidRPr="00F148DD">
        <w:rPr>
          <w:noProof/>
        </w:rPr>
        <w:instrText xml:space="preserve"> PAGEREF _Toc518823431 \h </w:instrText>
      </w:r>
      <w:r w:rsidRPr="00F148DD">
        <w:rPr>
          <w:noProof/>
        </w:rPr>
      </w:r>
      <w:r w:rsidRPr="00F148DD">
        <w:rPr>
          <w:noProof/>
        </w:rPr>
        <w:fldChar w:fldCharType="separate"/>
      </w:r>
      <w:r w:rsidRPr="00F148DD">
        <w:rPr>
          <w:noProof/>
        </w:rPr>
        <w:t>154</w:t>
      </w:r>
      <w:r w:rsidRPr="00F148DD">
        <w:rPr>
          <w:noProof/>
        </w:rPr>
        <w:fldChar w:fldCharType="end"/>
      </w:r>
    </w:p>
    <w:p w14:paraId="088D3414" w14:textId="3815ADF0" w:rsidR="00F148DD" w:rsidRPr="00F148DD" w:rsidRDefault="00F148DD">
      <w:pPr>
        <w:pStyle w:val="TableofFigures"/>
        <w:tabs>
          <w:tab w:val="right" w:leader="dot" w:pos="9350"/>
        </w:tabs>
        <w:rPr>
          <w:noProof/>
          <w:lang w:val="en-GB"/>
        </w:rPr>
      </w:pPr>
      <w:r w:rsidRPr="00F148DD">
        <w:rPr>
          <w:noProof/>
        </w:rPr>
        <w:t>Figure 6.16</w:t>
      </w:r>
      <w:r w:rsidRPr="00F148DD">
        <w:rPr>
          <w:rFonts w:cs="Times New Roman"/>
          <w:noProof/>
        </w:rPr>
        <w:t>. Cyclic stress–strain behavior of HBPE and HBPE and HBPE/P-rGO nanocomposites: (a)-(d) 4 cycles with an extension of 200% and (e) hysteresis of 1st cycle with an extension of 200%.</w:t>
      </w:r>
      <w:r w:rsidRPr="00F148DD">
        <w:rPr>
          <w:noProof/>
        </w:rPr>
        <w:tab/>
      </w:r>
      <w:r w:rsidRPr="00F148DD">
        <w:rPr>
          <w:noProof/>
        </w:rPr>
        <w:fldChar w:fldCharType="begin"/>
      </w:r>
      <w:r w:rsidRPr="00F148DD">
        <w:rPr>
          <w:noProof/>
        </w:rPr>
        <w:instrText xml:space="preserve"> PAGEREF _Toc518823432 \h </w:instrText>
      </w:r>
      <w:r w:rsidRPr="00F148DD">
        <w:rPr>
          <w:noProof/>
        </w:rPr>
      </w:r>
      <w:r w:rsidRPr="00F148DD">
        <w:rPr>
          <w:noProof/>
        </w:rPr>
        <w:fldChar w:fldCharType="separate"/>
      </w:r>
      <w:r w:rsidRPr="00F148DD">
        <w:rPr>
          <w:noProof/>
        </w:rPr>
        <w:t>158</w:t>
      </w:r>
      <w:r w:rsidRPr="00F148DD">
        <w:rPr>
          <w:noProof/>
        </w:rPr>
        <w:fldChar w:fldCharType="end"/>
      </w:r>
    </w:p>
    <w:p w14:paraId="2C139039" w14:textId="1EFE87B9" w:rsidR="00F148DD" w:rsidRPr="00F148DD" w:rsidRDefault="00F148DD">
      <w:pPr>
        <w:pStyle w:val="TableofFigures"/>
        <w:tabs>
          <w:tab w:val="right" w:leader="dot" w:pos="9350"/>
        </w:tabs>
        <w:rPr>
          <w:noProof/>
          <w:lang w:val="en-GB"/>
        </w:rPr>
      </w:pPr>
      <w:r w:rsidRPr="00F148DD">
        <w:rPr>
          <w:noProof/>
        </w:rPr>
        <w:t>Figure 6.17</w:t>
      </w:r>
      <w:r w:rsidRPr="00F148DD">
        <w:rPr>
          <w:rFonts w:cs="Times New Roman"/>
          <w:noProof/>
        </w:rPr>
        <w:t>. Stress–strain curves with different extensions of HBPE and HBPE/P-rGO nanocomposite (0.5 wt.%).</w:t>
      </w:r>
      <w:r w:rsidRPr="00F148DD">
        <w:rPr>
          <w:noProof/>
        </w:rPr>
        <w:tab/>
      </w:r>
      <w:r w:rsidRPr="00F148DD">
        <w:rPr>
          <w:noProof/>
        </w:rPr>
        <w:fldChar w:fldCharType="begin"/>
      </w:r>
      <w:r w:rsidRPr="00F148DD">
        <w:rPr>
          <w:noProof/>
        </w:rPr>
        <w:instrText xml:space="preserve"> PAGEREF _Toc518823433 \h </w:instrText>
      </w:r>
      <w:r w:rsidRPr="00F148DD">
        <w:rPr>
          <w:noProof/>
        </w:rPr>
      </w:r>
      <w:r w:rsidRPr="00F148DD">
        <w:rPr>
          <w:noProof/>
        </w:rPr>
        <w:fldChar w:fldCharType="separate"/>
      </w:r>
      <w:r w:rsidRPr="00F148DD">
        <w:rPr>
          <w:noProof/>
        </w:rPr>
        <w:t>159</w:t>
      </w:r>
      <w:r w:rsidRPr="00F148DD">
        <w:rPr>
          <w:noProof/>
        </w:rPr>
        <w:fldChar w:fldCharType="end"/>
      </w:r>
    </w:p>
    <w:p w14:paraId="0590B3F3" w14:textId="0C398509" w:rsidR="00F148DD" w:rsidRPr="00F148DD" w:rsidRDefault="00F148DD">
      <w:pPr>
        <w:pStyle w:val="TableofFigures"/>
        <w:tabs>
          <w:tab w:val="right" w:leader="dot" w:pos="9350"/>
        </w:tabs>
        <w:rPr>
          <w:noProof/>
          <w:lang w:val="en-GB"/>
        </w:rPr>
      </w:pPr>
      <w:r w:rsidRPr="00F148DD">
        <w:rPr>
          <w:noProof/>
        </w:rPr>
        <w:t>Figure 6.18</w:t>
      </w:r>
      <w:r w:rsidRPr="00F148DD">
        <w:rPr>
          <w:rFonts w:cs="Times New Roman"/>
          <w:noProof/>
        </w:rPr>
        <w:t>. Stress–strain curve of cyclic fatigue test: (a) HBPE, (b) 0.01 wt.%, (c) 0.1 wt.%, and (d) 0.5 wt.%.</w:t>
      </w:r>
      <w:r w:rsidRPr="00F148DD">
        <w:rPr>
          <w:noProof/>
        </w:rPr>
        <w:tab/>
      </w:r>
      <w:r w:rsidRPr="00F148DD">
        <w:rPr>
          <w:noProof/>
        </w:rPr>
        <w:fldChar w:fldCharType="begin"/>
      </w:r>
      <w:r w:rsidRPr="00F148DD">
        <w:rPr>
          <w:noProof/>
        </w:rPr>
        <w:instrText xml:space="preserve"> PAGEREF _Toc518823434 \h </w:instrText>
      </w:r>
      <w:r w:rsidRPr="00F148DD">
        <w:rPr>
          <w:noProof/>
        </w:rPr>
      </w:r>
      <w:r w:rsidRPr="00F148DD">
        <w:rPr>
          <w:noProof/>
        </w:rPr>
        <w:fldChar w:fldCharType="separate"/>
      </w:r>
      <w:r w:rsidRPr="00F148DD">
        <w:rPr>
          <w:noProof/>
        </w:rPr>
        <w:t>161</w:t>
      </w:r>
      <w:r w:rsidRPr="00F148DD">
        <w:rPr>
          <w:noProof/>
        </w:rPr>
        <w:fldChar w:fldCharType="end"/>
      </w:r>
    </w:p>
    <w:p w14:paraId="1B543192" w14:textId="2BAAAF71" w:rsidR="00F148DD" w:rsidRPr="00F148DD" w:rsidRDefault="00F148DD">
      <w:pPr>
        <w:pStyle w:val="TableofFigures"/>
        <w:tabs>
          <w:tab w:val="right" w:leader="dot" w:pos="9350"/>
        </w:tabs>
        <w:rPr>
          <w:noProof/>
          <w:lang w:val="en-GB"/>
        </w:rPr>
      </w:pPr>
      <w:r w:rsidRPr="00F148DD">
        <w:rPr>
          <w:noProof/>
        </w:rPr>
        <w:t>Figure 6.19</w:t>
      </w:r>
      <w:r w:rsidRPr="00F148DD">
        <w:rPr>
          <w:rFonts w:cs="Times New Roman"/>
          <w:noProof/>
        </w:rPr>
        <w:t>. Glass transition temperature Tg determined from Tan δ curves.</w:t>
      </w:r>
      <w:r w:rsidRPr="00F148DD">
        <w:rPr>
          <w:noProof/>
        </w:rPr>
        <w:tab/>
      </w:r>
      <w:r w:rsidRPr="00F148DD">
        <w:rPr>
          <w:noProof/>
        </w:rPr>
        <w:fldChar w:fldCharType="begin"/>
      </w:r>
      <w:r w:rsidRPr="00F148DD">
        <w:rPr>
          <w:noProof/>
        </w:rPr>
        <w:instrText xml:space="preserve"> PAGEREF _Toc518823435 \h </w:instrText>
      </w:r>
      <w:r w:rsidRPr="00F148DD">
        <w:rPr>
          <w:noProof/>
        </w:rPr>
      </w:r>
      <w:r w:rsidRPr="00F148DD">
        <w:rPr>
          <w:noProof/>
        </w:rPr>
        <w:fldChar w:fldCharType="separate"/>
      </w:r>
      <w:r w:rsidRPr="00F148DD">
        <w:rPr>
          <w:noProof/>
        </w:rPr>
        <w:t>162</w:t>
      </w:r>
      <w:r w:rsidRPr="00F148DD">
        <w:rPr>
          <w:noProof/>
        </w:rPr>
        <w:fldChar w:fldCharType="end"/>
      </w:r>
    </w:p>
    <w:p w14:paraId="07FE5BAD" w14:textId="6FB5F0CE" w:rsidR="00F148DD" w:rsidRPr="00F148DD" w:rsidRDefault="00F148DD">
      <w:pPr>
        <w:pStyle w:val="TableofFigures"/>
        <w:tabs>
          <w:tab w:val="right" w:leader="dot" w:pos="9350"/>
        </w:tabs>
        <w:rPr>
          <w:noProof/>
          <w:lang w:val="en-GB"/>
        </w:rPr>
      </w:pPr>
      <w:r w:rsidRPr="00F148DD">
        <w:rPr>
          <w:noProof/>
        </w:rPr>
        <w:t>Figure 6.20</w:t>
      </w:r>
      <w:r w:rsidRPr="00F148DD">
        <w:rPr>
          <w:rFonts w:cs="Times New Roman"/>
          <w:noProof/>
        </w:rPr>
        <w:t>.  TGA curves of (a) GO, P-rGO, and PPD, and (b) HBPE and HBPE/P-rGO nanocomposites with different loadings.</w:t>
      </w:r>
      <w:r w:rsidRPr="00F148DD">
        <w:rPr>
          <w:noProof/>
        </w:rPr>
        <w:tab/>
      </w:r>
      <w:r w:rsidRPr="00F148DD">
        <w:rPr>
          <w:noProof/>
        </w:rPr>
        <w:fldChar w:fldCharType="begin"/>
      </w:r>
      <w:r w:rsidRPr="00F148DD">
        <w:rPr>
          <w:noProof/>
        </w:rPr>
        <w:instrText xml:space="preserve"> PAGEREF _Toc518823436 \h </w:instrText>
      </w:r>
      <w:r w:rsidRPr="00F148DD">
        <w:rPr>
          <w:noProof/>
        </w:rPr>
      </w:r>
      <w:r w:rsidRPr="00F148DD">
        <w:rPr>
          <w:noProof/>
        </w:rPr>
        <w:fldChar w:fldCharType="separate"/>
      </w:r>
      <w:r w:rsidRPr="00F148DD">
        <w:rPr>
          <w:noProof/>
        </w:rPr>
        <w:t>163</w:t>
      </w:r>
      <w:r w:rsidRPr="00F148DD">
        <w:rPr>
          <w:noProof/>
        </w:rPr>
        <w:fldChar w:fldCharType="end"/>
      </w:r>
    </w:p>
    <w:p w14:paraId="440FA0B6" w14:textId="4FC1DA27" w:rsidR="00F148DD" w:rsidRPr="00F148DD" w:rsidRDefault="00F148DD">
      <w:pPr>
        <w:pStyle w:val="TableofFigures"/>
        <w:tabs>
          <w:tab w:val="right" w:leader="dot" w:pos="9350"/>
        </w:tabs>
        <w:rPr>
          <w:noProof/>
          <w:lang w:val="en-GB"/>
        </w:rPr>
      </w:pPr>
      <w:r w:rsidRPr="00F148DD">
        <w:rPr>
          <w:noProof/>
        </w:rPr>
        <w:t>Figure 6.21</w:t>
      </w:r>
      <w:r w:rsidRPr="00F148DD">
        <w:rPr>
          <w:rFonts w:cs="Times New Roman"/>
          <w:noProof/>
        </w:rPr>
        <w:t>. Self-healing properties: Stress–strain properties of HBPE and HBPE/P-rGO nanocomposites.</w:t>
      </w:r>
      <w:r w:rsidRPr="00F148DD">
        <w:rPr>
          <w:noProof/>
        </w:rPr>
        <w:tab/>
      </w:r>
      <w:r w:rsidRPr="00F148DD">
        <w:rPr>
          <w:noProof/>
        </w:rPr>
        <w:fldChar w:fldCharType="begin"/>
      </w:r>
      <w:r w:rsidRPr="00F148DD">
        <w:rPr>
          <w:noProof/>
        </w:rPr>
        <w:instrText xml:space="preserve"> PAGEREF _Toc518823437 \h </w:instrText>
      </w:r>
      <w:r w:rsidRPr="00F148DD">
        <w:rPr>
          <w:noProof/>
        </w:rPr>
      </w:r>
      <w:r w:rsidRPr="00F148DD">
        <w:rPr>
          <w:noProof/>
        </w:rPr>
        <w:fldChar w:fldCharType="separate"/>
      </w:r>
      <w:r w:rsidRPr="00F148DD">
        <w:rPr>
          <w:noProof/>
        </w:rPr>
        <w:t>166</w:t>
      </w:r>
      <w:r w:rsidRPr="00F148DD">
        <w:rPr>
          <w:noProof/>
        </w:rPr>
        <w:fldChar w:fldCharType="end"/>
      </w:r>
    </w:p>
    <w:p w14:paraId="2DA65EA0" w14:textId="2180EA60" w:rsidR="00EB703A" w:rsidRPr="00F148DD" w:rsidRDefault="00EB703A" w:rsidP="00EB703A">
      <w:pPr>
        <w:pStyle w:val="NoSpacing"/>
        <w:rPr>
          <w:rFonts w:asciiTheme="minorHAnsi" w:eastAsiaTheme="minorEastAsia" w:hAnsiTheme="minorHAnsi"/>
          <w:b w:val="0"/>
          <w:sz w:val="22"/>
        </w:rPr>
      </w:pPr>
      <w:r w:rsidRPr="00F148DD">
        <w:rPr>
          <w:rFonts w:asciiTheme="minorHAnsi" w:eastAsiaTheme="minorEastAsia" w:hAnsiTheme="minorHAnsi"/>
          <w:b w:val="0"/>
          <w:sz w:val="22"/>
        </w:rPr>
        <w:fldChar w:fldCharType="end"/>
      </w:r>
    </w:p>
    <w:p w14:paraId="36BB1553" w14:textId="1E989DF6" w:rsidR="0094775B" w:rsidRDefault="0094775B" w:rsidP="0094775B"/>
    <w:p w14:paraId="5FF0968B" w14:textId="2BCC4AD5" w:rsidR="0094775B" w:rsidRDefault="0094775B" w:rsidP="0094775B"/>
    <w:p w14:paraId="575F9C47" w14:textId="09FB33E7" w:rsidR="0094775B" w:rsidRDefault="0094775B" w:rsidP="0094775B"/>
    <w:p w14:paraId="1574BB83" w14:textId="062D466E" w:rsidR="0094775B" w:rsidRDefault="0094775B" w:rsidP="00E709EE">
      <w:pPr>
        <w:pStyle w:val="Heading1"/>
        <w:rPr>
          <w:sz w:val="50"/>
          <w:szCs w:val="50"/>
        </w:rPr>
        <w:sectPr w:rsidR="0094775B" w:rsidSect="0094775B">
          <w:footerReference w:type="default" r:id="rId10"/>
          <w:pgSz w:w="12240" w:h="15840"/>
          <w:pgMar w:top="1440" w:right="1440" w:bottom="1440" w:left="1440" w:header="720" w:footer="720" w:gutter="0"/>
          <w:pgNumType w:fmt="lowerRoman" w:start="1"/>
          <w:cols w:space="720"/>
          <w:docGrid w:linePitch="360"/>
        </w:sectPr>
      </w:pPr>
    </w:p>
    <w:p w14:paraId="3BA47400" w14:textId="77777777" w:rsidR="00EB703A" w:rsidRDefault="00EB703A">
      <w:pPr>
        <w:rPr>
          <w:rFonts w:ascii="Times New Roman" w:hAnsi="Times New Roman" w:cs="Times New Roman"/>
          <w:b/>
          <w:sz w:val="48"/>
          <w:szCs w:val="48"/>
        </w:rPr>
      </w:pPr>
      <w:r w:rsidRPr="00EB703A">
        <w:rPr>
          <w:rFonts w:ascii="Times New Roman" w:hAnsi="Times New Roman" w:cs="Times New Roman"/>
          <w:b/>
          <w:sz w:val="48"/>
          <w:szCs w:val="48"/>
        </w:rPr>
        <w:t>List of Tables</w:t>
      </w:r>
    </w:p>
    <w:p w14:paraId="0A7BB409" w14:textId="6CAEBB50" w:rsidR="00EB703A" w:rsidRPr="00F148DD" w:rsidRDefault="00EB703A" w:rsidP="00304442">
      <w:pPr>
        <w:pStyle w:val="TableofFigures"/>
        <w:tabs>
          <w:tab w:val="right" w:leader="dot" w:pos="9350"/>
        </w:tabs>
        <w:spacing w:line="360" w:lineRule="auto"/>
        <w:jc w:val="both"/>
        <w:rPr>
          <w:rFonts w:cs="Times New Roman"/>
          <w:noProof/>
          <w:szCs w:val="24"/>
          <w:lang w:val="en-GB"/>
        </w:rPr>
      </w:pPr>
      <w:r w:rsidRPr="00F148DD">
        <w:rPr>
          <w:rFonts w:cs="Times New Roman"/>
          <w:szCs w:val="24"/>
        </w:rPr>
        <w:fldChar w:fldCharType="begin"/>
      </w:r>
      <w:r w:rsidRPr="00F148DD">
        <w:rPr>
          <w:rFonts w:cs="Times New Roman"/>
          <w:szCs w:val="24"/>
        </w:rPr>
        <w:instrText xml:space="preserve"> TOC \h \z \c "Table 3." </w:instrText>
      </w:r>
      <w:r w:rsidRPr="00F148DD">
        <w:rPr>
          <w:rFonts w:cs="Times New Roman"/>
          <w:szCs w:val="24"/>
        </w:rPr>
        <w:fldChar w:fldCharType="separate"/>
      </w:r>
      <w:hyperlink w:anchor="_Toc502662887" w:history="1">
        <w:r w:rsidRPr="00F148DD">
          <w:rPr>
            <w:rStyle w:val="Hyperlink"/>
            <w:rFonts w:cs="Times New Roman"/>
            <w:noProof/>
            <w:szCs w:val="24"/>
          </w:rPr>
          <w:t xml:space="preserve">Table 3. 1. </w:t>
        </w:r>
        <w:r w:rsidRPr="00F148DD">
          <w:rPr>
            <w:rStyle w:val="Hyperlink"/>
            <w:rFonts w:cs="Times New Roman"/>
            <w:bCs/>
            <w:noProof/>
            <w:szCs w:val="24"/>
            <w:lang w:val="en-GB"/>
          </w:rPr>
          <w:t>Tensile properties of UPR, UPR-THF and UPR/GO films (prepared with THF, post cured).</w:t>
        </w:r>
        <w:r w:rsidRPr="00F148DD">
          <w:rPr>
            <w:rFonts w:cs="Times New Roman"/>
            <w:noProof/>
            <w:webHidden/>
            <w:szCs w:val="24"/>
          </w:rPr>
          <w:tab/>
        </w:r>
        <w:r w:rsidRPr="00F148DD">
          <w:rPr>
            <w:rFonts w:cs="Times New Roman"/>
            <w:noProof/>
            <w:webHidden/>
            <w:szCs w:val="24"/>
          </w:rPr>
          <w:fldChar w:fldCharType="begin"/>
        </w:r>
        <w:r w:rsidRPr="00F148DD">
          <w:rPr>
            <w:rFonts w:cs="Times New Roman"/>
            <w:noProof/>
            <w:webHidden/>
            <w:szCs w:val="24"/>
          </w:rPr>
          <w:instrText xml:space="preserve"> PAGEREF _Toc502662887 \h </w:instrText>
        </w:r>
        <w:r w:rsidRPr="00F148DD">
          <w:rPr>
            <w:rFonts w:cs="Times New Roman"/>
            <w:noProof/>
            <w:webHidden/>
            <w:szCs w:val="24"/>
          </w:rPr>
        </w:r>
        <w:r w:rsidRPr="00F148DD">
          <w:rPr>
            <w:rFonts w:cs="Times New Roman"/>
            <w:noProof/>
            <w:webHidden/>
            <w:szCs w:val="24"/>
          </w:rPr>
          <w:fldChar w:fldCharType="separate"/>
        </w:r>
        <w:r w:rsidR="00551ED9" w:rsidRPr="00F148DD">
          <w:rPr>
            <w:rFonts w:cs="Times New Roman"/>
            <w:noProof/>
            <w:webHidden/>
            <w:szCs w:val="24"/>
          </w:rPr>
          <w:t>57</w:t>
        </w:r>
        <w:r w:rsidRPr="00F148DD">
          <w:rPr>
            <w:rFonts w:cs="Times New Roman"/>
            <w:noProof/>
            <w:webHidden/>
            <w:szCs w:val="24"/>
          </w:rPr>
          <w:fldChar w:fldCharType="end"/>
        </w:r>
      </w:hyperlink>
    </w:p>
    <w:p w14:paraId="46B6783D" w14:textId="00695BF1" w:rsidR="00EB703A" w:rsidRPr="00F148DD" w:rsidRDefault="00B72F48" w:rsidP="00304442">
      <w:pPr>
        <w:pStyle w:val="TableofFigures"/>
        <w:tabs>
          <w:tab w:val="right" w:leader="dot" w:pos="9350"/>
        </w:tabs>
        <w:spacing w:line="360" w:lineRule="auto"/>
        <w:jc w:val="both"/>
        <w:rPr>
          <w:rFonts w:cs="Times New Roman"/>
          <w:noProof/>
          <w:szCs w:val="24"/>
          <w:lang w:val="en-GB"/>
        </w:rPr>
      </w:pPr>
      <w:hyperlink w:anchor="_Toc502662888" w:history="1">
        <w:r w:rsidR="00EB703A" w:rsidRPr="00F148DD">
          <w:rPr>
            <w:rStyle w:val="Hyperlink"/>
            <w:rFonts w:cs="Times New Roman"/>
            <w:noProof/>
            <w:szCs w:val="24"/>
          </w:rPr>
          <w:t xml:space="preserve">Table 3. 2. </w:t>
        </w:r>
        <w:r w:rsidR="00EB703A" w:rsidRPr="00F148DD">
          <w:rPr>
            <w:rStyle w:val="Hyperlink"/>
            <w:rFonts w:cs="Times New Roman"/>
            <w:bCs/>
            <w:noProof/>
            <w:szCs w:val="24"/>
            <w:lang w:val="en-GB"/>
          </w:rPr>
          <w:t>Tensile properties of UPR and UPR/GO nanocomposites (prepared without THF, non-post cured).</w:t>
        </w:r>
        <w:r w:rsidR="00EB703A" w:rsidRPr="00F148DD">
          <w:rPr>
            <w:rFonts w:cs="Times New Roman"/>
            <w:noProof/>
            <w:webHidden/>
            <w:szCs w:val="24"/>
          </w:rPr>
          <w:tab/>
        </w:r>
        <w:r w:rsidR="00EB703A" w:rsidRPr="00F148DD">
          <w:rPr>
            <w:rFonts w:cs="Times New Roman"/>
            <w:noProof/>
            <w:webHidden/>
            <w:szCs w:val="24"/>
          </w:rPr>
          <w:fldChar w:fldCharType="begin"/>
        </w:r>
        <w:r w:rsidR="00EB703A" w:rsidRPr="00F148DD">
          <w:rPr>
            <w:rFonts w:cs="Times New Roman"/>
            <w:noProof/>
            <w:webHidden/>
            <w:szCs w:val="24"/>
          </w:rPr>
          <w:instrText xml:space="preserve"> PAGEREF _Toc502662888 \h </w:instrText>
        </w:r>
        <w:r w:rsidR="00EB703A" w:rsidRPr="00F148DD">
          <w:rPr>
            <w:rFonts w:cs="Times New Roman"/>
            <w:noProof/>
            <w:webHidden/>
            <w:szCs w:val="24"/>
          </w:rPr>
        </w:r>
        <w:r w:rsidR="00EB703A" w:rsidRPr="00F148DD">
          <w:rPr>
            <w:rFonts w:cs="Times New Roman"/>
            <w:noProof/>
            <w:webHidden/>
            <w:szCs w:val="24"/>
          </w:rPr>
          <w:fldChar w:fldCharType="separate"/>
        </w:r>
        <w:r w:rsidR="00551ED9" w:rsidRPr="00F148DD">
          <w:rPr>
            <w:rFonts w:cs="Times New Roman"/>
            <w:noProof/>
            <w:webHidden/>
            <w:szCs w:val="24"/>
          </w:rPr>
          <w:t>60</w:t>
        </w:r>
        <w:r w:rsidR="00EB703A" w:rsidRPr="00F148DD">
          <w:rPr>
            <w:rFonts w:cs="Times New Roman"/>
            <w:noProof/>
            <w:webHidden/>
            <w:szCs w:val="24"/>
          </w:rPr>
          <w:fldChar w:fldCharType="end"/>
        </w:r>
      </w:hyperlink>
    </w:p>
    <w:p w14:paraId="612F9420" w14:textId="38C5F497" w:rsidR="00EB703A" w:rsidRPr="00F148DD" w:rsidRDefault="00B72F48" w:rsidP="00304442">
      <w:pPr>
        <w:pStyle w:val="TableofFigures"/>
        <w:tabs>
          <w:tab w:val="right" w:leader="dot" w:pos="9350"/>
        </w:tabs>
        <w:spacing w:line="360" w:lineRule="auto"/>
        <w:jc w:val="both"/>
        <w:rPr>
          <w:rFonts w:cs="Times New Roman"/>
          <w:noProof/>
          <w:szCs w:val="24"/>
          <w:lang w:val="en-GB"/>
        </w:rPr>
      </w:pPr>
      <w:hyperlink w:anchor="_Toc502662889" w:history="1">
        <w:r w:rsidR="00EB703A" w:rsidRPr="00F148DD">
          <w:rPr>
            <w:rStyle w:val="Hyperlink"/>
            <w:rFonts w:cs="Times New Roman"/>
            <w:noProof/>
            <w:szCs w:val="24"/>
          </w:rPr>
          <w:t xml:space="preserve">Table 3. 3. </w:t>
        </w:r>
        <w:r w:rsidR="00EB703A" w:rsidRPr="00F148DD">
          <w:rPr>
            <w:rStyle w:val="Hyperlink"/>
            <w:rFonts w:cs="Times New Roman"/>
            <w:bCs/>
            <w:noProof/>
            <w:szCs w:val="24"/>
            <w:lang w:val="en-GB"/>
          </w:rPr>
          <w:t>Tensile properties of UPR, and UPR/GO nanocomposites (no THF, post cured).</w:t>
        </w:r>
        <w:r w:rsidR="00EB703A" w:rsidRPr="00F148DD">
          <w:rPr>
            <w:rFonts w:cs="Times New Roman"/>
            <w:noProof/>
            <w:webHidden/>
            <w:szCs w:val="24"/>
          </w:rPr>
          <w:tab/>
        </w:r>
        <w:r w:rsidR="00EB703A" w:rsidRPr="00F148DD">
          <w:rPr>
            <w:rFonts w:cs="Times New Roman"/>
            <w:noProof/>
            <w:webHidden/>
            <w:szCs w:val="24"/>
          </w:rPr>
          <w:fldChar w:fldCharType="begin"/>
        </w:r>
        <w:r w:rsidR="00EB703A" w:rsidRPr="00F148DD">
          <w:rPr>
            <w:rFonts w:cs="Times New Roman"/>
            <w:noProof/>
            <w:webHidden/>
            <w:szCs w:val="24"/>
          </w:rPr>
          <w:instrText xml:space="preserve"> PAGEREF _Toc502662889 \h </w:instrText>
        </w:r>
        <w:r w:rsidR="00EB703A" w:rsidRPr="00F148DD">
          <w:rPr>
            <w:rFonts w:cs="Times New Roman"/>
            <w:noProof/>
            <w:webHidden/>
            <w:szCs w:val="24"/>
          </w:rPr>
        </w:r>
        <w:r w:rsidR="00EB703A" w:rsidRPr="00F148DD">
          <w:rPr>
            <w:rFonts w:cs="Times New Roman"/>
            <w:noProof/>
            <w:webHidden/>
            <w:szCs w:val="24"/>
          </w:rPr>
          <w:fldChar w:fldCharType="separate"/>
        </w:r>
        <w:r w:rsidR="00551ED9" w:rsidRPr="00F148DD">
          <w:rPr>
            <w:rFonts w:cs="Times New Roman"/>
            <w:noProof/>
            <w:webHidden/>
            <w:szCs w:val="24"/>
          </w:rPr>
          <w:t>61</w:t>
        </w:r>
        <w:r w:rsidR="00EB703A" w:rsidRPr="00F148DD">
          <w:rPr>
            <w:rFonts w:cs="Times New Roman"/>
            <w:noProof/>
            <w:webHidden/>
            <w:szCs w:val="24"/>
          </w:rPr>
          <w:fldChar w:fldCharType="end"/>
        </w:r>
      </w:hyperlink>
    </w:p>
    <w:p w14:paraId="795272E7" w14:textId="7F69C7D3" w:rsidR="00EB703A" w:rsidRPr="00F148DD" w:rsidRDefault="00B72F48" w:rsidP="00304442">
      <w:pPr>
        <w:pStyle w:val="TableofFigures"/>
        <w:tabs>
          <w:tab w:val="right" w:leader="dot" w:pos="9350"/>
        </w:tabs>
        <w:spacing w:line="360" w:lineRule="auto"/>
        <w:jc w:val="both"/>
        <w:rPr>
          <w:rFonts w:cs="Times New Roman"/>
          <w:noProof/>
          <w:szCs w:val="24"/>
          <w:lang w:val="en-GB"/>
        </w:rPr>
      </w:pPr>
      <w:hyperlink w:anchor="_Toc502662890" w:history="1">
        <w:r w:rsidR="00EB703A" w:rsidRPr="00F148DD">
          <w:rPr>
            <w:rStyle w:val="Hyperlink"/>
            <w:rFonts w:cs="Times New Roman"/>
            <w:noProof/>
            <w:szCs w:val="24"/>
          </w:rPr>
          <w:t xml:space="preserve">Table 3. 4. </w:t>
        </w:r>
        <w:r w:rsidR="00EB703A" w:rsidRPr="00F148DD">
          <w:rPr>
            <w:rStyle w:val="Hyperlink"/>
            <w:rFonts w:cs="Times New Roman"/>
            <w:bCs/>
            <w:noProof/>
            <w:szCs w:val="24"/>
            <w:lang w:val="en-GB"/>
          </w:rPr>
          <w:t>Dynamic mechanical properties of UPR/GO nanocomposites.</w:t>
        </w:r>
        <w:r w:rsidR="00EB703A" w:rsidRPr="00F148DD">
          <w:rPr>
            <w:rFonts w:cs="Times New Roman"/>
            <w:noProof/>
            <w:webHidden/>
            <w:szCs w:val="24"/>
          </w:rPr>
          <w:tab/>
        </w:r>
        <w:r w:rsidR="00EB703A" w:rsidRPr="00F148DD">
          <w:rPr>
            <w:rFonts w:cs="Times New Roman"/>
            <w:noProof/>
            <w:webHidden/>
            <w:szCs w:val="24"/>
          </w:rPr>
          <w:fldChar w:fldCharType="begin"/>
        </w:r>
        <w:r w:rsidR="00EB703A" w:rsidRPr="00F148DD">
          <w:rPr>
            <w:rFonts w:cs="Times New Roman"/>
            <w:noProof/>
            <w:webHidden/>
            <w:szCs w:val="24"/>
          </w:rPr>
          <w:instrText xml:space="preserve"> PAGEREF _Toc502662890 \h </w:instrText>
        </w:r>
        <w:r w:rsidR="00EB703A" w:rsidRPr="00F148DD">
          <w:rPr>
            <w:rFonts w:cs="Times New Roman"/>
            <w:noProof/>
            <w:webHidden/>
            <w:szCs w:val="24"/>
          </w:rPr>
        </w:r>
        <w:r w:rsidR="00EB703A" w:rsidRPr="00F148DD">
          <w:rPr>
            <w:rFonts w:cs="Times New Roman"/>
            <w:noProof/>
            <w:webHidden/>
            <w:szCs w:val="24"/>
          </w:rPr>
          <w:fldChar w:fldCharType="separate"/>
        </w:r>
        <w:r w:rsidR="00551ED9" w:rsidRPr="00F148DD">
          <w:rPr>
            <w:rFonts w:cs="Times New Roman"/>
            <w:noProof/>
            <w:webHidden/>
            <w:szCs w:val="24"/>
          </w:rPr>
          <w:t>67</w:t>
        </w:r>
        <w:r w:rsidR="00EB703A" w:rsidRPr="00F148DD">
          <w:rPr>
            <w:rFonts w:cs="Times New Roman"/>
            <w:noProof/>
            <w:webHidden/>
            <w:szCs w:val="24"/>
          </w:rPr>
          <w:fldChar w:fldCharType="end"/>
        </w:r>
      </w:hyperlink>
    </w:p>
    <w:p w14:paraId="466585CD" w14:textId="77777777" w:rsidR="00F148DD" w:rsidRPr="00F148DD" w:rsidRDefault="00EB703A" w:rsidP="00304442">
      <w:pPr>
        <w:spacing w:line="360" w:lineRule="auto"/>
        <w:jc w:val="both"/>
        <w:rPr>
          <w:noProof/>
        </w:rPr>
      </w:pPr>
      <w:r w:rsidRPr="00F148DD">
        <w:rPr>
          <w:rFonts w:cs="Times New Roman"/>
          <w:szCs w:val="24"/>
        </w:rPr>
        <w:fldChar w:fldCharType="end"/>
      </w:r>
      <w:r w:rsidRPr="00F148DD">
        <w:rPr>
          <w:rFonts w:cs="Times New Roman"/>
          <w:szCs w:val="24"/>
        </w:rPr>
        <w:fldChar w:fldCharType="begin"/>
      </w:r>
      <w:r w:rsidRPr="00F148DD">
        <w:rPr>
          <w:rFonts w:cs="Times New Roman"/>
          <w:szCs w:val="24"/>
        </w:rPr>
        <w:instrText xml:space="preserve"> TOC \c "Table 4." </w:instrText>
      </w:r>
      <w:r w:rsidRPr="00F148DD">
        <w:rPr>
          <w:rFonts w:cs="Times New Roman"/>
          <w:szCs w:val="24"/>
        </w:rPr>
        <w:fldChar w:fldCharType="separate"/>
      </w:r>
    </w:p>
    <w:p w14:paraId="3FCAE124" w14:textId="6523B8AD" w:rsidR="00F148DD" w:rsidRPr="00F148DD" w:rsidRDefault="00F148DD">
      <w:pPr>
        <w:pStyle w:val="TableofFigures"/>
        <w:tabs>
          <w:tab w:val="right" w:leader="dot" w:pos="9350"/>
        </w:tabs>
        <w:rPr>
          <w:noProof/>
          <w:lang w:val="en-GB"/>
        </w:rPr>
      </w:pPr>
      <w:r w:rsidRPr="00F148DD">
        <w:rPr>
          <w:noProof/>
        </w:rPr>
        <w:t>Table 4.1</w:t>
      </w:r>
      <w:r w:rsidRPr="00F148DD">
        <w:rPr>
          <w:rFonts w:cs="Times New Roman"/>
          <w:noProof/>
        </w:rPr>
        <w:t>. The values of C1s/O1s (atomic ratios) obtained by XPS survey spectra.</w:t>
      </w:r>
      <w:r w:rsidRPr="00F148DD">
        <w:rPr>
          <w:noProof/>
        </w:rPr>
        <w:tab/>
      </w:r>
      <w:r w:rsidRPr="00F148DD">
        <w:rPr>
          <w:noProof/>
        </w:rPr>
        <w:fldChar w:fldCharType="begin"/>
      </w:r>
      <w:r w:rsidRPr="00F148DD">
        <w:rPr>
          <w:noProof/>
        </w:rPr>
        <w:instrText xml:space="preserve"> PAGEREF _Toc518823485 \h </w:instrText>
      </w:r>
      <w:r w:rsidRPr="00F148DD">
        <w:rPr>
          <w:noProof/>
        </w:rPr>
      </w:r>
      <w:r w:rsidRPr="00F148DD">
        <w:rPr>
          <w:noProof/>
        </w:rPr>
        <w:fldChar w:fldCharType="separate"/>
      </w:r>
      <w:r w:rsidRPr="00F148DD">
        <w:rPr>
          <w:noProof/>
        </w:rPr>
        <w:t>82</w:t>
      </w:r>
      <w:r w:rsidRPr="00F148DD">
        <w:rPr>
          <w:noProof/>
        </w:rPr>
        <w:fldChar w:fldCharType="end"/>
      </w:r>
    </w:p>
    <w:p w14:paraId="652BE97C" w14:textId="6E890BB1" w:rsidR="00F148DD" w:rsidRPr="00F148DD" w:rsidRDefault="00F148DD">
      <w:pPr>
        <w:pStyle w:val="TableofFigures"/>
        <w:tabs>
          <w:tab w:val="right" w:leader="dot" w:pos="9350"/>
        </w:tabs>
        <w:rPr>
          <w:noProof/>
          <w:lang w:val="en-GB"/>
        </w:rPr>
      </w:pPr>
      <w:r w:rsidRPr="00F148DD">
        <w:rPr>
          <w:noProof/>
        </w:rPr>
        <w:t>Table 4.2</w:t>
      </w:r>
      <w:r w:rsidRPr="00F148DD">
        <w:rPr>
          <w:rFonts w:cs="Times New Roman"/>
          <w:noProof/>
        </w:rPr>
        <w:t>. Thermal conductivity of UPR and UPR/rGO composites.</w:t>
      </w:r>
      <w:r w:rsidRPr="00F148DD">
        <w:rPr>
          <w:noProof/>
        </w:rPr>
        <w:tab/>
      </w:r>
      <w:r w:rsidRPr="00F148DD">
        <w:rPr>
          <w:noProof/>
        </w:rPr>
        <w:fldChar w:fldCharType="begin"/>
      </w:r>
      <w:r w:rsidRPr="00F148DD">
        <w:rPr>
          <w:noProof/>
        </w:rPr>
        <w:instrText xml:space="preserve"> PAGEREF _Toc518823486 \h </w:instrText>
      </w:r>
      <w:r w:rsidRPr="00F148DD">
        <w:rPr>
          <w:noProof/>
        </w:rPr>
      </w:r>
      <w:r w:rsidRPr="00F148DD">
        <w:rPr>
          <w:noProof/>
        </w:rPr>
        <w:fldChar w:fldCharType="separate"/>
      </w:r>
      <w:r w:rsidRPr="00F148DD">
        <w:rPr>
          <w:noProof/>
        </w:rPr>
        <w:t>89</w:t>
      </w:r>
      <w:r w:rsidRPr="00F148DD">
        <w:rPr>
          <w:noProof/>
        </w:rPr>
        <w:fldChar w:fldCharType="end"/>
      </w:r>
    </w:p>
    <w:p w14:paraId="60A917DB" w14:textId="5074C03C" w:rsidR="00F148DD" w:rsidRPr="00F148DD" w:rsidRDefault="00F148DD">
      <w:pPr>
        <w:pStyle w:val="TableofFigures"/>
        <w:tabs>
          <w:tab w:val="right" w:leader="dot" w:pos="9350"/>
        </w:tabs>
        <w:rPr>
          <w:noProof/>
          <w:lang w:val="en-GB"/>
        </w:rPr>
      </w:pPr>
      <w:r w:rsidRPr="00F148DD">
        <w:rPr>
          <w:noProof/>
        </w:rPr>
        <w:t>Table 4.3</w:t>
      </w:r>
      <w:r w:rsidRPr="00F148DD">
        <w:rPr>
          <w:rFonts w:cs="Times New Roman"/>
          <w:noProof/>
        </w:rPr>
        <w:t>. Tensile properties of UPR, UPR-THF, and UPR/rGO composites.</w:t>
      </w:r>
      <w:r w:rsidRPr="00F148DD">
        <w:rPr>
          <w:noProof/>
        </w:rPr>
        <w:tab/>
      </w:r>
      <w:r w:rsidRPr="00F148DD">
        <w:rPr>
          <w:noProof/>
        </w:rPr>
        <w:fldChar w:fldCharType="begin"/>
      </w:r>
      <w:r w:rsidRPr="00F148DD">
        <w:rPr>
          <w:noProof/>
        </w:rPr>
        <w:instrText xml:space="preserve"> PAGEREF _Toc518823487 \h </w:instrText>
      </w:r>
      <w:r w:rsidRPr="00F148DD">
        <w:rPr>
          <w:noProof/>
        </w:rPr>
      </w:r>
      <w:r w:rsidRPr="00F148DD">
        <w:rPr>
          <w:noProof/>
        </w:rPr>
        <w:fldChar w:fldCharType="separate"/>
      </w:r>
      <w:r w:rsidRPr="00F148DD">
        <w:rPr>
          <w:noProof/>
        </w:rPr>
        <w:t>93</w:t>
      </w:r>
      <w:r w:rsidRPr="00F148DD">
        <w:rPr>
          <w:noProof/>
        </w:rPr>
        <w:fldChar w:fldCharType="end"/>
      </w:r>
    </w:p>
    <w:p w14:paraId="52051648" w14:textId="3395CA82" w:rsidR="00F148DD" w:rsidRPr="00F148DD" w:rsidRDefault="00F148DD">
      <w:pPr>
        <w:pStyle w:val="TableofFigures"/>
        <w:tabs>
          <w:tab w:val="right" w:leader="dot" w:pos="9350"/>
        </w:tabs>
        <w:rPr>
          <w:noProof/>
          <w:lang w:val="en-GB"/>
        </w:rPr>
      </w:pPr>
      <w:r w:rsidRPr="00F148DD">
        <w:rPr>
          <w:noProof/>
        </w:rPr>
        <w:t>Table 4.4</w:t>
      </w:r>
      <w:r w:rsidRPr="00F148DD">
        <w:rPr>
          <w:rFonts w:cs="Times New Roman"/>
          <w:noProof/>
        </w:rPr>
        <w:t>. Compressive properties of UPR and UPR/rGO composites.</w:t>
      </w:r>
      <w:r w:rsidRPr="00F148DD">
        <w:rPr>
          <w:noProof/>
        </w:rPr>
        <w:tab/>
      </w:r>
      <w:r w:rsidRPr="00F148DD">
        <w:rPr>
          <w:noProof/>
        </w:rPr>
        <w:fldChar w:fldCharType="begin"/>
      </w:r>
      <w:r w:rsidRPr="00F148DD">
        <w:rPr>
          <w:noProof/>
        </w:rPr>
        <w:instrText xml:space="preserve"> PAGEREF _Toc518823488 \h </w:instrText>
      </w:r>
      <w:r w:rsidRPr="00F148DD">
        <w:rPr>
          <w:noProof/>
        </w:rPr>
      </w:r>
      <w:r w:rsidRPr="00F148DD">
        <w:rPr>
          <w:noProof/>
        </w:rPr>
        <w:fldChar w:fldCharType="separate"/>
      </w:r>
      <w:r w:rsidRPr="00F148DD">
        <w:rPr>
          <w:noProof/>
        </w:rPr>
        <w:t>95</w:t>
      </w:r>
      <w:r w:rsidRPr="00F148DD">
        <w:rPr>
          <w:noProof/>
        </w:rPr>
        <w:fldChar w:fldCharType="end"/>
      </w:r>
    </w:p>
    <w:p w14:paraId="2834AD50" w14:textId="71ABCAAC" w:rsidR="00F148DD" w:rsidRPr="00F148DD" w:rsidRDefault="00F148DD">
      <w:pPr>
        <w:pStyle w:val="TableofFigures"/>
        <w:tabs>
          <w:tab w:val="right" w:leader="dot" w:pos="9350"/>
        </w:tabs>
        <w:rPr>
          <w:noProof/>
          <w:lang w:val="en-GB"/>
        </w:rPr>
      </w:pPr>
      <w:r w:rsidRPr="00F148DD">
        <w:rPr>
          <w:noProof/>
        </w:rPr>
        <w:t>Table 4. 5</w:t>
      </w:r>
      <w:r w:rsidRPr="00F148DD">
        <w:rPr>
          <w:rFonts w:cs="Times New Roman"/>
          <w:noProof/>
        </w:rPr>
        <w:t>. Dynamic mechanical properties of UPR/rGO composites.</w:t>
      </w:r>
      <w:r w:rsidRPr="00F148DD">
        <w:rPr>
          <w:noProof/>
        </w:rPr>
        <w:tab/>
      </w:r>
      <w:r w:rsidRPr="00F148DD">
        <w:rPr>
          <w:noProof/>
        </w:rPr>
        <w:fldChar w:fldCharType="begin"/>
      </w:r>
      <w:r w:rsidRPr="00F148DD">
        <w:rPr>
          <w:noProof/>
        </w:rPr>
        <w:instrText xml:space="preserve"> PAGEREF _Toc518823489 \h </w:instrText>
      </w:r>
      <w:r w:rsidRPr="00F148DD">
        <w:rPr>
          <w:noProof/>
        </w:rPr>
      </w:r>
      <w:r w:rsidRPr="00F148DD">
        <w:rPr>
          <w:noProof/>
        </w:rPr>
        <w:fldChar w:fldCharType="separate"/>
      </w:r>
      <w:r w:rsidRPr="00F148DD">
        <w:rPr>
          <w:noProof/>
        </w:rPr>
        <w:t>100</w:t>
      </w:r>
      <w:r w:rsidRPr="00F148DD">
        <w:rPr>
          <w:noProof/>
        </w:rPr>
        <w:fldChar w:fldCharType="end"/>
      </w:r>
    </w:p>
    <w:p w14:paraId="07E991C9" w14:textId="674AF819" w:rsidR="00F148DD" w:rsidRPr="00F148DD" w:rsidRDefault="00F148DD">
      <w:pPr>
        <w:pStyle w:val="TableofFigures"/>
        <w:tabs>
          <w:tab w:val="right" w:leader="dot" w:pos="9350"/>
        </w:tabs>
        <w:rPr>
          <w:noProof/>
          <w:lang w:val="en-GB"/>
        </w:rPr>
      </w:pPr>
      <w:r w:rsidRPr="00F148DD">
        <w:rPr>
          <w:noProof/>
        </w:rPr>
        <w:t>Table 4.6</w:t>
      </w:r>
      <w:r w:rsidRPr="00F148DD">
        <w:rPr>
          <w:rFonts w:cs="Times New Roman"/>
          <w:noProof/>
        </w:rPr>
        <w:t>. Thermal stability of UPR, and UPR/rGO composites.</w:t>
      </w:r>
      <w:r w:rsidRPr="00F148DD">
        <w:rPr>
          <w:noProof/>
        </w:rPr>
        <w:tab/>
      </w:r>
      <w:r w:rsidRPr="00F148DD">
        <w:rPr>
          <w:noProof/>
        </w:rPr>
        <w:fldChar w:fldCharType="begin"/>
      </w:r>
      <w:r w:rsidRPr="00F148DD">
        <w:rPr>
          <w:noProof/>
        </w:rPr>
        <w:instrText xml:space="preserve"> PAGEREF _Toc518823490 \h </w:instrText>
      </w:r>
      <w:r w:rsidRPr="00F148DD">
        <w:rPr>
          <w:noProof/>
        </w:rPr>
      </w:r>
      <w:r w:rsidRPr="00F148DD">
        <w:rPr>
          <w:noProof/>
        </w:rPr>
        <w:fldChar w:fldCharType="separate"/>
      </w:r>
      <w:r w:rsidRPr="00F148DD">
        <w:rPr>
          <w:noProof/>
        </w:rPr>
        <w:t>102</w:t>
      </w:r>
      <w:r w:rsidRPr="00F148DD">
        <w:rPr>
          <w:noProof/>
        </w:rPr>
        <w:fldChar w:fldCharType="end"/>
      </w:r>
    </w:p>
    <w:p w14:paraId="63F56A0A" w14:textId="77777777" w:rsidR="00F148DD" w:rsidRPr="00F148DD" w:rsidRDefault="00EB703A" w:rsidP="00304442">
      <w:pPr>
        <w:spacing w:line="360" w:lineRule="auto"/>
        <w:jc w:val="both"/>
        <w:rPr>
          <w:noProof/>
        </w:rPr>
      </w:pPr>
      <w:r w:rsidRPr="00F148DD">
        <w:rPr>
          <w:rFonts w:cs="Times New Roman"/>
          <w:szCs w:val="24"/>
        </w:rPr>
        <w:fldChar w:fldCharType="end"/>
      </w:r>
      <w:r w:rsidR="00304442" w:rsidRPr="00F148DD">
        <w:rPr>
          <w:rFonts w:cs="Times New Roman"/>
          <w:szCs w:val="24"/>
        </w:rPr>
        <w:fldChar w:fldCharType="begin"/>
      </w:r>
      <w:r w:rsidR="00304442" w:rsidRPr="00F148DD">
        <w:rPr>
          <w:rFonts w:cs="Times New Roman"/>
          <w:szCs w:val="24"/>
        </w:rPr>
        <w:instrText xml:space="preserve"> TOC \c "Table 5." </w:instrText>
      </w:r>
      <w:r w:rsidR="00304442" w:rsidRPr="00F148DD">
        <w:rPr>
          <w:rFonts w:cs="Times New Roman"/>
          <w:szCs w:val="24"/>
        </w:rPr>
        <w:fldChar w:fldCharType="separate"/>
      </w:r>
    </w:p>
    <w:p w14:paraId="58F1E609" w14:textId="22CA23DC" w:rsidR="00F148DD" w:rsidRPr="00F148DD" w:rsidRDefault="00F148DD">
      <w:pPr>
        <w:pStyle w:val="TableofFigures"/>
        <w:tabs>
          <w:tab w:val="right" w:leader="dot" w:pos="9350"/>
        </w:tabs>
        <w:rPr>
          <w:noProof/>
          <w:lang w:val="en-GB"/>
        </w:rPr>
      </w:pPr>
      <w:r w:rsidRPr="00F148DD">
        <w:rPr>
          <w:noProof/>
        </w:rPr>
        <w:t>Table 5.1</w:t>
      </w:r>
      <w:r w:rsidRPr="00F148DD">
        <w:rPr>
          <w:rFonts w:cs="Times New Roman"/>
          <w:noProof/>
        </w:rPr>
        <w:t>. Formulas for synthesis UPR, UPR/GO, UPR/rGO composites.</w:t>
      </w:r>
      <w:r w:rsidRPr="00F148DD">
        <w:rPr>
          <w:noProof/>
        </w:rPr>
        <w:tab/>
      </w:r>
      <w:r w:rsidRPr="00F148DD">
        <w:rPr>
          <w:noProof/>
        </w:rPr>
        <w:fldChar w:fldCharType="begin"/>
      </w:r>
      <w:r w:rsidRPr="00F148DD">
        <w:rPr>
          <w:noProof/>
        </w:rPr>
        <w:instrText xml:space="preserve"> PAGEREF _Toc518823481 \h </w:instrText>
      </w:r>
      <w:r w:rsidRPr="00F148DD">
        <w:rPr>
          <w:noProof/>
        </w:rPr>
      </w:r>
      <w:r w:rsidRPr="00F148DD">
        <w:rPr>
          <w:noProof/>
        </w:rPr>
        <w:fldChar w:fldCharType="separate"/>
      </w:r>
      <w:r w:rsidRPr="00F148DD">
        <w:rPr>
          <w:noProof/>
        </w:rPr>
        <w:t>109</w:t>
      </w:r>
      <w:r w:rsidRPr="00F148DD">
        <w:rPr>
          <w:noProof/>
        </w:rPr>
        <w:fldChar w:fldCharType="end"/>
      </w:r>
    </w:p>
    <w:p w14:paraId="5312D065" w14:textId="13966061" w:rsidR="00F148DD" w:rsidRPr="00F148DD" w:rsidRDefault="00F148DD">
      <w:pPr>
        <w:pStyle w:val="TableofFigures"/>
        <w:tabs>
          <w:tab w:val="right" w:leader="dot" w:pos="9350"/>
        </w:tabs>
        <w:rPr>
          <w:noProof/>
          <w:lang w:val="en-GB"/>
        </w:rPr>
      </w:pPr>
      <w:r w:rsidRPr="00F148DD">
        <w:rPr>
          <w:noProof/>
        </w:rPr>
        <w:t>Table 5.2</w:t>
      </w:r>
      <w:r w:rsidRPr="00F148DD">
        <w:rPr>
          <w:rFonts w:cs="Times New Roman"/>
          <w:noProof/>
        </w:rPr>
        <w:t>. TGA results of UPR, UPR/GO, and UPR /rGO composites prepared by in situ method.</w:t>
      </w:r>
      <w:r w:rsidRPr="00F148DD">
        <w:rPr>
          <w:noProof/>
        </w:rPr>
        <w:tab/>
      </w:r>
      <w:r w:rsidRPr="00F148DD">
        <w:rPr>
          <w:noProof/>
        </w:rPr>
        <w:fldChar w:fldCharType="begin"/>
      </w:r>
      <w:r w:rsidRPr="00F148DD">
        <w:rPr>
          <w:noProof/>
        </w:rPr>
        <w:instrText xml:space="preserve"> PAGEREF _Toc518823482 \h </w:instrText>
      </w:r>
      <w:r w:rsidRPr="00F148DD">
        <w:rPr>
          <w:noProof/>
        </w:rPr>
      </w:r>
      <w:r w:rsidRPr="00F148DD">
        <w:rPr>
          <w:noProof/>
        </w:rPr>
        <w:fldChar w:fldCharType="separate"/>
      </w:r>
      <w:r w:rsidRPr="00F148DD">
        <w:rPr>
          <w:noProof/>
        </w:rPr>
        <w:t>116</w:t>
      </w:r>
      <w:r w:rsidRPr="00F148DD">
        <w:rPr>
          <w:noProof/>
        </w:rPr>
        <w:fldChar w:fldCharType="end"/>
      </w:r>
    </w:p>
    <w:p w14:paraId="13D18677" w14:textId="7C544171" w:rsidR="00F148DD" w:rsidRPr="00F148DD" w:rsidRDefault="00F148DD">
      <w:pPr>
        <w:pStyle w:val="TableofFigures"/>
        <w:tabs>
          <w:tab w:val="right" w:leader="dot" w:pos="9350"/>
        </w:tabs>
        <w:rPr>
          <w:noProof/>
          <w:lang w:val="en-GB"/>
        </w:rPr>
      </w:pPr>
      <w:r w:rsidRPr="00F148DD">
        <w:rPr>
          <w:noProof/>
        </w:rPr>
        <w:t>Table 5.3</w:t>
      </w:r>
      <w:r w:rsidRPr="00F148DD">
        <w:rPr>
          <w:rFonts w:cs="Times New Roman"/>
          <w:noProof/>
        </w:rPr>
        <w:t>. Dynamic mechanical properties of UPR-rGO composites.</w:t>
      </w:r>
      <w:r w:rsidRPr="00F148DD">
        <w:rPr>
          <w:noProof/>
        </w:rPr>
        <w:tab/>
      </w:r>
      <w:r w:rsidRPr="00F148DD">
        <w:rPr>
          <w:noProof/>
        </w:rPr>
        <w:fldChar w:fldCharType="begin"/>
      </w:r>
      <w:r w:rsidRPr="00F148DD">
        <w:rPr>
          <w:noProof/>
        </w:rPr>
        <w:instrText xml:space="preserve"> PAGEREF _Toc518823483 \h </w:instrText>
      </w:r>
      <w:r w:rsidRPr="00F148DD">
        <w:rPr>
          <w:noProof/>
        </w:rPr>
      </w:r>
      <w:r w:rsidRPr="00F148DD">
        <w:rPr>
          <w:noProof/>
        </w:rPr>
        <w:fldChar w:fldCharType="separate"/>
      </w:r>
      <w:r w:rsidRPr="00F148DD">
        <w:rPr>
          <w:noProof/>
        </w:rPr>
        <w:t>122</w:t>
      </w:r>
      <w:r w:rsidRPr="00F148DD">
        <w:rPr>
          <w:noProof/>
        </w:rPr>
        <w:fldChar w:fldCharType="end"/>
      </w:r>
    </w:p>
    <w:p w14:paraId="65E1AD65" w14:textId="77777777" w:rsidR="00F148DD" w:rsidRPr="00F148DD" w:rsidRDefault="00304442" w:rsidP="00304442">
      <w:pPr>
        <w:spacing w:line="360" w:lineRule="auto"/>
        <w:jc w:val="both"/>
        <w:rPr>
          <w:noProof/>
        </w:rPr>
      </w:pPr>
      <w:r w:rsidRPr="00F148DD">
        <w:rPr>
          <w:rFonts w:cs="Times New Roman"/>
          <w:szCs w:val="24"/>
        </w:rPr>
        <w:fldChar w:fldCharType="end"/>
      </w:r>
      <w:r w:rsidRPr="00F148DD">
        <w:rPr>
          <w:rFonts w:cs="Times New Roman"/>
          <w:szCs w:val="24"/>
        </w:rPr>
        <w:fldChar w:fldCharType="begin"/>
      </w:r>
      <w:r w:rsidRPr="00F148DD">
        <w:rPr>
          <w:rFonts w:cs="Times New Roman"/>
          <w:szCs w:val="24"/>
        </w:rPr>
        <w:instrText xml:space="preserve"> TOC \c "Table 6." </w:instrText>
      </w:r>
      <w:r w:rsidRPr="00F148DD">
        <w:rPr>
          <w:rFonts w:cs="Times New Roman"/>
          <w:szCs w:val="24"/>
        </w:rPr>
        <w:fldChar w:fldCharType="separate"/>
      </w:r>
    </w:p>
    <w:p w14:paraId="1DC5D6E2" w14:textId="18E87E3A" w:rsidR="00F148DD" w:rsidRPr="00F148DD" w:rsidRDefault="00F148DD">
      <w:pPr>
        <w:pStyle w:val="TableofFigures"/>
        <w:tabs>
          <w:tab w:val="right" w:leader="dot" w:pos="9350"/>
        </w:tabs>
        <w:rPr>
          <w:noProof/>
          <w:lang w:val="en-GB"/>
        </w:rPr>
      </w:pPr>
      <w:r w:rsidRPr="00F148DD">
        <w:rPr>
          <w:noProof/>
        </w:rPr>
        <w:t>Table 6.1</w:t>
      </w:r>
      <w:r w:rsidRPr="00F148DD">
        <w:rPr>
          <w:rFonts w:cs="Times New Roman"/>
          <w:noProof/>
        </w:rPr>
        <w:t>. The titration results of carboxylic acid groups.</w:t>
      </w:r>
      <w:r w:rsidRPr="00F148DD">
        <w:rPr>
          <w:noProof/>
        </w:rPr>
        <w:tab/>
      </w:r>
      <w:r w:rsidRPr="00F148DD">
        <w:rPr>
          <w:noProof/>
        </w:rPr>
        <w:fldChar w:fldCharType="begin"/>
      </w:r>
      <w:r w:rsidRPr="00F148DD">
        <w:rPr>
          <w:noProof/>
        </w:rPr>
        <w:instrText xml:space="preserve"> PAGEREF _Toc518823476 \h </w:instrText>
      </w:r>
      <w:r w:rsidRPr="00F148DD">
        <w:rPr>
          <w:noProof/>
        </w:rPr>
      </w:r>
      <w:r w:rsidRPr="00F148DD">
        <w:rPr>
          <w:noProof/>
        </w:rPr>
        <w:fldChar w:fldCharType="separate"/>
      </w:r>
      <w:r w:rsidRPr="00F148DD">
        <w:rPr>
          <w:noProof/>
        </w:rPr>
        <w:t>143</w:t>
      </w:r>
      <w:r w:rsidRPr="00F148DD">
        <w:rPr>
          <w:noProof/>
        </w:rPr>
        <w:fldChar w:fldCharType="end"/>
      </w:r>
    </w:p>
    <w:p w14:paraId="49D151C0" w14:textId="043A7BCB" w:rsidR="00F148DD" w:rsidRPr="00F148DD" w:rsidRDefault="00F148DD">
      <w:pPr>
        <w:pStyle w:val="TableofFigures"/>
        <w:tabs>
          <w:tab w:val="right" w:leader="dot" w:pos="9350"/>
        </w:tabs>
        <w:rPr>
          <w:noProof/>
          <w:lang w:val="en-GB"/>
        </w:rPr>
      </w:pPr>
      <w:r w:rsidRPr="00F148DD">
        <w:rPr>
          <w:noProof/>
        </w:rPr>
        <w:t>Table 6.2</w:t>
      </w:r>
      <w:r w:rsidRPr="00F148DD">
        <w:rPr>
          <w:rFonts w:cs="Times New Roman"/>
          <w:noProof/>
        </w:rPr>
        <w:t>. Summary of tensile properties of HBPE and HBPE/P-rGO composites.</w:t>
      </w:r>
      <w:r w:rsidRPr="00F148DD">
        <w:rPr>
          <w:noProof/>
        </w:rPr>
        <w:tab/>
      </w:r>
      <w:r w:rsidRPr="00F148DD">
        <w:rPr>
          <w:noProof/>
        </w:rPr>
        <w:fldChar w:fldCharType="begin"/>
      </w:r>
      <w:r w:rsidRPr="00F148DD">
        <w:rPr>
          <w:noProof/>
        </w:rPr>
        <w:instrText xml:space="preserve"> PAGEREF _Toc518823477 \h </w:instrText>
      </w:r>
      <w:r w:rsidRPr="00F148DD">
        <w:rPr>
          <w:noProof/>
        </w:rPr>
      </w:r>
      <w:r w:rsidRPr="00F148DD">
        <w:rPr>
          <w:noProof/>
        </w:rPr>
        <w:fldChar w:fldCharType="separate"/>
      </w:r>
      <w:r w:rsidRPr="00F148DD">
        <w:rPr>
          <w:noProof/>
        </w:rPr>
        <w:t>155</w:t>
      </w:r>
      <w:r w:rsidRPr="00F148DD">
        <w:rPr>
          <w:noProof/>
        </w:rPr>
        <w:fldChar w:fldCharType="end"/>
      </w:r>
    </w:p>
    <w:p w14:paraId="7E3A0EAF" w14:textId="2EE7B682" w:rsidR="00F148DD" w:rsidRPr="00F148DD" w:rsidRDefault="00F148DD">
      <w:pPr>
        <w:pStyle w:val="TableofFigures"/>
        <w:tabs>
          <w:tab w:val="right" w:leader="dot" w:pos="9350"/>
        </w:tabs>
        <w:rPr>
          <w:noProof/>
          <w:lang w:val="en-GB"/>
        </w:rPr>
      </w:pPr>
      <w:r w:rsidRPr="00F148DD">
        <w:rPr>
          <w:noProof/>
        </w:rPr>
        <w:t>Table 6.3</w:t>
      </w:r>
      <w:r w:rsidRPr="00F148DD">
        <w:rPr>
          <w:rFonts w:cs="Times New Roman"/>
          <w:noProof/>
        </w:rPr>
        <w:t>. Hysteresis behavior of HBPE and HBPE/P-rGO nanocomposites.</w:t>
      </w:r>
      <w:r w:rsidRPr="00F148DD">
        <w:rPr>
          <w:noProof/>
        </w:rPr>
        <w:tab/>
      </w:r>
      <w:r w:rsidRPr="00F148DD">
        <w:rPr>
          <w:noProof/>
        </w:rPr>
        <w:fldChar w:fldCharType="begin"/>
      </w:r>
      <w:r w:rsidRPr="00F148DD">
        <w:rPr>
          <w:noProof/>
        </w:rPr>
        <w:instrText xml:space="preserve"> PAGEREF _Toc518823478 \h </w:instrText>
      </w:r>
      <w:r w:rsidRPr="00F148DD">
        <w:rPr>
          <w:noProof/>
        </w:rPr>
      </w:r>
      <w:r w:rsidRPr="00F148DD">
        <w:rPr>
          <w:noProof/>
        </w:rPr>
        <w:fldChar w:fldCharType="separate"/>
      </w:r>
      <w:r w:rsidRPr="00F148DD">
        <w:rPr>
          <w:noProof/>
        </w:rPr>
        <w:t>157</w:t>
      </w:r>
      <w:r w:rsidRPr="00F148DD">
        <w:rPr>
          <w:noProof/>
        </w:rPr>
        <w:fldChar w:fldCharType="end"/>
      </w:r>
    </w:p>
    <w:p w14:paraId="14524AE9" w14:textId="0BF85E8A" w:rsidR="00F148DD" w:rsidRPr="00F148DD" w:rsidRDefault="00F148DD">
      <w:pPr>
        <w:pStyle w:val="TableofFigures"/>
        <w:tabs>
          <w:tab w:val="right" w:leader="dot" w:pos="9350"/>
        </w:tabs>
        <w:rPr>
          <w:noProof/>
          <w:lang w:val="en-GB"/>
        </w:rPr>
      </w:pPr>
      <w:r w:rsidRPr="00F148DD">
        <w:rPr>
          <w:noProof/>
        </w:rPr>
        <w:t>Table 6.4</w:t>
      </w:r>
      <w:r w:rsidRPr="00F148DD">
        <w:rPr>
          <w:rFonts w:cs="Times New Roman"/>
          <w:noProof/>
        </w:rPr>
        <w:t>. The hysteresis ratio of HBPE and 0.5 wt.% HBPE/P-RGO at various extensions</w:t>
      </w:r>
      <w:r w:rsidRPr="00F148DD">
        <w:rPr>
          <w:noProof/>
        </w:rPr>
        <w:tab/>
      </w:r>
      <w:r w:rsidRPr="00F148DD">
        <w:rPr>
          <w:noProof/>
        </w:rPr>
        <w:fldChar w:fldCharType="begin"/>
      </w:r>
      <w:r w:rsidRPr="00F148DD">
        <w:rPr>
          <w:noProof/>
        </w:rPr>
        <w:instrText xml:space="preserve"> PAGEREF _Toc518823479 \h </w:instrText>
      </w:r>
      <w:r w:rsidRPr="00F148DD">
        <w:rPr>
          <w:noProof/>
        </w:rPr>
      </w:r>
      <w:r w:rsidRPr="00F148DD">
        <w:rPr>
          <w:noProof/>
        </w:rPr>
        <w:fldChar w:fldCharType="separate"/>
      </w:r>
      <w:r w:rsidRPr="00F148DD">
        <w:rPr>
          <w:noProof/>
        </w:rPr>
        <w:t>159</w:t>
      </w:r>
      <w:r w:rsidRPr="00F148DD">
        <w:rPr>
          <w:noProof/>
        </w:rPr>
        <w:fldChar w:fldCharType="end"/>
      </w:r>
    </w:p>
    <w:p w14:paraId="34107F86" w14:textId="2BC7A6BC" w:rsidR="00F148DD" w:rsidRPr="00F148DD" w:rsidRDefault="00F148DD">
      <w:pPr>
        <w:pStyle w:val="TableofFigures"/>
        <w:tabs>
          <w:tab w:val="right" w:leader="dot" w:pos="9350"/>
        </w:tabs>
        <w:rPr>
          <w:noProof/>
          <w:lang w:val="en-GB"/>
        </w:rPr>
      </w:pPr>
      <w:r w:rsidRPr="00F148DD">
        <w:rPr>
          <w:noProof/>
        </w:rPr>
        <w:t>Table 6.5</w:t>
      </w:r>
      <w:r w:rsidRPr="00F148DD">
        <w:rPr>
          <w:rFonts w:cs="Times New Roman"/>
          <w:noProof/>
        </w:rPr>
        <w:t>. Summary of self-healing properties of HBPE and HBPE/P-rGO nanocomposites at different P-rGO loadings.</w:t>
      </w:r>
      <w:r w:rsidRPr="00F148DD">
        <w:rPr>
          <w:noProof/>
        </w:rPr>
        <w:tab/>
      </w:r>
      <w:r w:rsidRPr="00F148DD">
        <w:rPr>
          <w:noProof/>
        </w:rPr>
        <w:fldChar w:fldCharType="begin"/>
      </w:r>
      <w:r w:rsidRPr="00F148DD">
        <w:rPr>
          <w:noProof/>
        </w:rPr>
        <w:instrText xml:space="preserve"> PAGEREF _Toc518823480 \h </w:instrText>
      </w:r>
      <w:r w:rsidRPr="00F148DD">
        <w:rPr>
          <w:noProof/>
        </w:rPr>
      </w:r>
      <w:r w:rsidRPr="00F148DD">
        <w:rPr>
          <w:noProof/>
        </w:rPr>
        <w:fldChar w:fldCharType="separate"/>
      </w:r>
      <w:r w:rsidRPr="00F148DD">
        <w:rPr>
          <w:noProof/>
        </w:rPr>
        <w:t>167</w:t>
      </w:r>
      <w:r w:rsidRPr="00F148DD">
        <w:rPr>
          <w:noProof/>
        </w:rPr>
        <w:fldChar w:fldCharType="end"/>
      </w:r>
    </w:p>
    <w:p w14:paraId="3C14DCA0" w14:textId="5C2A3C99" w:rsidR="00EB703A" w:rsidRPr="00EB703A" w:rsidRDefault="00304442" w:rsidP="00304442">
      <w:pPr>
        <w:spacing w:line="360" w:lineRule="auto"/>
        <w:jc w:val="both"/>
        <w:rPr>
          <w:rFonts w:ascii="Times New Roman" w:eastAsiaTheme="majorEastAsia" w:hAnsi="Times New Roman" w:cs="Times New Roman"/>
          <w:b/>
          <w:color w:val="000000" w:themeColor="text1"/>
          <w:sz w:val="48"/>
          <w:szCs w:val="48"/>
        </w:rPr>
      </w:pPr>
      <w:r w:rsidRPr="00F148DD">
        <w:rPr>
          <w:rFonts w:cs="Times New Roman"/>
          <w:szCs w:val="24"/>
        </w:rPr>
        <w:fldChar w:fldCharType="end"/>
      </w:r>
      <w:r w:rsidR="00EB703A" w:rsidRPr="00EB703A">
        <w:rPr>
          <w:rFonts w:ascii="Times New Roman" w:hAnsi="Times New Roman" w:cs="Times New Roman"/>
          <w:b/>
          <w:sz w:val="48"/>
          <w:szCs w:val="48"/>
        </w:rPr>
        <w:br w:type="page"/>
      </w:r>
    </w:p>
    <w:p w14:paraId="371A6804" w14:textId="60085E41" w:rsidR="00DA3449" w:rsidRDefault="00985F31" w:rsidP="001733A4">
      <w:pPr>
        <w:pStyle w:val="Heading1"/>
        <w:rPr>
          <w:sz w:val="50"/>
          <w:szCs w:val="50"/>
        </w:rPr>
      </w:pPr>
      <w:bookmarkStart w:id="1" w:name="_Toc518823221"/>
      <w:r w:rsidRPr="00E709EE">
        <w:rPr>
          <w:sz w:val="50"/>
          <w:szCs w:val="50"/>
        </w:rPr>
        <w:t>Chapter 1: Introduction</w:t>
      </w:r>
      <w:bookmarkEnd w:id="1"/>
    </w:p>
    <w:p w14:paraId="2BA2F6FD" w14:textId="77777777" w:rsidR="001733A4" w:rsidRPr="001733A4" w:rsidRDefault="001733A4" w:rsidP="001733A4"/>
    <w:p w14:paraId="2950AD4A" w14:textId="4379636A" w:rsidR="00985F31" w:rsidRDefault="00985F31" w:rsidP="00985F31">
      <w:pPr>
        <w:spacing w:line="480" w:lineRule="auto"/>
        <w:jc w:val="both"/>
        <w:rPr>
          <w:rFonts w:asciiTheme="majorBidi" w:hAnsiTheme="majorBidi" w:cstheme="majorBidi"/>
          <w:bCs/>
          <w:sz w:val="24"/>
          <w:szCs w:val="24"/>
        </w:rPr>
      </w:pPr>
      <w:r>
        <w:rPr>
          <w:rFonts w:ascii="Times New Roman" w:hAnsi="Times New Roman" w:cs="Times New Roman"/>
          <w:sz w:val="24"/>
          <w:szCs w:val="24"/>
        </w:rPr>
        <w:t xml:space="preserve">Polymer nanocomposites are defined as a polymer composite in which reinforcement go down to nanoscales (e.g. 10-100 nm) </w:t>
      </w:r>
      <w:r>
        <w:rPr>
          <w:rFonts w:asciiTheme="majorBidi" w:hAnsiTheme="majorBidi" w:cstheme="majorBidi"/>
          <w:bCs/>
          <w:sz w:val="24"/>
          <w:szCs w:val="24"/>
        </w:rPr>
        <w:fldChar w:fldCharType="begin" w:fldLock="1"/>
      </w:r>
      <w:r>
        <w:rPr>
          <w:rFonts w:asciiTheme="majorBidi" w:hAnsiTheme="majorBidi" w:cstheme="majorBidi"/>
          <w:bCs/>
          <w:sz w:val="24"/>
          <w:szCs w:val="24"/>
        </w:rPr>
        <w:instrText>ADDIN CSL_CITATION { "citationItems" : [ { "id" : "ITEM-1", "itemData" : { "DOI" : "10.1016/S0266-3538(03)00178-7", "ISSN" : "02663538", "author" : [ { "dropping-particle" : "", "family" : "Huang", "given" : "Zheng-Ming", "non-dropping-particle" : "", "parse-names" : false, "suffix" : "" }, { "dropping-particle" : "", "family" : "Zhang", "given" : "Y.-Z.", "non-dropping-particle" : "", "parse-names" : false, "suffix" : "" }, { "dropping-particle" : "", "family" : "Kotaki", "given" : "M.", "non-dropping-particle" : "", "parse-names" : false, "suffix" : "" }, { "dropping-particle" : "", "family" : "Ramakrishna", "given" : "S.", "non-dropping-particle" : "", "parse-names" : false, "suffix" : "" } ], "container-title" : "Composites Science and Technology", "id" : "ITEM-1", "issued" : { "date-parts" : [ [ "2003", "11" ] ] }, "page" : "2223-2253", "title" : "A review on polymer nanofibers by electrospinning and their applications in nanocomposites", "type" : "article-journal", "volume" : "63" }, "uris" : [ "http://www.mendeley.com/documents/?uuid=63aff332-4539-45e0-ac47-17b1be2e4558" ] } ], "mendeley" : { "formattedCitation" : "[1]", "plainTextFormattedCitation" : "[1]", "previouslyFormattedCitation" : "[1]" }, "properties" : {  }, "schema" : "https://github.com/citation-style-language/schema/raw/master/csl-citation.json" }</w:instrText>
      </w:r>
      <w:r>
        <w:rPr>
          <w:rFonts w:asciiTheme="majorBidi" w:hAnsiTheme="majorBidi" w:cstheme="majorBidi"/>
          <w:bCs/>
          <w:sz w:val="24"/>
          <w:szCs w:val="24"/>
        </w:rPr>
        <w:fldChar w:fldCharType="separate"/>
      </w:r>
      <w:r w:rsidRPr="00A334C0">
        <w:rPr>
          <w:rFonts w:asciiTheme="majorBidi" w:hAnsiTheme="majorBidi" w:cstheme="majorBidi"/>
          <w:bCs/>
          <w:noProof/>
          <w:sz w:val="24"/>
          <w:szCs w:val="24"/>
        </w:rPr>
        <w:t>[1]</w:t>
      </w:r>
      <w:r>
        <w:rPr>
          <w:rFonts w:asciiTheme="majorBidi" w:hAnsiTheme="majorBidi" w:cstheme="majorBidi"/>
          <w:bCs/>
          <w:sz w:val="24"/>
          <w:szCs w:val="24"/>
        </w:rPr>
        <w:fldChar w:fldCharType="end"/>
      </w:r>
      <w:r>
        <w:rPr>
          <w:rFonts w:asciiTheme="majorBidi" w:hAnsiTheme="majorBidi" w:cstheme="majorBidi"/>
          <w:bCs/>
          <w:sz w:val="24"/>
          <w:szCs w:val="24"/>
        </w:rPr>
        <w:t xml:space="preserve">. Since it was first discovered by Toyota research group, </w:t>
      </w:r>
      <w:r w:rsidR="00FE5EDF">
        <w:rPr>
          <w:rFonts w:asciiTheme="majorBidi" w:hAnsiTheme="majorBidi" w:cstheme="majorBidi"/>
          <w:bCs/>
          <w:sz w:val="24"/>
          <w:szCs w:val="24"/>
        </w:rPr>
        <w:t>it has opened a new dimension i</w:t>
      </w:r>
      <w:r w:rsidR="00FE5EDF">
        <w:rPr>
          <w:rFonts w:asciiTheme="majorBidi" w:hAnsiTheme="majorBidi" w:cstheme="majorBidi" w:hint="eastAsia"/>
          <w:bCs/>
          <w:sz w:val="24"/>
          <w:szCs w:val="24"/>
        </w:rPr>
        <w:t>n</w:t>
      </w:r>
      <w:r>
        <w:rPr>
          <w:rFonts w:asciiTheme="majorBidi" w:hAnsiTheme="majorBidi" w:cstheme="majorBidi"/>
          <w:bCs/>
          <w:sz w:val="24"/>
          <w:szCs w:val="24"/>
        </w:rPr>
        <w:t xml:space="preserve"> the field of material science </w:t>
      </w:r>
      <w:r>
        <w:rPr>
          <w:rFonts w:asciiTheme="majorBidi" w:hAnsiTheme="majorBidi" w:cstheme="majorBidi"/>
          <w:bCs/>
          <w:sz w:val="24"/>
          <w:szCs w:val="24"/>
        </w:rPr>
        <w:fldChar w:fldCharType="begin" w:fldLock="1"/>
      </w:r>
      <w:r>
        <w:rPr>
          <w:rFonts w:asciiTheme="majorBidi" w:hAnsiTheme="majorBidi" w:cstheme="majorBidi"/>
          <w:bCs/>
          <w:sz w:val="24"/>
          <w:szCs w:val="24"/>
        </w:rPr>
        <w:instrText>ADDIN CSL_CITATION { "citationItems" : [ { "id" : "ITEM-1", "itemData" : { "author" : [ { "dropping-particle" : "", "family" : "Okada A, KawasumiM, Usuki A, Kojima Y, Kurauchi T", "given" : "Kamigaito O", "non-dropping-particle" : "", "parse-names" : false, "suffix" : "" } ], "container-title" : "Polymer based molecular composites", "editor" : [ { "dropping-particle" : "", "family" : "DW", "given" : "Schaefer", "non-dropping-particle" : "", "parse-names" : false, "suffix" : "" }, { "dropping-particle" : "", "family" : "JE", "given" : "Mark", "non-dropping-particle" : "", "parse-names" : false, "suffix" : "" } ], "id" : "ITEM-1", "issued" : { "date-parts" : [ [ "1990" ] ] }, "page" : "45-50", "publisher" : "Materials Research Society", "title" : "Synthesis and properties of nylon-6/clay hybrids", "type" : "chapter" }, "uris" : [ "http://www.mendeley.com/documents/?uuid=0d7abaaf-df3a-4e95-bd8f-4b1445ea5100" ] } ], "mendeley" : { "formattedCitation" : "[2]", "plainTextFormattedCitation" : "[2]", "previouslyFormattedCitation" : "[2]" }, "properties" : {  }, "schema" : "https://github.com/citation-style-language/schema/raw/master/csl-citation.json" }</w:instrText>
      </w:r>
      <w:r>
        <w:rPr>
          <w:rFonts w:asciiTheme="majorBidi" w:hAnsiTheme="majorBidi" w:cstheme="majorBidi"/>
          <w:bCs/>
          <w:sz w:val="24"/>
          <w:szCs w:val="24"/>
        </w:rPr>
        <w:fldChar w:fldCharType="separate"/>
      </w:r>
      <w:r w:rsidRPr="00A334C0">
        <w:rPr>
          <w:rFonts w:asciiTheme="majorBidi" w:hAnsiTheme="majorBidi" w:cstheme="majorBidi"/>
          <w:bCs/>
          <w:noProof/>
          <w:sz w:val="24"/>
          <w:szCs w:val="24"/>
        </w:rPr>
        <w:t>[2]</w:t>
      </w:r>
      <w:r>
        <w:rPr>
          <w:rFonts w:asciiTheme="majorBidi" w:hAnsiTheme="majorBidi" w:cstheme="majorBidi"/>
          <w:bCs/>
          <w:sz w:val="24"/>
          <w:szCs w:val="24"/>
        </w:rPr>
        <w:fldChar w:fldCharType="end"/>
      </w:r>
      <w:r>
        <w:rPr>
          <w:rFonts w:asciiTheme="majorBidi" w:hAnsiTheme="majorBidi" w:cstheme="majorBidi"/>
          <w:bCs/>
          <w:sz w:val="24"/>
          <w:szCs w:val="24"/>
        </w:rPr>
        <w:t>. Owing to its unique properties such as light weight, excellent chemical resistance, fire-retardant properties, etc., it has attracted tremendous attentions from scientists and researchers. Graphene, a monolayer of sp</w:t>
      </w:r>
      <w:r w:rsidRPr="0066654A">
        <w:rPr>
          <w:rFonts w:asciiTheme="majorBidi" w:hAnsiTheme="majorBidi" w:cstheme="majorBidi"/>
          <w:bCs/>
          <w:sz w:val="24"/>
          <w:szCs w:val="24"/>
          <w:vertAlign w:val="superscript"/>
        </w:rPr>
        <w:t>2</w:t>
      </w:r>
      <w:r>
        <w:rPr>
          <w:rFonts w:asciiTheme="majorBidi" w:hAnsiTheme="majorBidi" w:cstheme="majorBidi"/>
          <w:bCs/>
          <w:sz w:val="24"/>
          <w:szCs w:val="24"/>
        </w:rPr>
        <w:t xml:space="preserve">-hybridized carbon atoms arranged in a 2-dimensional lattice, is first fabricated by Geim and </w:t>
      </w:r>
      <w:r w:rsidRPr="00470CB9">
        <w:rPr>
          <w:rFonts w:asciiTheme="majorBidi" w:hAnsiTheme="majorBidi" w:cstheme="majorBidi"/>
          <w:sz w:val="24"/>
          <w:szCs w:val="24"/>
        </w:rPr>
        <w:t>Novoselov at University of Manchester</w:t>
      </w:r>
      <w:r>
        <w:rPr>
          <w:rFonts w:asciiTheme="majorBidi" w:hAnsiTheme="majorBidi" w:cstheme="majorBidi"/>
          <w:sz w:val="24"/>
          <w:szCs w:val="24"/>
        </w:rPr>
        <w:t xml:space="preserve"> by</w:t>
      </w:r>
      <w:r w:rsidRPr="00470CB9">
        <w:rPr>
          <w:rFonts w:asciiTheme="majorBidi" w:hAnsiTheme="majorBidi" w:cstheme="majorBidi"/>
          <w:sz w:val="24"/>
          <w:szCs w:val="24"/>
        </w:rPr>
        <w:t xml:space="preserve"> using micro</w:t>
      </w:r>
      <w:r>
        <w:rPr>
          <w:rFonts w:asciiTheme="majorBidi" w:hAnsiTheme="majorBidi" w:cstheme="majorBidi"/>
          <w:sz w:val="24"/>
          <w:szCs w:val="24"/>
        </w:rPr>
        <w:t xml:space="preserve"> mechanical cleavage</w:t>
      </w:r>
      <w:r w:rsidRPr="00470CB9">
        <w:rPr>
          <w:rFonts w:asciiTheme="majorBidi" w:hAnsiTheme="majorBidi" w:cstheme="majorBidi"/>
          <w:sz w:val="24"/>
          <w:szCs w:val="24"/>
        </w:rPr>
        <w:t>/Scotch tape technique</w:t>
      </w:r>
      <w:r>
        <w:rPr>
          <w:rFonts w:asciiTheme="majorBidi" w:hAnsiTheme="majorBidi" w:cstheme="majorBidi"/>
          <w:sz w:val="24"/>
          <w:szCs w:val="24"/>
        </w:rPr>
        <w:t xml:space="preserve"> in 2004 </w:t>
      </w:r>
      <w:r>
        <w:rPr>
          <w:rFonts w:asciiTheme="majorBidi" w:hAnsiTheme="majorBidi" w:cstheme="majorBidi"/>
          <w:sz w:val="24"/>
          <w:szCs w:val="24"/>
        </w:rPr>
        <w:fldChar w:fldCharType="begin" w:fldLock="1"/>
      </w:r>
      <w:r w:rsidR="00D973A8">
        <w:rPr>
          <w:rFonts w:asciiTheme="majorBidi" w:hAnsiTheme="majorBidi" w:cstheme="majorBidi"/>
          <w:sz w:val="24"/>
          <w:szCs w:val="24"/>
        </w:rPr>
        <w:instrText>ADDIN CSL_CITATION { "citationItems" : [ { "id" : "ITEM-1", "itemData" : { "DOI" : "10.1126/science.1102896", "ISBN" : "0036-8075", "ISSN" : "0036-8075", "PMID" : "15499015", "abstract" : "We report a naturally-occurring two-dimensional material (graphene that can be viewed as a gigantic flat fullerene molecule, describe its electronic properties and demonstrate all-metallic field-effect transistor, which uniquely exhibits ballistic transport at submicron distances even at room temperature.", "author" : [ { "dropping-particle" : "", "family" : "Novoselov", "given" : "Konstantin S.", "non-dropping-particle" : "", "parse-names" : false, "suffix" : "" }, { "dropping-particle" : "", "family" : "Geim", "given" : "Andre K.", "non-dropping-particle" : "", "parse-names" : false, "suffix" : "" }, { "dropping-particle" : "V.", "family" : "Morozov", "given" : "S.V.", "non-dropping-particle" : "", "parse-names" : false, "suffix" : "" }, { "dropping-particle" : "", "family" : "Jiang", "given" : "D.", "non-dropping-particle" : "", "parse-names" : false, "suffix" : "" }, { "dropping-particle" : "", "family" : "Zhang", "given" : "Y.", "non-dropping-particle" : "", "parse-names" : false, "suffix" : "" }, { "dropping-particle" : "V.", "family" : "Dubonos", "given" : "S.", "non-dropping-particle" : "", "parse-names" : false, "suffix" : "" }, { "dropping-particle" : "V.", "family" : "Grigorieva", "given" : "I.", "non-dropping-particle" : "", "parse-names" : false, "suffix" : "" }, { "dropping-particle" : "", "family" : "Firsov", "given" : "A. A.", "non-dropping-particle" : "", "parse-names" : false, "suffix" : "" } ], "container-title" : "Science", "id" : "ITEM-1", "issue" : "5696", "issued" : { "date-parts" : [ [ "2004" ] ] }, "page" : "666-669", "title" : "Electric Field Effect in Atomically Thin Carbon Films", "type" : "article-journal", "volume" : "306" }, "uris" : [ "http://www.mendeley.com/documents/?uuid=e12f54b5-5d3b-4430-b9b5-d4488b2e8534" ] } ], "mendeley" : { "formattedCitation" : "[3]", "plainTextFormattedCitation" : "[3]", "previouslyFormattedCitation" : "[3]" }, "properties" : {  }, "schema" : "https://github.com/citation-style-language/schema/raw/master/csl-citation.json" }</w:instrText>
      </w:r>
      <w:r>
        <w:rPr>
          <w:rFonts w:asciiTheme="majorBidi" w:hAnsiTheme="majorBidi" w:cstheme="majorBidi"/>
          <w:sz w:val="24"/>
          <w:szCs w:val="24"/>
        </w:rPr>
        <w:fldChar w:fldCharType="separate"/>
      </w:r>
      <w:r w:rsidRPr="00FB6912">
        <w:rPr>
          <w:rFonts w:asciiTheme="majorBidi" w:hAnsiTheme="majorBidi" w:cstheme="majorBidi"/>
          <w:noProof/>
          <w:sz w:val="24"/>
          <w:szCs w:val="24"/>
        </w:rPr>
        <w:t>[3]</w:t>
      </w:r>
      <w:r>
        <w:rPr>
          <w:rFonts w:asciiTheme="majorBidi" w:hAnsiTheme="majorBidi" w:cstheme="majorBidi"/>
          <w:sz w:val="24"/>
          <w:szCs w:val="24"/>
        </w:rPr>
        <w:fldChar w:fldCharType="end"/>
      </w:r>
      <w:r>
        <w:rPr>
          <w:rFonts w:asciiTheme="majorBidi" w:hAnsiTheme="majorBidi" w:cstheme="majorBidi"/>
          <w:sz w:val="24"/>
          <w:szCs w:val="24"/>
        </w:rPr>
        <w:t>.</w:t>
      </w:r>
      <w:r>
        <w:rPr>
          <w:rFonts w:asciiTheme="majorBidi" w:hAnsiTheme="majorBidi" w:cstheme="majorBidi"/>
          <w:bCs/>
          <w:sz w:val="24"/>
          <w:szCs w:val="24"/>
        </w:rPr>
        <w:t xml:space="preserve">   It possesses huge specific surface, impressive mechanical properties, electrical </w:t>
      </w:r>
      <w:r w:rsidR="00951DB5">
        <w:rPr>
          <w:rFonts w:asciiTheme="majorBidi" w:hAnsiTheme="majorBidi" w:cstheme="majorBidi"/>
          <w:bCs/>
          <w:sz w:val="24"/>
          <w:szCs w:val="24"/>
        </w:rPr>
        <w:t>properties</w:t>
      </w:r>
      <w:r>
        <w:rPr>
          <w:rFonts w:asciiTheme="majorBidi" w:hAnsiTheme="majorBidi" w:cstheme="majorBidi"/>
          <w:bCs/>
          <w:sz w:val="24"/>
          <w:szCs w:val="24"/>
        </w:rPr>
        <w:t>, high intrinsic mobility, high thermal conductivity, etc., Therefore, graphene and graphitic fillers, such as graphene oxide (GO), reduced graphene oxide (rGO), thermal expended graphene (TEG), and chemical modified graphene (CMG), are considered as a promising candidate for polymer nanocomposites. Dispersion of graphene and the interfacial interaction between fillers and polymeric matrix is the key for improvements of graphene-based polymer nanocomposites. However, aggregation of graphene is the big challenge due to the van der Waas force between the filler sheets.   To address this problem, modification of graphene is usually needed. To date, extensive works of various modification method of graphene have been reported, which exhibits excellent dispersion and excepted performance. Aside from dispersion quality, the orientation of graphene, interfacial interaction between filler and matrix, graphene size, graphene content are also playing an important role on the performance of polymer composites.</w:t>
      </w:r>
    </w:p>
    <w:p w14:paraId="26A6730E" w14:textId="53016CA6" w:rsidR="00C33D83" w:rsidRDefault="00985F31" w:rsidP="008A66C3">
      <w:pPr>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Unsaturated polyester resins (UPR) are the most widely used thermosetting polymers. The commercial UPR is usually a mixture of UPR and dilute solvent like styrene. The curing process of UPR is free radical chain growth polymerization between UPR and styrene at the presence of catalyst, which is normally an organic peroxide like </w:t>
      </w:r>
      <w:r w:rsidRPr="00925BD4">
        <w:rPr>
          <w:rFonts w:ascii="Times New Roman" w:hAnsi="Times New Roman" w:cs="Times New Roman"/>
          <w:sz w:val="24"/>
          <w:szCs w:val="24"/>
        </w:rPr>
        <w:t>Methyl ethyl ketone peroxide</w:t>
      </w:r>
      <w:r>
        <w:rPr>
          <w:rFonts w:ascii="Times New Roman" w:hAnsi="Times New Roman" w:cs="Times New Roman"/>
          <w:sz w:val="24"/>
          <w:szCs w:val="24"/>
        </w:rPr>
        <w:t xml:space="preserve"> (MEKP) and </w:t>
      </w:r>
      <w:r w:rsidRPr="00925BD4">
        <w:rPr>
          <w:rFonts w:ascii="Times New Roman" w:hAnsi="Times New Roman" w:cs="Times New Roman"/>
          <w:sz w:val="24"/>
          <w:szCs w:val="24"/>
        </w:rPr>
        <w:t xml:space="preserve">Benzoyl peroxide </w:t>
      </w:r>
      <w:r w:rsidR="00821520">
        <w:rPr>
          <w:rFonts w:ascii="Times New Roman" w:hAnsi="Times New Roman" w:cs="Times New Roman"/>
          <w:sz w:val="24"/>
          <w:szCs w:val="24"/>
        </w:rPr>
        <w:t>(BPO). UPR has been</w:t>
      </w:r>
      <w:r>
        <w:rPr>
          <w:rFonts w:ascii="Times New Roman" w:hAnsi="Times New Roman" w:cs="Times New Roman"/>
          <w:sz w:val="24"/>
          <w:szCs w:val="24"/>
        </w:rPr>
        <w:t xml:space="preserve"> used in </w:t>
      </w:r>
      <w:r w:rsidR="00C710CF">
        <w:rPr>
          <w:rFonts w:ascii="Times New Roman" w:hAnsi="Times New Roman" w:cs="Times New Roman"/>
          <w:sz w:val="24"/>
          <w:szCs w:val="24"/>
        </w:rPr>
        <w:t xml:space="preserve">many applications, including </w:t>
      </w:r>
      <w:r>
        <w:rPr>
          <w:rFonts w:ascii="Times New Roman" w:hAnsi="Times New Roman" w:cs="Times New Roman"/>
          <w:sz w:val="24"/>
          <w:szCs w:val="24"/>
        </w:rPr>
        <w:t xml:space="preserve">boats, automotive industry, marine </w:t>
      </w:r>
      <w:r w:rsidR="00475A6B">
        <w:rPr>
          <w:rFonts w:ascii="Times New Roman" w:hAnsi="Times New Roman" w:cs="Times New Roman"/>
          <w:sz w:val="24"/>
          <w:szCs w:val="24"/>
        </w:rPr>
        <w:t>industry, sanitary-ware etc. due</w:t>
      </w:r>
      <w:r>
        <w:rPr>
          <w:rFonts w:ascii="Times New Roman" w:hAnsi="Times New Roman" w:cs="Times New Roman"/>
          <w:sz w:val="24"/>
          <w:szCs w:val="24"/>
        </w:rPr>
        <w:t xml:space="preserve"> to its high chemical resistance, water resistance, good mechanical properties, and feasibility. </w:t>
      </w:r>
    </w:p>
    <w:p w14:paraId="1714A6F5" w14:textId="0A3176C7" w:rsidR="00985F31" w:rsidRDefault="00985F31" w:rsidP="00985F31">
      <w:pPr>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By introducing graphitic fillers into UPR matrix, some promising properties can be achieved even at low filler content, such as the Young’s modulus, tensile strength, thermal stability, glass transition temperature, thermal conductivity, and electrical conductivity etc. Like other polymer composite, graphene-based UPR can be prepared by </w:t>
      </w:r>
      <w:r w:rsidRPr="00483762">
        <w:rPr>
          <w:rFonts w:ascii="Times New Roman" w:hAnsi="Times New Roman" w:cs="Times New Roman"/>
          <w:i/>
          <w:sz w:val="24"/>
          <w:szCs w:val="24"/>
        </w:rPr>
        <w:t>in situ</w:t>
      </w:r>
      <w:r>
        <w:rPr>
          <w:rFonts w:ascii="Times New Roman" w:hAnsi="Times New Roman" w:cs="Times New Roman"/>
          <w:sz w:val="24"/>
          <w:szCs w:val="24"/>
        </w:rPr>
        <w:t xml:space="preserve"> polymerization, solution compounding, and melt mixing. There are two big problems for preparation of high-performance graphene-based UPR composites: 1) Graphene tends to aggregate in UPR matrix as the graphitic fillers content increases. Hence, good dispersion can only be achieved at low concentration. 2) The addition of graphene can also affect the curing process and crosslinking density of UPR. In the fact that both styrene and graphene possess aromatic structures, some styrene may be adsorbed on graphene surface via π-π interaction. Therefore, the amount of free styrene monomers for polymerization with UPR polymer chains is reduced, resulting in a reduced crosslinking density. Hence, the mechanism of the improvements on the final properties of graphene-based UPR is quite complicate.</w:t>
      </w:r>
    </w:p>
    <w:p w14:paraId="0E55CBE4" w14:textId="5112C0CA" w:rsidR="00985F31" w:rsidRDefault="00985F31" w:rsidP="00985F31">
      <w:pPr>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t>Hyperbranched polymers (HBP) are special type</w:t>
      </w:r>
      <w:r w:rsidR="001304DB">
        <w:rPr>
          <w:rFonts w:ascii="Times New Roman" w:hAnsi="Times New Roman" w:cs="Times New Roman"/>
          <w:sz w:val="24"/>
          <w:szCs w:val="24"/>
        </w:rPr>
        <w:t>s</w:t>
      </w:r>
      <w:r>
        <w:rPr>
          <w:rFonts w:ascii="Times New Roman" w:hAnsi="Times New Roman" w:cs="Times New Roman"/>
          <w:sz w:val="24"/>
          <w:szCs w:val="24"/>
        </w:rPr>
        <w:t xml:space="preserve"> of dendritic polymer. They are usually prepared by a simple in one-pot method, which limits the control of the branching structure. Therefore,  HB polymers prepared </w:t>
      </w:r>
      <w:r w:rsidR="002351E0">
        <w:rPr>
          <w:rFonts w:ascii="Times New Roman" w:hAnsi="Times New Roman" w:cs="Times New Roman"/>
          <w:sz w:val="24"/>
          <w:szCs w:val="24"/>
        </w:rPr>
        <w:t xml:space="preserve">by </w:t>
      </w:r>
      <w:r>
        <w:rPr>
          <w:rFonts w:ascii="Times New Roman" w:hAnsi="Times New Roman" w:cs="Times New Roman"/>
          <w:sz w:val="24"/>
          <w:szCs w:val="24"/>
        </w:rPr>
        <w:t xml:space="preserve">this method have much more random branches and less regular structures </w:t>
      </w:r>
      <w:r w:rsidRPr="00FD3406">
        <w:rPr>
          <w:rFonts w:ascii="Times New Roman" w:eastAsia="DengXian" w:hAnsi="Times New Roman" w:cs="Times New Roman"/>
          <w:sz w:val="24"/>
          <w:szCs w:val="24"/>
        </w:rPr>
        <w:fldChar w:fldCharType="begin" w:fldLock="1"/>
      </w:r>
      <w:r>
        <w:rPr>
          <w:rFonts w:ascii="Times New Roman" w:eastAsia="DengXian" w:hAnsi="Times New Roman" w:cs="Times New Roman"/>
          <w:sz w:val="24"/>
          <w:szCs w:val="24"/>
        </w:rPr>
        <w:instrText>ADDIN CSL_CITATION { "citationItems" : [ { "id" : "ITEM-1", "itemData" : { "DOI" : "10.1002/pi.2993", "ISSN" : "09598103", "author" : [ { "dropping-particle" : "", "family" : "Cao", "given" : "Hongliang", "non-dropping-particle" : "", "parse-names" : false, "suffix" : "" }, { "dropping-particle" : "", "family" : "Zheng", "given" : "Yu", "non-dropping-particle" : "", "parse-names" : false, "suffix" : "" }, { "dropping-particle" : "", "family" : "Zhou", "given" : "Jian", "non-dropping-particle" : "", "parse-names" : false, "suffix" : "" }, { "dropping-particle" : "", "family" : "Wang", "given" : "Wenxin", "non-dropping-particle" : "", "parse-names" : false, "suffix" : "" }, { "dropping-particle" : "", "family" : "Pandit", "given" : "Abhay", "non-dropping-particle" : "", "parse-names" : false, "suffix" : "" } ], "container-title" : "Polymer International", "id" : "ITEM-1", "issued" : { "date-parts" : [ [ "2011" ] ] }, "page" : "630-634", "title" : "A novel hyperbranched polyester made from aconitic acid (B3) and di(ethylene glycol) (A2)", "type" : "article-journal", "volume" : "60" }, "uris" : [ "http://www.mendeley.com/documents/?uuid=1cf7efbc-2752-4c72-a696-10ba3bfb7a61" ] }, { "id" : "ITEM-2", "itemData" : { "DOI" : "10.1088/0954-0083/13/2/304", "ISBN" : "0954-0083", "ISSN" : "09540083", "abstract" : "A review with 30 refs.  Hyperbranched arom. polyamides and copolymers were prepd. by direct polycondensation in the presence of condensation agents.  Three strategies were described: (1) self-polycondensation of ABx-type monomers, (2) copolymn. of AB2 and AB monomers and (3) polymn. of A2 and B3 monomers.  The self-polycondensation of ABx monomers proceeded without gelation to form sol. powdery polymers.  The degree of branching of the hyperbranched polyamides was greatly influenced by the structure of the monomers.  Copolymn. of AB2 and AB monomers allowed control of the branching d. of the resulting polymers.  Spectroscopic measurements revealed that the copolymers were composed of five kinds of repeating units.  The good soly. and adequate soln. viscosity of the copolymers allowed the prepn. of transparent yellow films by casting the copolymer soln. onto a glass plate.  The polymn. of A2 and B3 monomers was also investigated as a novel route to prep. hyperbranched polyamides without using ABx-type monomers.  Gelation during the polymn. could be avoided by the optimization of the reaction conditions.  The structure and properties of the resulting polymers were compared with the hyperbranched polyamide prepd. from the corresponding AB2 monomer. [on SciFinder(R)]", "author" : [ { "dropping-particle" : "", "family" : "Jikei", "given" : "Mitsutoshi", "non-dropping-particle" : "", "parse-names" : false, "suffix" : "" }, { "dropping-particle" : "", "family" : "Kakimoto", "given" : "Masa-aki", "non-dropping-particle" : "", "parse-names" : false, "suffix" : "" } ], "container-title" : "High Performance Polymers", "id" : "ITEM-2", "issued" : { "date-parts" : [ [ "2001" ] ] }, "page" : "33-43", "title" : "Hyperbranched aromatic polyamides prepared by direct polycondensation", "type" : "article-journal", "volume" : "13" }, "uris" : [ "http://www.mendeley.com/documents/?uuid=a00d3bb6-0a57-44ec-b3ca-2be2ba4e9a49" ] } ], "mendeley" : { "formattedCitation" : "[4,5]", "plainTextFormattedCitation" : "[4,5]", "previouslyFormattedCitation" : "[4,5]" }, "properties" : {  }, "schema" : "https://github.com/citation-style-language/schema/raw/master/csl-citation.json" }</w:instrText>
      </w:r>
      <w:r w:rsidRPr="00FD3406">
        <w:rPr>
          <w:rFonts w:ascii="Times New Roman" w:eastAsia="DengXian" w:hAnsi="Times New Roman" w:cs="Times New Roman"/>
          <w:sz w:val="24"/>
          <w:szCs w:val="24"/>
        </w:rPr>
        <w:fldChar w:fldCharType="separate"/>
      </w:r>
      <w:r w:rsidRPr="00FB6912">
        <w:rPr>
          <w:rFonts w:ascii="Times New Roman" w:eastAsia="DengXian" w:hAnsi="Times New Roman" w:cs="Times New Roman"/>
          <w:noProof/>
          <w:sz w:val="24"/>
          <w:szCs w:val="24"/>
        </w:rPr>
        <w:t>[4,5]</w:t>
      </w:r>
      <w:r w:rsidRPr="00FD3406">
        <w:rPr>
          <w:rFonts w:ascii="Times New Roman" w:eastAsia="DengXian" w:hAnsi="Times New Roman" w:cs="Times New Roman"/>
          <w:sz w:val="24"/>
          <w:szCs w:val="24"/>
        </w:rPr>
        <w:fldChar w:fldCharType="end"/>
      </w:r>
      <w:r>
        <w:rPr>
          <w:rFonts w:ascii="Times New Roman" w:hAnsi="Times New Roman" w:cs="Times New Roman"/>
          <w:sz w:val="24"/>
          <w:szCs w:val="24"/>
        </w:rPr>
        <w:t xml:space="preserve">. Owing to some terminal functional groups on polymer chains, HB polymers exhibit self-healing properties by formation of hydrogen bonding. Some HB polymers act as elastomers, and have some typical elastomer properties, such </w:t>
      </w:r>
      <w:r w:rsidR="002351E0">
        <w:rPr>
          <w:rFonts w:ascii="Times New Roman" w:hAnsi="Times New Roman" w:cs="Times New Roman"/>
          <w:sz w:val="24"/>
          <w:szCs w:val="24"/>
        </w:rPr>
        <w:t>as high</w:t>
      </w:r>
      <w:r>
        <w:rPr>
          <w:rFonts w:ascii="Times New Roman" w:hAnsi="Times New Roman" w:cs="Times New Roman"/>
          <w:sz w:val="24"/>
          <w:szCs w:val="24"/>
        </w:rPr>
        <w:t xml:space="preserve"> stretch ability, low modulus and strength, and hysteresis. The low modulus and strength can be enhanced largely by introduction of rigid fillers like graphene, carbon nanotubes (CNTs), carbon black, etc. However, other properties like hysteresis and self-healing capacity would be negatively influenced. </w:t>
      </w:r>
    </w:p>
    <w:p w14:paraId="0C7B96DD" w14:textId="77777777" w:rsidR="00985F31" w:rsidRDefault="00985F31" w:rsidP="00985F31">
      <w:pPr>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t>The overall aims of this project are to investigate effect of graphene oxide (GO) and reduced graphene oxide (rGO) on the mechanical, thermal properties, glass transition temperature, and electrical conductivity of UPR. In addition, the influence of introduction of GO on the curing behaviour and crosslinking density of UPR are also studied. Finally, the performance of graphene-based HB polyester nanocomposites are also studied. The main objectives are as follows:</w:t>
      </w:r>
    </w:p>
    <w:p w14:paraId="7C575620" w14:textId="04772AE4" w:rsidR="00985F31" w:rsidRDefault="00632685" w:rsidP="00985F31">
      <w:pPr>
        <w:spacing w:line="480" w:lineRule="auto"/>
        <w:jc w:val="both"/>
        <w:rPr>
          <w:rFonts w:ascii="Times New Roman" w:hAnsi="Times New Roman" w:cs="Times New Roman"/>
          <w:sz w:val="24"/>
          <w:szCs w:val="24"/>
        </w:rPr>
      </w:pPr>
      <w:r>
        <w:rPr>
          <w:rFonts w:ascii="Times New Roman" w:hAnsi="Times New Roman" w:cs="Times New Roman"/>
          <w:sz w:val="24"/>
          <w:szCs w:val="24"/>
        </w:rPr>
        <w:t>1)</w:t>
      </w:r>
      <w:r w:rsidR="00985F31">
        <w:rPr>
          <w:rFonts w:ascii="Times New Roman" w:hAnsi="Times New Roman" w:cs="Times New Roman"/>
          <w:sz w:val="24"/>
          <w:szCs w:val="24"/>
        </w:rPr>
        <w:t xml:space="preserve"> To enhance the mechanical properties, thermal stability, glass transition temperature, the UPR/GO composites were prepared by simply mixing method, and solution compounding method. </w:t>
      </w:r>
    </w:p>
    <w:p w14:paraId="3D901285" w14:textId="77777777" w:rsidR="00985F31" w:rsidRDefault="00985F31" w:rsidP="00985F31">
      <w:pPr>
        <w:spacing w:line="480" w:lineRule="auto"/>
        <w:jc w:val="both"/>
        <w:rPr>
          <w:rFonts w:ascii="Times New Roman" w:hAnsi="Times New Roman" w:cs="Times New Roman"/>
          <w:sz w:val="24"/>
          <w:szCs w:val="24"/>
        </w:rPr>
      </w:pPr>
      <w:r>
        <w:rPr>
          <w:rFonts w:ascii="Times New Roman" w:hAnsi="Times New Roman" w:cs="Times New Roman"/>
          <w:sz w:val="24"/>
          <w:szCs w:val="24"/>
        </w:rPr>
        <w:t>2) To enable the insulating UPR by reduced GO (rGO), composites were prepared with two different preparation process: First, UPR was simply mixed with rGO which was reduced by vitamin C prior to the preparation of composite. Second, UPR was mixed with GO and vitamin C for longer times, in which the reduction of GO was carried out during the incorporation between UPR and GO.</w:t>
      </w:r>
    </w:p>
    <w:p w14:paraId="5B234CC2" w14:textId="77777777" w:rsidR="00985F31" w:rsidRDefault="00985F31" w:rsidP="00985F3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3) To improve the dispersion of GO in ethanol and HB polyester, GO was modified by </w:t>
      </w:r>
      <w:r w:rsidRPr="00E8219D">
        <w:rPr>
          <w:rFonts w:ascii="Times New Roman" w:hAnsi="Times New Roman" w:cs="Times New Roman"/>
          <w:sz w:val="24"/>
          <w:szCs w:val="24"/>
        </w:rPr>
        <w:t>Paraphenylenediamine</w:t>
      </w:r>
      <w:r>
        <w:rPr>
          <w:rFonts w:ascii="Times New Roman" w:hAnsi="Times New Roman" w:cs="Times New Roman"/>
          <w:sz w:val="24"/>
          <w:szCs w:val="24"/>
        </w:rPr>
        <w:t xml:space="preserve"> (PPD). The P-rGO hybrid can form a stable dispersion in ethanol for few months.</w:t>
      </w:r>
    </w:p>
    <w:p w14:paraId="7444A383" w14:textId="77777777" w:rsidR="00985F31" w:rsidRDefault="00985F31" w:rsidP="00985F3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4) To investigate the properties of HB polyester, it was synthesized from bio-based diol and trimer acid, which exhibit excellent strectchability, and high resilience. </w:t>
      </w:r>
    </w:p>
    <w:p w14:paraId="0841CE28" w14:textId="4A14C8C3" w:rsidR="00985F31" w:rsidRDefault="00985F31" w:rsidP="00985F31">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5) To study the effect of GO on the performance of HB polyester, HBPE/P-rGO composites with enhanced tensile properties were synthesized by in situ polymerization. </w:t>
      </w:r>
    </w:p>
    <w:p w14:paraId="1A66B48A" w14:textId="40FA2B06" w:rsidR="00D973A8" w:rsidRDefault="00D973A8" w:rsidP="00985F31">
      <w:pPr>
        <w:spacing w:line="480" w:lineRule="auto"/>
        <w:jc w:val="both"/>
        <w:rPr>
          <w:rFonts w:ascii="Times New Roman" w:hAnsi="Times New Roman" w:cs="Times New Roman"/>
          <w:sz w:val="24"/>
          <w:szCs w:val="24"/>
        </w:rPr>
      </w:pPr>
    </w:p>
    <w:p w14:paraId="585154D4" w14:textId="04AD12B6" w:rsidR="00D973A8" w:rsidRDefault="00D973A8" w:rsidP="00985F31">
      <w:pPr>
        <w:spacing w:line="480" w:lineRule="auto"/>
        <w:jc w:val="both"/>
        <w:rPr>
          <w:rFonts w:ascii="Times New Roman" w:hAnsi="Times New Roman" w:cs="Times New Roman"/>
          <w:sz w:val="24"/>
          <w:szCs w:val="24"/>
        </w:rPr>
      </w:pPr>
    </w:p>
    <w:p w14:paraId="7EB38AC8" w14:textId="61A43F56" w:rsidR="00D973A8" w:rsidRDefault="00D973A8" w:rsidP="00985F31">
      <w:pPr>
        <w:spacing w:line="480" w:lineRule="auto"/>
        <w:jc w:val="both"/>
        <w:rPr>
          <w:rFonts w:ascii="Times New Roman" w:hAnsi="Times New Roman" w:cs="Times New Roman"/>
          <w:sz w:val="24"/>
          <w:szCs w:val="24"/>
        </w:rPr>
      </w:pPr>
    </w:p>
    <w:p w14:paraId="751EBCB3" w14:textId="3763EEFD" w:rsidR="00D973A8" w:rsidRDefault="00D973A8" w:rsidP="00985F31">
      <w:pPr>
        <w:spacing w:line="480" w:lineRule="auto"/>
        <w:jc w:val="both"/>
        <w:rPr>
          <w:rFonts w:ascii="Times New Roman" w:hAnsi="Times New Roman" w:cs="Times New Roman"/>
          <w:sz w:val="24"/>
          <w:szCs w:val="24"/>
        </w:rPr>
      </w:pPr>
    </w:p>
    <w:p w14:paraId="0FD42034" w14:textId="4981E630" w:rsidR="00D973A8" w:rsidRDefault="00D973A8" w:rsidP="00985F31">
      <w:pPr>
        <w:spacing w:line="480" w:lineRule="auto"/>
        <w:jc w:val="both"/>
        <w:rPr>
          <w:rFonts w:ascii="Times New Roman" w:hAnsi="Times New Roman" w:cs="Times New Roman"/>
          <w:sz w:val="24"/>
          <w:szCs w:val="24"/>
        </w:rPr>
      </w:pPr>
    </w:p>
    <w:p w14:paraId="17689F93" w14:textId="197EA1F4" w:rsidR="00D973A8" w:rsidRDefault="00D973A8" w:rsidP="00985F31">
      <w:pPr>
        <w:spacing w:line="480" w:lineRule="auto"/>
        <w:jc w:val="both"/>
        <w:rPr>
          <w:rFonts w:ascii="Times New Roman" w:hAnsi="Times New Roman" w:cs="Times New Roman"/>
          <w:sz w:val="24"/>
          <w:szCs w:val="24"/>
        </w:rPr>
      </w:pPr>
    </w:p>
    <w:p w14:paraId="2A17D8F2" w14:textId="1D05ADE2" w:rsidR="00D973A8" w:rsidRDefault="00D973A8" w:rsidP="00985F31">
      <w:pPr>
        <w:spacing w:line="480" w:lineRule="auto"/>
        <w:jc w:val="both"/>
        <w:rPr>
          <w:rFonts w:ascii="Times New Roman" w:hAnsi="Times New Roman" w:cs="Times New Roman"/>
          <w:sz w:val="24"/>
          <w:szCs w:val="24"/>
        </w:rPr>
      </w:pPr>
    </w:p>
    <w:p w14:paraId="7DEC7148" w14:textId="268ED711" w:rsidR="00D973A8" w:rsidRDefault="00D973A8" w:rsidP="00985F31">
      <w:pPr>
        <w:spacing w:line="480" w:lineRule="auto"/>
        <w:jc w:val="both"/>
        <w:rPr>
          <w:rFonts w:ascii="Times New Roman" w:hAnsi="Times New Roman" w:cs="Times New Roman"/>
          <w:sz w:val="24"/>
          <w:szCs w:val="24"/>
        </w:rPr>
      </w:pPr>
    </w:p>
    <w:p w14:paraId="50DD6A29" w14:textId="123EB847" w:rsidR="00D973A8" w:rsidRDefault="00D973A8" w:rsidP="00985F31">
      <w:pPr>
        <w:spacing w:line="480" w:lineRule="auto"/>
        <w:jc w:val="both"/>
        <w:rPr>
          <w:rFonts w:ascii="Times New Roman" w:hAnsi="Times New Roman" w:cs="Times New Roman"/>
          <w:sz w:val="24"/>
          <w:szCs w:val="24"/>
        </w:rPr>
      </w:pPr>
    </w:p>
    <w:p w14:paraId="0B303245" w14:textId="55BE3408" w:rsidR="00D973A8" w:rsidRDefault="00D973A8" w:rsidP="00985F31">
      <w:pPr>
        <w:spacing w:line="480" w:lineRule="auto"/>
        <w:jc w:val="both"/>
        <w:rPr>
          <w:rFonts w:ascii="Times New Roman" w:hAnsi="Times New Roman" w:cs="Times New Roman"/>
          <w:sz w:val="24"/>
          <w:szCs w:val="24"/>
        </w:rPr>
      </w:pPr>
    </w:p>
    <w:p w14:paraId="7CDEFD68" w14:textId="537EC26E" w:rsidR="00D973A8" w:rsidRDefault="00D973A8" w:rsidP="00985F31">
      <w:pPr>
        <w:spacing w:line="480" w:lineRule="auto"/>
        <w:jc w:val="both"/>
        <w:rPr>
          <w:rFonts w:ascii="Times New Roman" w:hAnsi="Times New Roman" w:cs="Times New Roman"/>
          <w:sz w:val="24"/>
          <w:szCs w:val="24"/>
        </w:rPr>
      </w:pPr>
    </w:p>
    <w:p w14:paraId="40F5DBB7" w14:textId="58F15DF3" w:rsidR="00D973A8" w:rsidRDefault="00D973A8" w:rsidP="00985F31">
      <w:pPr>
        <w:spacing w:line="480" w:lineRule="auto"/>
        <w:jc w:val="both"/>
        <w:rPr>
          <w:rFonts w:ascii="Times New Roman" w:hAnsi="Times New Roman" w:cs="Times New Roman"/>
          <w:sz w:val="24"/>
          <w:szCs w:val="24"/>
        </w:rPr>
      </w:pPr>
    </w:p>
    <w:p w14:paraId="3EAE077F" w14:textId="6E9C1A6F" w:rsidR="00D973A8" w:rsidRDefault="00D973A8" w:rsidP="00985F31">
      <w:pPr>
        <w:spacing w:line="480" w:lineRule="auto"/>
        <w:jc w:val="both"/>
        <w:rPr>
          <w:rFonts w:ascii="Times New Roman" w:hAnsi="Times New Roman" w:cs="Times New Roman"/>
          <w:sz w:val="24"/>
          <w:szCs w:val="24"/>
        </w:rPr>
      </w:pPr>
    </w:p>
    <w:p w14:paraId="75AEFF9E" w14:textId="01B72324" w:rsidR="00D973A8" w:rsidRDefault="00D973A8" w:rsidP="00985F31">
      <w:pPr>
        <w:spacing w:line="480" w:lineRule="auto"/>
        <w:jc w:val="both"/>
        <w:rPr>
          <w:rFonts w:ascii="Times New Roman" w:hAnsi="Times New Roman" w:cs="Times New Roman"/>
          <w:sz w:val="24"/>
          <w:szCs w:val="24"/>
        </w:rPr>
      </w:pPr>
    </w:p>
    <w:p w14:paraId="69CBD7DE" w14:textId="33ED6F37" w:rsidR="00D973A8" w:rsidRDefault="00D973A8" w:rsidP="00985F31">
      <w:pPr>
        <w:spacing w:line="480" w:lineRule="auto"/>
        <w:jc w:val="both"/>
        <w:rPr>
          <w:rFonts w:ascii="Times New Roman" w:hAnsi="Times New Roman" w:cs="Times New Roman"/>
          <w:sz w:val="24"/>
          <w:szCs w:val="24"/>
        </w:rPr>
      </w:pPr>
    </w:p>
    <w:p w14:paraId="36D07370" w14:textId="77777777" w:rsidR="00D973A8" w:rsidRDefault="00D973A8" w:rsidP="00985F31">
      <w:pPr>
        <w:spacing w:line="480" w:lineRule="auto"/>
        <w:jc w:val="both"/>
        <w:rPr>
          <w:rFonts w:ascii="Times New Roman" w:hAnsi="Times New Roman" w:cs="Times New Roman"/>
          <w:sz w:val="24"/>
          <w:szCs w:val="24"/>
        </w:rPr>
      </w:pPr>
    </w:p>
    <w:p w14:paraId="4ECE34DC" w14:textId="70682F7D" w:rsidR="002D666F" w:rsidRPr="00E709EE" w:rsidRDefault="003C6953" w:rsidP="00E709EE">
      <w:pPr>
        <w:pStyle w:val="Heading1"/>
        <w:rPr>
          <w:sz w:val="50"/>
          <w:szCs w:val="50"/>
        </w:rPr>
      </w:pPr>
      <w:bookmarkStart w:id="2" w:name="_Toc518823222"/>
      <w:r w:rsidRPr="00E709EE">
        <w:rPr>
          <w:sz w:val="50"/>
          <w:szCs w:val="50"/>
        </w:rPr>
        <w:t>Chapter 2: Literature review</w:t>
      </w:r>
      <w:bookmarkEnd w:id="2"/>
    </w:p>
    <w:p w14:paraId="67F2B223" w14:textId="77777777" w:rsidR="00D973A8" w:rsidRDefault="00D973A8" w:rsidP="00492AD8">
      <w:pPr>
        <w:pStyle w:val="NoSpacing"/>
      </w:pPr>
    </w:p>
    <w:p w14:paraId="4DB0BAEE" w14:textId="726D57CE" w:rsidR="003C6953" w:rsidRPr="00EC6CA7" w:rsidRDefault="002D03C9" w:rsidP="003C6953">
      <w:pPr>
        <w:pStyle w:val="Heading1"/>
        <w:spacing w:before="0"/>
        <w:ind w:left="432" w:hanging="432"/>
      </w:pPr>
      <w:bookmarkStart w:id="3" w:name="_Toc484547618"/>
      <w:bookmarkStart w:id="4" w:name="_Toc518823223"/>
      <w:r>
        <w:t>2.</w:t>
      </w:r>
      <w:r w:rsidR="003C6953">
        <w:t>1. Composite material</w:t>
      </w:r>
      <w:r w:rsidR="003C6953" w:rsidRPr="00EC6CA7">
        <w:t xml:space="preserve"> and polymer composites</w:t>
      </w:r>
      <w:bookmarkEnd w:id="3"/>
      <w:bookmarkEnd w:id="4"/>
    </w:p>
    <w:p w14:paraId="1000139B" w14:textId="42C55A56" w:rsidR="003C6953" w:rsidRDefault="003C6953" w:rsidP="003C6953">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Composite materials are materials that combine with two or more materials on a macroscopic scale. This type of materials exhibits better properties than either of the original constituents independently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"author" : [ { "dropping-particle" : "", "family" : "Jones", "given" : "Robert M.", "non-dropping-particle" : "", "parse-names" : false, "suffix" : "" } ], "edition" : "second", "editor" : [ { "dropping-particle" : "", "family" : "Jones", "given" : "Robert M.", "non-dropping-particle" : "", "parse-names" : false, "suffix" : "" } ], "id" : "ITEM-1", "issued" : { "date-parts" : [ [ "1975" ] ] }, "number-of-pages" : "1-5", "publisher" : "Taylor &amp; Francis", "title" : "Mechanics of composite materials", "type" : "book" }, "uris" : [ "http://www.mendeley.com/documents/?uuid=5926ddb5-21d8-47f7-bc43-cc25d595d94c" ] } ], "mendeley" : { "formattedCitation" : "[6]", "plainTextFormattedCitation" : "[6]", "previouslyFormattedCitation" : "[6]"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w:t>
      </w:r>
      <w:r>
        <w:rPr>
          <w:rFonts w:ascii="Times New Roman" w:hAnsi="Times New Roman" w:cs="Times New Roman"/>
          <w:sz w:val="24"/>
          <w:szCs w:val="24"/>
        </w:rPr>
        <w:fldChar w:fldCharType="end"/>
      </w:r>
      <w:r>
        <w:rPr>
          <w:rFonts w:ascii="Times New Roman" w:hAnsi="Times New Roman" w:cs="Times New Roman"/>
          <w:sz w:val="24"/>
          <w:szCs w:val="24"/>
        </w:rPr>
        <w:t xml:space="preserve">. Composite materials are not new materials, they have been used for very long time. For example, wood is a nature composite which composed with cellulose fibres and lignin matrix. Portland cement, asphalt mixed with sand, and glass fibres in resin are common engineering composite materials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"author" : [ { "dropping-particle" : "", "family" : "Chawla", "given" : "Krishan K.", "non-dropping-particle" : "", "parse-names" : false, "suffix" : "" } ], "edition" : "third", "editor" : [ { "dropping-particle" : "", "family" : "Chawla", "given" : "Krishan K.", "non-dropping-particle" : "", "parse-names" : false, "suffix" : "" } ], "id" : "ITEM-1", "issued" : { "date-parts" : [ [ "1987" ] ] }, "number-of-pages" : "1-3", "publisher" : "Springer", "title" : "Composite materials: Science and Engineering", "type" : "book" }, "uris" : [ "http://www.mendeley.com/documents/?uuid=4633e2cb-aa0c-4cbe-a219-692e3f7b74ba" ] } ], "mendeley" : { "formattedCitation" : "[7]", "plainTextFormattedCitation" : "[7]", "previouslyFormattedCitation" : "[7]"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[7]</w:t>
      </w:r>
      <w:r>
        <w:rPr>
          <w:rFonts w:ascii="Times New Roman" w:hAnsi="Times New Roman" w:cs="Times New Roman"/>
          <w:sz w:val="24"/>
          <w:szCs w:val="24"/>
        </w:rPr>
        <w:fldChar w:fldCharType="end"/>
      </w:r>
      <w:r>
        <w:rPr>
          <w:rFonts w:ascii="Times New Roman" w:hAnsi="Times New Roman" w:cs="Times New Roman"/>
          <w:sz w:val="24"/>
          <w:szCs w:val="24"/>
        </w:rPr>
        <w:t>.</w:t>
      </w:r>
    </w:p>
    <w:p w14:paraId="6DFCDE4C" w14:textId="567C92B8" w:rsidR="003C6953" w:rsidRDefault="003C6953" w:rsidP="00110080">
      <w:pPr>
        <w:autoSpaceDE w:val="0"/>
        <w:autoSpaceDN w:val="0"/>
        <w:adjustRightInd w:val="0"/>
        <w:spacing w:after="0" w:line="480" w:lineRule="auto"/>
        <w:ind w:firstLine="284"/>
        <w:jc w:val="both"/>
        <w:rPr>
          <w:rFonts w:ascii="Times New Roman" w:hAnsi="Times New Roman" w:cs="Times New Roman"/>
          <w:sz w:val="24"/>
          <w:szCs w:val="24"/>
        </w:rPr>
      </w:pPr>
      <w:r>
        <w:rPr>
          <w:rFonts w:ascii="Times New Roman" w:hAnsi="Times New Roman" w:cs="Times New Roman"/>
          <w:sz w:val="24"/>
          <w:szCs w:val="24"/>
        </w:rPr>
        <w:t>Owing to their unique</w:t>
      </w:r>
      <w:r w:rsidRPr="00A9700C">
        <w:rPr>
          <w:rFonts w:ascii="Times New Roman" w:hAnsi="Times New Roman" w:cs="Times New Roman"/>
          <w:sz w:val="24"/>
          <w:szCs w:val="24"/>
        </w:rPr>
        <w:t xml:space="preserve"> performances</w:t>
      </w:r>
      <w:r>
        <w:rPr>
          <w:rFonts w:ascii="Times New Roman" w:hAnsi="Times New Roman" w:cs="Times New Roman"/>
          <w:sz w:val="24"/>
          <w:szCs w:val="24"/>
        </w:rPr>
        <w:t xml:space="preserve"> like feasibility, </w:t>
      </w:r>
      <w:r w:rsidRPr="00A9700C">
        <w:rPr>
          <w:rFonts w:ascii="Times New Roman" w:hAnsi="Times New Roman" w:cs="Times New Roman"/>
          <w:sz w:val="24"/>
          <w:szCs w:val="24"/>
        </w:rPr>
        <w:t>productivity, lightweight, ductile nature, and low</w:t>
      </w:r>
      <w:r>
        <w:rPr>
          <w:rFonts w:ascii="Times New Roman" w:hAnsi="Times New Roman" w:cs="Times New Roman"/>
          <w:sz w:val="24"/>
          <w:szCs w:val="24"/>
        </w:rPr>
        <w:t xml:space="preserve"> cost, </w:t>
      </w:r>
      <w:r w:rsidRPr="00A9700C">
        <w:rPr>
          <w:rFonts w:ascii="Times New Roman" w:hAnsi="Times New Roman" w:cs="Times New Roman"/>
          <w:sz w:val="24"/>
          <w:szCs w:val="24"/>
        </w:rPr>
        <w:t>polymer</w:t>
      </w:r>
      <w:r>
        <w:rPr>
          <w:rFonts w:ascii="Times New Roman" w:hAnsi="Times New Roman" w:cs="Times New Roman"/>
          <w:sz w:val="24"/>
          <w:szCs w:val="24"/>
        </w:rPr>
        <w:t>s</w:t>
      </w:r>
      <w:r w:rsidRPr="00A9700C">
        <w:rPr>
          <w:rFonts w:ascii="Times New Roman" w:hAnsi="Times New Roman" w:cs="Times New Roman"/>
          <w:sz w:val="24"/>
          <w:szCs w:val="24"/>
        </w:rPr>
        <w:t xml:space="preserve"> </w:t>
      </w:r>
      <w:r>
        <w:rPr>
          <w:rFonts w:ascii="Times New Roman" w:hAnsi="Times New Roman" w:cs="Times New Roman"/>
          <w:sz w:val="24"/>
          <w:szCs w:val="24"/>
        </w:rPr>
        <w:t xml:space="preserve">grasp increasing attention of scientists and researchers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"10.1002/(SICI)1098-2329(199924)18", "ISBN" : "1098-2329", "ISSN" : "07306679", "PMID" : "42", "abstract" : "Natural fiber reinforced composites is an emerging area in polymer science. These natural fibers are low cost fibers with low density and high specific properties. These are biodegradable and non-abrasive. The natural fiber composites offer specific properties comparable to those of conventional fiber composites. However, in development of these composites, the incompatibility of the fibers and poor resistance to moisture often reduce the potential of natural fibers and these draw backs become critical issue. This review presents the reported work on natural fiber reinforced composites with special reference to the type of fibers, matrix polymers, treatment of fibers and fiber-matrix interface.", "author" : [ { "dropping-particle" : "", "family" : "Saheb", "given" : "Nabi", "non-dropping-particle" : "", "parse-names" : false, "suffix" : "" }, { "dropping-particle" : "", "family" : "Jog", "given" : "JP", "non-dropping-particle" : "", "parse-names" : false, "suffix" : "" } ], "container-title" : "Advances in polymer technology", "id" : "ITEM-1", "issued" : { "date-parts" : [ [ "1999" ] ] }, "page" : "351-363", "title" : "Natural Fiber Polymer Composites : A Review", "type" : "article-journal", "volume" : "18" }, "uris" : [ "http://www.mendeley.com/documents/?uuid=2bb5e045-cabf-42b5-b4f6-9ad9a5cc8beb" ] }, { "id" : "ITEM-2", "itemData" : { "DOI" : "10.1007/s10853-009-3792-1", "ISBN" : "0022-2461, 1573-4803", "ISSN" : "00222461", "abstract" : "Increasing concern for the environment has stimulated interest in\\nthe research and development of single polymer composite (SPC) materials.\\nThese materials are an emerging class of composite materials with\\nmechanical properties comparable to heterogeneous composites. The\\nSPCs are fully recyclable and have specific economic and environmental\\nbenefits. The small melting temperature difference between the fiber\\nand the matrix poses a great challenge in the fabrication of SPCs.\\nThis article gives an overview of developments in SPCs relating to\\nthe materials and fabrication methods used.", "author" : [ { "dropping-particle" : "", "family" : "Matabola", "given" : "K. P.", "non-dropping-particle" : "", "parse-names" : false, "suffix" : "" }, { "dropping-particle" : "", "family" : "Vries", "given" : "A. R.", "non-dropping-particle" : "De", "parse-names" : false, "suffix" : "" }, { "dropping-particle" : "", "family" : "Moolman", "given" : "F. S.", "non-dropping-particle" : "", "parse-names" : false, "suffix" : "" }, { "dropping-particle" : "", "family" : "Luyt", "given" : "A. S.", "non-dropping-particle" : "", "parse-names" : false, "suffix" : "" } ], "container-title" : "Journal of Materials Science", "id" : "ITEM-2", "issued" : { "date-parts" : [ [ "2009" ] ] }, "page" : "6213-6222", "title" : "Single polymer composites: a review", "type" : "article-journal", "volume" : "44" }, "uris" : [ "http://www.mendeley.com/documents/?uuid=956c470e-9b02-4465-baf6-71d002899560" ] }, { "id" : "ITEM-3", "itemData" : { "DOI" : "10.1007/BF00554928", "ISSN" : "00222461", "abstract" : "One polymer composite materials have been prepared using a difference\\nin melting points between the components. This depends on the fact\\nthat aligned and extended chains provide thermodynamically more stable\\ncrystals, which thus will have higher melting points than conventionally\\ncrystallized melts. The growth of transcrystalline regions in the\\nmelt matrix at the interface plus an observed partial melting between\\nfibre and matrix are indications of a strong and intimate interfacial\\nbond with a gradient in morphologies for the system studied, high-density\\npolyethylene. The pull-out test is a simple and adequate method for\\nevaluating the interfacial shear strength of one polymer composites.\\nThe value for the high-density polyethylene composite falls between\\nthe strengths for glass-reinforced polyester and epoxy resins. However,\\nthe interfacial strength in the polyethylene composites is due mainly\\nto the unique epitaxial bonding rather than the radial forces from\\ncompressive shrinkage. The low critical aspect ratio for the filaments\\nin these polyethylene composites suggests possible advantageous uses\\nas short fibrereinforced materials where the interfacial strength\\nis a controlling factor.", "author" : [ { "dropping-particle" : "", "family" : "Capiati", "given" : "Numa J.", "non-dropping-particle" : "", "parse-names" : false, "suffix" : "" }, { "dropping-particle" : "", "family" : "Porter", "given" : "Roger S.", "non-dropping-particle" : "", "parse-names" : false, "suffix" : "" } ], "container-title" : "Journal of Materials Science", "id" : "ITEM-3", "issue" : "10", "issued" : { "date-parts" : [ [ "1975" ] ] }, "page" : "1671-1677", "title" : "The concept of one polymer composites modelled with high density polyethylene", "type" : "article-journal", "volume" : "10" }, "uris" : [ "http://www.mendeley.com/documents/?uuid=6f3803e8-f931-44b1-b0d4-447354c9304e" ] } ], "mendeley" : { "formattedCitation" : "[8\u201310]", "plainTextFormattedCitation" : "[8\u201310]", "previouslyFormattedCitation" : "[8\u201310]"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[8–10]</w:t>
      </w:r>
      <w:r>
        <w:rPr>
          <w:rFonts w:ascii="Times New Roman" w:hAnsi="Times New Roman" w:cs="Times New Roman"/>
          <w:sz w:val="24"/>
          <w:szCs w:val="24"/>
        </w:rPr>
        <w:fldChar w:fldCharType="end"/>
      </w:r>
      <w:r>
        <w:rPr>
          <w:rFonts w:ascii="Times New Roman" w:hAnsi="Times New Roman" w:cs="Times New Roman"/>
          <w:sz w:val="24"/>
          <w:szCs w:val="24"/>
        </w:rPr>
        <w:t xml:space="preserve">. </w:t>
      </w:r>
      <w:r>
        <w:rPr>
          <w:rFonts w:ascii="TimesNewRomanPSMT" w:hAnsi="TimesNewRomanPSMT" w:cs="TimesNewRomanPSMT"/>
          <w:sz w:val="24"/>
          <w:szCs w:val="24"/>
        </w:rPr>
        <w:t>However, the inferior</w:t>
      </w:r>
      <w:r w:rsidRPr="00A9700C">
        <w:rPr>
          <w:rFonts w:ascii="TimesNewRomanPSMT" w:hAnsi="TimesNewRomanPSMT" w:cs="TimesNewRomanPSMT"/>
          <w:sz w:val="24"/>
          <w:szCs w:val="24"/>
        </w:rPr>
        <w:t xml:space="preserve"> mechanical p</w:t>
      </w:r>
      <w:r>
        <w:rPr>
          <w:rFonts w:ascii="TimesNewRomanPSMT" w:hAnsi="TimesNewRomanPSMT" w:cs="TimesNewRomanPSMT"/>
          <w:sz w:val="24"/>
          <w:szCs w:val="24"/>
        </w:rPr>
        <w:t>roperties like strength, moduli</w:t>
      </w:r>
      <w:r w:rsidRPr="00A9700C">
        <w:rPr>
          <w:rFonts w:ascii="TimesNewRomanPSMT" w:hAnsi="TimesNewRomanPSMT" w:cs="TimesNewRomanPSMT"/>
          <w:sz w:val="24"/>
          <w:szCs w:val="24"/>
        </w:rPr>
        <w:t xml:space="preserve"> compared </w:t>
      </w:r>
      <w:r>
        <w:rPr>
          <w:rFonts w:ascii="TimesNewRomanPSMT" w:hAnsi="TimesNewRomanPSMT" w:cs="TimesNewRomanPSMT"/>
          <w:sz w:val="24"/>
          <w:szCs w:val="24"/>
        </w:rPr>
        <w:t xml:space="preserve">to their counterpart materials such as metal and ceramic limit their </w:t>
      </w:r>
      <w:r w:rsidRPr="00A9700C">
        <w:rPr>
          <w:rFonts w:ascii="TimesNewRomanPSMT" w:hAnsi="TimesNewRomanPSMT" w:cs="TimesNewRomanPSMT"/>
          <w:sz w:val="24"/>
          <w:szCs w:val="24"/>
        </w:rPr>
        <w:t xml:space="preserve">applications. </w:t>
      </w:r>
      <w:r>
        <w:rPr>
          <w:rFonts w:ascii="TimesNewRomanPSMT" w:hAnsi="TimesNewRomanPSMT" w:cs="TimesNewRomanPSMT"/>
          <w:sz w:val="24"/>
          <w:szCs w:val="24"/>
        </w:rPr>
        <w:t xml:space="preserve">By adding strong reinforcements into polymeric matrix , such as fibres, </w:t>
      </w:r>
      <w:r>
        <w:rPr>
          <w:rFonts w:asciiTheme="majorBidi" w:hAnsiTheme="majorBidi" w:cstheme="majorBidi"/>
          <w:bCs/>
          <w:sz w:val="24"/>
          <w:szCs w:val="24"/>
        </w:rPr>
        <w:t xml:space="preserve">calcium carbonate </w:t>
      </w:r>
      <w:r>
        <w:rPr>
          <w:rFonts w:ascii="TimesNewRomanPSMT" w:hAnsi="TimesNewRomanPSMT" w:cs="TimesNewRomanPSMT"/>
          <w:sz w:val="24"/>
          <w:szCs w:val="24"/>
        </w:rPr>
        <w:t xml:space="preserve">and carbon blacks, lightweight high-performance polymer composites can be developed that is widely used in </w:t>
      </w:r>
      <w:r w:rsidRPr="00A9700C">
        <w:rPr>
          <w:rFonts w:ascii="Times New Roman" w:hAnsi="Times New Roman" w:cs="Times New Roman"/>
          <w:sz w:val="24"/>
          <w:szCs w:val="24"/>
        </w:rPr>
        <w:t xml:space="preserve">aerospace, automotive, </w:t>
      </w:r>
      <w:r>
        <w:rPr>
          <w:rFonts w:ascii="Times New Roman" w:hAnsi="Times New Roman" w:cs="Times New Roman"/>
          <w:sz w:val="24"/>
          <w:szCs w:val="24"/>
        </w:rPr>
        <w:t xml:space="preserve">electrical devices, </w:t>
      </w:r>
      <w:r w:rsidRPr="00A9700C">
        <w:rPr>
          <w:rFonts w:ascii="Times New Roman" w:hAnsi="Times New Roman" w:cs="Times New Roman"/>
          <w:sz w:val="24"/>
          <w:szCs w:val="24"/>
        </w:rPr>
        <w:t>chemical industries</w:t>
      </w:r>
      <w:r>
        <w:rPr>
          <w:rFonts w:ascii="Times New Roman" w:hAnsi="Times New Roman" w:cs="Times New Roman"/>
          <w:sz w:val="24"/>
          <w:szCs w:val="24"/>
        </w:rPr>
        <w:t xml:space="preserve">, infrastructure and construction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"10.1016/j.msea.2004.09.044", "ISSN" : "09215093", "abstract" : "A review of the recent work on polymer matrix nanocomposites is presented. This review is not intended to be comprehensive, but provides an overview of the processing techniques and trends in the mechanical behavior and morphology of nanocomposites. A number of composite systems with amorphous and/or crystalline polymer matrices and different nano-sized filler materials are discussed.", "author" : [ { "dropping-particle" : "", "family" : "Jordan", "given" : "Jeffrey", "non-dropping-particle" : "", "parse-names" : false, "suffix" : "" }, { "dropping-particle" : "", "family" : "Jacob", "given" : "Karl I.", "non-dropping-particle" : "", "parse-names" : false, "suffix" : "" }, { "dropping-particle" : "", "family" : "Tannenbaum", "given" : "Rina", "non-dropping-particle" : "", "parse-names" : false, "suffix" : "" }, { "dropping-particle" : "", "family" : "Sharaf", "given" : "Mohammed A.", "non-dropping-particle" : "", "parse-names" : false, "suffix" : "" }, { "dropping-particle" : "", "family" : "Jasiuk", "given" : "Iwona", "non-dropping-particle" : "", "parse-names" : false, "suffix" : "" } ], "container-title" : "Materials Science and Engineering: A", "id" : "ITEM-1", "issued" : { "date-parts" : [ [ "2005", "2" ] ] }, "page" : "1-11", "title" : "Experimental trends in polymer nanocomposites\u2014a review", "type" : "article-journal", "volume" : "393" }, "uris" : [ "http://www.mendeley.com/documents/?uuid=6f01ac06-b3b1-4889-b68d-68688f3fcb37" ] }, { "id" : "ITEM-2", "itemData" : { "DOI" : "10.1007/s10853-009-3792-1", "ISBN" : "0022-2461, 1573-4803", "ISSN" : "00222461", "abstract" : "Increasing concern for the environment has stimulated interest in\\nthe research and development of single polymer composite (SPC) materials.\\nThese materials are an emerging class of composite materials with\\nmechanical properties comparable to heterogeneous composites. The\\nSPCs are fully recyclable and have specific economic and environmental\\nbenefits. The small melting temperature difference between the fiber\\nand the matrix poses a great challenge in the fabrication of SPCs.\\nThis article gives an overview of developments in SPCs relating to\\nthe materials and fabrication methods used.", "author" : [ { "dropping-particle" : "", "family" : "Matabola", "given" : "K. P.", "non-dropping-particle" : "", "parse-names" : false, "suffix" : "" }, { "dropping-particle" : "", "family" : "Vries", "given" : "A. R.", "non-dropping-particle" : "De", "parse-names" : false, "suffix" : "" }, { "dropping-particle" : "", "family" : "Moolman", "given" : "F. S.", "non-dropping-particle" : "", "parse-names" : false, "suffix" : "" }, { "dropping-particle" : "", "family" : "Luyt", "given" : "A. S.", "non-dropping-particle" : "", "parse-names" : false, "suffix" : "" } ], "container-title" : "Journal of Materials Science", "id" : "ITEM-2", "issued" : { "date-parts" : [ [ "2009" ] ] }, "page" : "6213-6222", "title" : "Single polymer composites: a review", "type" : "article-journal", "volume" : "44" }, "uris" : [ "http://www.mendeley.com/documents/?uuid=956c470e-9b02-4465-baf6-71d002899560" ] } ], "mendeley" : { "formattedCitation" : "[9,11]", "plainTextFormattedCitation" : "[9,11]", "previouslyFormattedCitation" : "[9,11]"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[9,11]</w:t>
      </w:r>
      <w:r>
        <w:rPr>
          <w:rFonts w:ascii="Times New Roman" w:hAnsi="Times New Roman" w:cs="Times New Roman"/>
          <w:sz w:val="24"/>
          <w:szCs w:val="24"/>
        </w:rPr>
        <w:fldChar w:fldCharType="end"/>
      </w:r>
      <w:r>
        <w:rPr>
          <w:rFonts w:ascii="Times New Roman" w:hAnsi="Times New Roman" w:cs="Times New Roman"/>
          <w:sz w:val="24"/>
          <w:szCs w:val="24"/>
        </w:rPr>
        <w:t>.</w:t>
      </w:r>
      <w:r>
        <w:rPr>
          <w:rFonts w:ascii="TimesNewRomanPSMT" w:hAnsi="TimesNewRomanPSMT" w:cs="TimesNewRomanPSMT"/>
          <w:sz w:val="24"/>
          <w:szCs w:val="24"/>
        </w:rPr>
        <w:t xml:space="preserve"> </w:t>
      </w:r>
      <w:r w:rsidRPr="00A9700C">
        <w:rPr>
          <w:rFonts w:ascii="Times New Roman" w:hAnsi="Times New Roman" w:cs="Times New Roman"/>
          <w:sz w:val="24"/>
          <w:szCs w:val="24"/>
        </w:rPr>
        <w:t>Generally, the</w:t>
      </w:r>
      <w:r>
        <w:rPr>
          <w:rFonts w:ascii="Times New Roman" w:hAnsi="Times New Roman" w:cs="Times New Roman"/>
          <w:sz w:val="24"/>
          <w:szCs w:val="24"/>
        </w:rPr>
        <w:t xml:space="preserve"> </w:t>
      </w:r>
      <w:r w:rsidRPr="00A9700C">
        <w:rPr>
          <w:rFonts w:ascii="Times New Roman" w:hAnsi="Times New Roman" w:cs="Times New Roman"/>
          <w:sz w:val="24"/>
          <w:szCs w:val="24"/>
        </w:rPr>
        <w:t>properties</w:t>
      </w:r>
      <w:r>
        <w:rPr>
          <w:rFonts w:ascii="Times New Roman" w:hAnsi="Times New Roman" w:cs="Times New Roman"/>
          <w:sz w:val="24"/>
          <w:szCs w:val="24"/>
        </w:rPr>
        <w:t xml:space="preserve"> of polymer composites</w:t>
      </w:r>
      <w:r w:rsidRPr="00A9700C">
        <w:rPr>
          <w:rFonts w:ascii="Times New Roman" w:hAnsi="Times New Roman" w:cs="Times New Roman"/>
          <w:sz w:val="24"/>
          <w:szCs w:val="24"/>
        </w:rPr>
        <w:t xml:space="preserve"> depend on the classes of polymer m</w:t>
      </w:r>
      <w:r>
        <w:rPr>
          <w:rFonts w:ascii="Times New Roman" w:hAnsi="Times New Roman" w:cs="Times New Roman"/>
          <w:sz w:val="24"/>
          <w:szCs w:val="24"/>
        </w:rPr>
        <w:t xml:space="preserve">atrix, reinforcements, the orientation and </w:t>
      </w:r>
      <w:r w:rsidRPr="00A9700C">
        <w:rPr>
          <w:rFonts w:ascii="Times New Roman" w:hAnsi="Times New Roman" w:cs="Times New Roman"/>
          <w:sz w:val="24"/>
          <w:szCs w:val="24"/>
        </w:rPr>
        <w:t>size</w:t>
      </w:r>
      <w:r>
        <w:rPr>
          <w:rFonts w:ascii="Times New Roman" w:hAnsi="Times New Roman" w:cs="Times New Roman"/>
          <w:sz w:val="24"/>
          <w:szCs w:val="24"/>
        </w:rPr>
        <w:t xml:space="preserve"> of reinforcements</w:t>
      </w:r>
      <w:r w:rsidRPr="00A9700C">
        <w:rPr>
          <w:rFonts w:ascii="Times New Roman" w:hAnsi="Times New Roman" w:cs="Times New Roman"/>
          <w:sz w:val="24"/>
          <w:szCs w:val="24"/>
        </w:rPr>
        <w:t>, and the com</w:t>
      </w:r>
      <w:r>
        <w:rPr>
          <w:rFonts w:ascii="Times New Roman" w:hAnsi="Times New Roman" w:cs="Times New Roman"/>
          <w:sz w:val="24"/>
          <w:szCs w:val="24"/>
        </w:rPr>
        <w:t>patibility of matrix and reinforcements</w:t>
      </w:r>
      <w:r w:rsidRPr="00A9700C">
        <w:rPr>
          <w:rFonts w:ascii="Times New Roman" w:hAnsi="Times New Roman" w:cs="Times New Roman"/>
          <w:sz w:val="24"/>
          <w:szCs w:val="24"/>
        </w:rPr>
        <w:t xml:space="preserve">. </w:t>
      </w:r>
    </w:p>
    <w:p w14:paraId="18E90445" w14:textId="77777777" w:rsidR="003C6953" w:rsidRPr="00D04290" w:rsidRDefault="003C6953" w:rsidP="003C6953">
      <w:pPr>
        <w:autoSpaceDE w:val="0"/>
        <w:autoSpaceDN w:val="0"/>
        <w:adjustRightInd w:val="0"/>
        <w:spacing w:after="0" w:line="480" w:lineRule="auto"/>
        <w:ind w:firstLine="284"/>
        <w:jc w:val="both"/>
        <w:rPr>
          <w:rFonts w:ascii="TimesNewRomanPSMT" w:hAnsi="TimesNewRomanPSMT" w:cs="TimesNewRomanPSMT"/>
          <w:sz w:val="24"/>
          <w:szCs w:val="24"/>
        </w:rPr>
      </w:pPr>
    </w:p>
    <w:p w14:paraId="3E558BE1" w14:textId="1942BECB" w:rsidR="003C6953" w:rsidRDefault="002D03C9" w:rsidP="003C6953">
      <w:pPr>
        <w:pStyle w:val="Heading1"/>
        <w:spacing w:before="0"/>
      </w:pPr>
      <w:bookmarkStart w:id="5" w:name="_Toc518823224"/>
      <w:r>
        <w:t>2.</w:t>
      </w:r>
      <w:r w:rsidR="003C6953">
        <w:t>2. Polymer nanocomposites</w:t>
      </w:r>
      <w:bookmarkEnd w:id="5"/>
    </w:p>
    <w:p w14:paraId="72E41525" w14:textId="0CCCED55" w:rsidR="003C6953" w:rsidRDefault="003C6953" w:rsidP="003C6953">
      <w:pPr>
        <w:spacing w:after="0" w:line="480" w:lineRule="auto"/>
        <w:jc w:val="both"/>
        <w:rPr>
          <w:rFonts w:asciiTheme="majorBidi" w:hAnsiTheme="majorBidi" w:cstheme="majorBidi"/>
          <w:sz w:val="24"/>
          <w:szCs w:val="24"/>
        </w:rPr>
      </w:pPr>
      <w:r w:rsidRPr="00A610A0">
        <w:rPr>
          <w:rFonts w:asciiTheme="majorBidi" w:hAnsiTheme="majorBidi" w:cstheme="majorBidi"/>
          <w:bCs/>
          <w:sz w:val="24"/>
          <w:szCs w:val="24"/>
        </w:rPr>
        <w:t xml:space="preserve">Polymer nanocomposite is a kind of polymer composites in which reinforcements </w:t>
      </w:r>
      <w:r>
        <w:rPr>
          <w:rFonts w:asciiTheme="majorBidi" w:hAnsiTheme="majorBidi" w:cstheme="majorBidi"/>
          <w:bCs/>
          <w:sz w:val="24"/>
          <w:szCs w:val="24"/>
        </w:rPr>
        <w:t>are shrunk</w:t>
      </w:r>
      <w:r w:rsidRPr="00A610A0">
        <w:rPr>
          <w:rFonts w:asciiTheme="majorBidi" w:hAnsiTheme="majorBidi" w:cstheme="majorBidi"/>
          <w:bCs/>
          <w:sz w:val="24"/>
          <w:szCs w:val="24"/>
        </w:rPr>
        <w:t xml:space="preserve"> from microscale </w:t>
      </w:r>
      <w:r>
        <w:rPr>
          <w:rFonts w:asciiTheme="majorBidi" w:hAnsiTheme="majorBidi" w:cstheme="majorBidi"/>
          <w:bCs/>
          <w:sz w:val="24"/>
          <w:szCs w:val="24"/>
        </w:rPr>
        <w:t>(e.g</w:t>
      </w:r>
      <w:r w:rsidRPr="00A610A0">
        <w:rPr>
          <w:rFonts w:asciiTheme="majorBidi" w:hAnsiTheme="majorBidi" w:cstheme="majorBidi"/>
          <w:bCs/>
          <w:sz w:val="24"/>
          <w:szCs w:val="24"/>
        </w:rPr>
        <w:t>. 10-100 µm)</w:t>
      </w:r>
      <w:r>
        <w:rPr>
          <w:rFonts w:asciiTheme="majorBidi" w:hAnsiTheme="majorBidi" w:cstheme="majorBidi"/>
          <w:bCs/>
          <w:sz w:val="24"/>
          <w:szCs w:val="24"/>
        </w:rPr>
        <w:t xml:space="preserve"> </w:t>
      </w:r>
      <w:r w:rsidRPr="00A610A0">
        <w:rPr>
          <w:rFonts w:asciiTheme="majorBidi" w:hAnsiTheme="majorBidi" w:cstheme="majorBidi"/>
          <w:bCs/>
          <w:sz w:val="24"/>
          <w:szCs w:val="24"/>
        </w:rPr>
        <w:t xml:space="preserve">to the nanoscale </w:t>
      </w:r>
      <w:r>
        <w:rPr>
          <w:rFonts w:asciiTheme="majorBidi" w:hAnsiTheme="majorBidi" w:cstheme="majorBidi"/>
          <w:bCs/>
          <w:sz w:val="24"/>
          <w:szCs w:val="24"/>
        </w:rPr>
        <w:t>(</w:t>
      </w:r>
      <w:r>
        <w:rPr>
          <w:rFonts w:asciiTheme="majorBidi" w:hAnsiTheme="majorBidi" w:cstheme="majorBidi" w:hint="eastAsia"/>
          <w:bCs/>
          <w:sz w:val="24"/>
          <w:szCs w:val="24"/>
        </w:rPr>
        <w:t>e.g</w:t>
      </w:r>
      <w:r>
        <w:rPr>
          <w:rFonts w:asciiTheme="majorBidi" w:hAnsiTheme="majorBidi" w:cstheme="majorBidi"/>
          <w:bCs/>
          <w:sz w:val="24"/>
          <w:szCs w:val="24"/>
        </w:rPr>
        <w:t>. 10-100</w:t>
      </w:r>
      <w:r w:rsidRPr="005E5C85">
        <w:rPr>
          <w:rFonts w:asciiTheme="majorBidi" w:hAnsiTheme="majorBidi" w:cstheme="majorBidi"/>
          <w:bCs/>
          <w:sz w:val="24"/>
          <w:szCs w:val="24"/>
        </w:rPr>
        <w:t xml:space="preserve"> </w:t>
      </w:r>
      <w:r>
        <w:rPr>
          <w:rFonts w:asciiTheme="majorBidi" w:hAnsiTheme="majorBidi" w:cstheme="majorBidi"/>
          <w:bCs/>
          <w:sz w:val="24"/>
          <w:szCs w:val="24"/>
        </w:rPr>
        <w:t>n</w:t>
      </w:r>
      <w:r w:rsidRPr="00A610A0">
        <w:rPr>
          <w:rFonts w:asciiTheme="majorBidi" w:hAnsiTheme="majorBidi" w:cstheme="majorBidi"/>
          <w:bCs/>
          <w:sz w:val="24"/>
          <w:szCs w:val="24"/>
        </w:rPr>
        <w:t>m</w:t>
      </w:r>
      <w:r>
        <w:rPr>
          <w:rFonts w:asciiTheme="majorBidi" w:hAnsiTheme="majorBidi" w:cstheme="majorBidi"/>
          <w:bCs/>
          <w:sz w:val="24"/>
          <w:szCs w:val="24"/>
        </w:rPr>
        <w:t xml:space="preserve">)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"10.1016/S0266-3538(03)00178-7", "ISSN" : "02663538", "author" : [ { "dropping-particle" : "", "family" : "Huang", "given" : "Zheng-Ming", "non-dropping-particle" : "", "parse-names" : false, "suffix" : "" }, { "dropping-particle" : "", "family" : "Zhang", "given" : "Y.-Z.", "non-dropping-particle" : "", "parse-names" : false, "suffix" : "" }, { "dropping-particle" : "", "family" : "Kotaki", "given" : "M.", "non-dropping-particle" : "", "parse-names" : false, "suffix" : "" }, { "dropping-particle" : "", "family" : "Ramakrishna", "given" : "S.", "non-dropping-particle" : "", "parse-names" : false, "suffix" : "" } ], "container-title" : "Composites Science and Technology", "id" : "ITEM-1", "issued" : { "date-parts" : [ [ "2003", "11" ] ] }, "page" : "2223-2253", "title" : "A review on polymer nanofibers by electrospinning and their applications in nanocomposites", "type" : "article-journal", "volume" : "63" }, "uris" : [ "http://www.mendeley.com/documents/?uuid=63aff332-4539-45e0-ac47-17b1be2e4558" ] } ], "mendeley" : { "formattedCitation" : "[1]", "plainTextFormattedCitation" : "[1]", "previouslyFormattedCitation" : "[1]"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[1]</w:t>
      </w:r>
      <w:r>
        <w:rPr>
          <w:rFonts w:asciiTheme="majorBidi" w:hAnsiTheme="majorBidi" w:cstheme="majorBidi"/>
          <w:bCs/>
          <w:sz w:val="24"/>
          <w:szCs w:val="24"/>
        </w:rPr>
        <w:fldChar w:fldCharType="end"/>
      </w:r>
      <w:r w:rsidRPr="00A610A0">
        <w:rPr>
          <w:rFonts w:asciiTheme="majorBidi" w:hAnsiTheme="majorBidi" w:cstheme="majorBidi"/>
          <w:bCs/>
          <w:sz w:val="24"/>
          <w:szCs w:val="24"/>
        </w:rPr>
        <w:t xml:space="preserve">. Owing to the huge specific surface </w:t>
      </w:r>
      <w:r w:rsidR="006A68CE">
        <w:rPr>
          <w:rFonts w:asciiTheme="majorBidi" w:hAnsiTheme="majorBidi" w:cstheme="majorBidi"/>
          <w:bCs/>
          <w:sz w:val="24"/>
          <w:szCs w:val="24"/>
        </w:rPr>
        <w:t xml:space="preserve">area </w:t>
      </w:r>
      <w:r w:rsidRPr="00A610A0">
        <w:rPr>
          <w:rFonts w:asciiTheme="majorBidi" w:hAnsiTheme="majorBidi" w:cstheme="majorBidi"/>
          <w:bCs/>
          <w:sz w:val="24"/>
          <w:szCs w:val="24"/>
        </w:rPr>
        <w:t>(the volume can be as 3 times as that of micro</w:t>
      </w:r>
      <w:r w:rsidR="00217DC8">
        <w:rPr>
          <w:rFonts w:asciiTheme="majorBidi" w:hAnsiTheme="majorBidi" w:cstheme="majorBidi"/>
          <w:bCs/>
          <w:sz w:val="24"/>
          <w:szCs w:val="24"/>
        </w:rPr>
        <w:t xml:space="preserve"> </w:t>
      </w:r>
      <w:r w:rsidRPr="00A610A0">
        <w:rPr>
          <w:rFonts w:asciiTheme="majorBidi" w:hAnsiTheme="majorBidi" w:cstheme="majorBidi"/>
          <w:bCs/>
          <w:sz w:val="24"/>
          <w:szCs w:val="24"/>
        </w:rPr>
        <w:t>sized fillers) of nano</w:t>
      </w:r>
      <w:r>
        <w:rPr>
          <w:rFonts w:asciiTheme="majorBidi" w:hAnsiTheme="majorBidi" w:cstheme="majorBidi"/>
          <w:bCs/>
          <w:sz w:val="24"/>
          <w:szCs w:val="24"/>
        </w:rPr>
        <w:t xml:space="preserve"> </w:t>
      </w:r>
      <w:r w:rsidRPr="00A610A0">
        <w:rPr>
          <w:rFonts w:asciiTheme="majorBidi" w:hAnsiTheme="majorBidi" w:cstheme="majorBidi"/>
          <w:bCs/>
          <w:sz w:val="24"/>
          <w:szCs w:val="24"/>
        </w:rPr>
        <w:t xml:space="preserve">fillers, </w:t>
      </w:r>
      <w:r>
        <w:rPr>
          <w:rFonts w:asciiTheme="majorBidi" w:hAnsiTheme="majorBidi" w:cstheme="majorBidi"/>
          <w:bCs/>
          <w:sz w:val="24"/>
          <w:szCs w:val="24"/>
        </w:rPr>
        <w:t xml:space="preserve">the optimum properties of polymers can be achieved even at low concentration due to the strong interfacial interaction </w:t>
      </w:r>
      <w:r w:rsidRPr="00A610A0">
        <w:rPr>
          <w:rFonts w:asciiTheme="majorBidi" w:hAnsiTheme="majorBidi" w:cstheme="majorBidi"/>
          <w:bCs/>
          <w:sz w:val="24"/>
          <w:szCs w:val="24"/>
        </w:rPr>
        <w:t>between polymer matrix and reinforcements</w:t>
      </w:r>
      <w:r>
        <w:rPr>
          <w:rFonts w:asciiTheme="majorBidi" w:hAnsiTheme="majorBidi" w:cstheme="majorBidi"/>
          <w:bCs/>
          <w:sz w:val="24"/>
          <w:szCs w:val="24"/>
        </w:rPr>
        <w:t xml:space="preserve">. These includes enhanced modulus, strength, high chemical and heat resistance, and decreased flammability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"10.1002/(SICI)1099-0739(199810/11)12:10/11&lt;675::AID-AOC779&gt;3.0.CO;2-V", "ISBN" : "1099-0739", "ISSN" : "0268-2605", "abstract" : "Peer Reviewed", "author" : [ { "dropping-particle" : "", "family" : "Giannelis", "given" : "Emmanuel P.", "non-dropping-particle" : "", "parse-names" : false, "suffix" : "" } ], "container-title" : "Applied Organometallic Chemistry", "id" : "ITEM-1", "issued" : { "date-parts" : [ [ "1998" ] ] }, "page" : "675-680", "title" : "Polymer-layered silicate nanocomposites: Synthesis, properties and applications", "type" : "article-journal", "volume" : "12" }, "uris" : [ "http://www.mendeley.com/documents/?uuid=b6829163-a7fb-42f4-9aa3-044879a09c4f" ] } ], "mendeley" : { "formattedCitation" : "[12]", "plainTextFormattedCitation" : "[12]", "previouslyFormattedCitation" : "[12]"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[12]</w:t>
      </w:r>
      <w:r>
        <w:rPr>
          <w:rFonts w:asciiTheme="majorBidi" w:hAnsiTheme="majorBidi" w:cstheme="majorBidi"/>
          <w:bCs/>
          <w:sz w:val="24"/>
          <w:szCs w:val="24"/>
        </w:rPr>
        <w:fldChar w:fldCharType="end"/>
      </w:r>
      <w:r>
        <w:rPr>
          <w:rFonts w:asciiTheme="majorBidi" w:hAnsiTheme="majorBidi" w:cstheme="majorBidi"/>
          <w:bCs/>
          <w:sz w:val="24"/>
          <w:szCs w:val="24"/>
        </w:rPr>
        <w:t>. Currently, extensive works have been published on polymer nanocomposites. For instance, Chan et al. synthesized polypropylene/calcium carbonate (PP/CaCO</w:t>
      </w:r>
      <w:r w:rsidRPr="00AD4706">
        <w:rPr>
          <w:rFonts w:asciiTheme="majorBidi" w:hAnsiTheme="majorBidi" w:cstheme="majorBidi"/>
          <w:bCs/>
          <w:sz w:val="24"/>
          <w:szCs w:val="24"/>
          <w:vertAlign w:val="subscript"/>
        </w:rPr>
        <w:t>3</w:t>
      </w:r>
      <w:r>
        <w:rPr>
          <w:rFonts w:asciiTheme="majorBidi" w:hAnsiTheme="majorBidi" w:cstheme="majorBidi"/>
          <w:bCs/>
          <w:sz w:val="24"/>
          <w:szCs w:val="24"/>
        </w:rPr>
        <w:t xml:space="preserve">) nanocomposites by melt mixing method, which exhibited a 85% improvement on Young’s modulus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"10.1016/S0032-3861(02)00120-9", "ISBN" : "0032-3861", "ISSN" : "00323861", "abstract" : "Polypropylene (PP) and calcium carbonate nanocomposites were prepared by melt mixing in a Haake mixer. The average primary particle size of the CaCO3 nanoparticles was measured to be about 44nm. The dispersion of the CaCO3 nanoparticles in PP was good for filler content below 9.2vol%. Differential scanning calorimetry (DSC) results indicated that the CaCO3 nanoparticles are a very effective nucleating agent for PP. Tensile tests showed that the modulus of the nanocomposites increased by approximately 85%, while the ultimate stress and strain, as well as yield stress and strain were not much affected by the presence of CaCO3 nanoparticles. The results of the tensile test can be explained by the presence of the two-counter balancing forces\u2014the reinforcing effect of the CaCO3 nanoparticles and the decrease in spherulite size of the PP. Izod impact tests suggested that the incorporation of CaCO3 nanoparticles in PP has significantly increased its impact strength by approximately 300%. J-integral tests showed a dramatic 500% increase in the notched fracture toughness. Micrographs of scanning electron microscopy revealed the absence of spherulitic structure for the PP matrix. In addition, DSC results indicated the presence of a small amount of \u03b2 phase PP after the addition of the calcium carbonate nanoparticles. We believe that the large number of CaCO3 nanoparticles can act as stress concentration sites, which can promote cavitation at the particle\u2013polymer boundaries during loading. The cavitation can release the plastic constraints and trigger mass plastic deformation of the matrix, leading to much improved fracture toughness.", "author" : [ { "dropping-particle" : "", "family" : "Chan", "given" : "Chi-Ming", "non-dropping-particle" : "", "parse-names" : false, "suffix" : "" }, { "dropping-particle" : "", "family" : "Wu", "given" : "Jingshen", "non-dropping-particle" : "", "parse-names" : false, "suffix" : "" }, { "dropping-particle" : "", "family" : "Li", "given" : "Jian-Xiong", "non-dropping-particle" : "", "parse-names" : false, "suffix" : "" }, { "dropping-particle" : "", "family" : "Cheung", "given" : "Ying-Kit", "non-dropping-particle" : "", "parse-names" : false, "suffix" : "" } ], "container-title" : "Polymer", "id" : "ITEM-1", "issue" : "10", "issued" : { "date-parts" : [ [ "2002" ] ] }, "page" : "2981-2992", "title" : "Polypropylene/calcium carbonate nanocomposites", "type" : "article-journal", "volume" : "43" }, "uris" : [ "http://www.mendeley.com/documents/?uuid=f489b98f-1a9e-4f1a-ac72-06239e79b7ca" ] } ], "mendeley" : { "formattedCitation" : "[13]", "plainTextFormattedCitation" : "[13]", "previouslyFormattedCitation" : "[13]"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[13]</w:t>
      </w:r>
      <w:r>
        <w:rPr>
          <w:rFonts w:asciiTheme="majorBidi" w:hAnsiTheme="majorBidi" w:cstheme="majorBidi"/>
          <w:bCs/>
          <w:sz w:val="24"/>
          <w:szCs w:val="24"/>
        </w:rPr>
        <w:fldChar w:fldCharType="end"/>
      </w:r>
      <w:r>
        <w:rPr>
          <w:rFonts w:asciiTheme="majorBidi" w:hAnsiTheme="majorBidi" w:cstheme="majorBidi"/>
          <w:bCs/>
          <w:sz w:val="24"/>
          <w:szCs w:val="24"/>
        </w:rPr>
        <w:t>. Liu et al. developed nylon 11/</w:t>
      </w:r>
      <w:r w:rsidR="00217DC8">
        <w:rPr>
          <w:rFonts w:asciiTheme="majorBidi" w:hAnsiTheme="majorBidi" w:cstheme="majorBidi"/>
          <w:bCs/>
          <w:sz w:val="24"/>
          <w:szCs w:val="24"/>
        </w:rPr>
        <w:t>organ clay</w:t>
      </w:r>
      <w:r>
        <w:rPr>
          <w:rFonts w:asciiTheme="majorBidi" w:hAnsiTheme="majorBidi" w:cstheme="majorBidi"/>
          <w:bCs/>
          <w:sz w:val="24"/>
          <w:szCs w:val="24"/>
        </w:rPr>
        <w:t xml:space="preserve"> nanocomposite by melting compounding method, which exhibited an enhanced tensile strength, Young’s modulus, storage modulus and thermal stability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"10.1016/S0032-3861(03)00252-0", "ISBN" : "0032-3861", "ISSN" : "00323861", "abstract" : "Nylon 11/organoclay nanocomposites have been successfully prepared by melt-compounding. X-ray diffraction and transmission electron microscopy indicate the formation of the exfoliated nanocomposites at low clay concentrations (less than 4 wt%) and a mixture of exfoliated and intercalated nanocomposites at higher clay contents. Thermogravimetric and dynamic mechanical analyses as well as tensile tests show that the degree of dispersion of nanoclay within polymer matrix plays a vital role in property improvement. The thermal stability and mechanical properties of the exfoliated nylon 11/clay nanocomposites (containing lower clay concentrations) are superior to those of the intercalated ones (with higher clay contents), due to the finer dispersion of organoclay among the matrix. \u00a9 2003 Elsevier Science Ltd. All rights reserved.", "author" : [ { "dropping-particle" : "", "family" : "Liu", "given" : "Tianxi", "non-dropping-particle" : "", "parse-names" : false, "suffix" : "" }, { "dropping-particle" : "", "family" : "Lim", "given" : "Kian Ping", "non-dropping-particle" : "", "parse-names" : false, "suffix" : "" }, { "dropping-particle" : "", "family" : "Tjiu", "given" : "Wuiwui Chauhari", "non-dropping-particle" : "", "parse-names" : false, "suffix" : "" }, { "dropping-particle" : "", "family" : "Pramoda", "given" : "K. P.", "non-dropping-particle" : "", "parse-names" : false, "suffix" : "" }, { "dropping-particle" : "", "family" : "Chen", "given" : "Zhi Kuan", "non-dropping-particle" : "", "parse-names" : false, "suffix" : "" } ], "container-title" : "Polymer", "id" : "ITEM-1", "issue" : "12", "issued" : { "date-parts" : [ [ "2003" ] ] }, "page" : "3529-3535", "title" : "Preparation and characterization of nylon 11/organoclay nanocomposites", "type" : "article-journal", "volume" : "44" }, "uris" : [ "http://www.mendeley.com/documents/?uuid=a9e5be4a-beed-4516-abf4-35119550a108" ] } ], "mendeley" : { "formattedCitation" : "[14]", "plainTextFormattedCitation" : "[14]", "previouslyFormattedCitation" : "[14]"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[14]</w:t>
      </w:r>
      <w:r>
        <w:rPr>
          <w:rFonts w:asciiTheme="majorBidi" w:hAnsiTheme="majorBidi" w:cstheme="majorBidi"/>
          <w:bCs/>
          <w:sz w:val="24"/>
          <w:szCs w:val="24"/>
        </w:rPr>
        <w:fldChar w:fldCharType="end"/>
      </w:r>
      <w:r>
        <w:rPr>
          <w:rFonts w:asciiTheme="majorBidi" w:hAnsiTheme="majorBidi" w:cstheme="majorBidi"/>
          <w:bCs/>
          <w:sz w:val="24"/>
          <w:szCs w:val="24"/>
        </w:rPr>
        <w:t xml:space="preserve">. To </w:t>
      </w:r>
      <w:r w:rsidRPr="00A610A0">
        <w:rPr>
          <w:rFonts w:asciiTheme="majorBidi" w:hAnsiTheme="majorBidi" w:cstheme="majorBidi"/>
          <w:bCs/>
          <w:sz w:val="24"/>
          <w:szCs w:val="24"/>
        </w:rPr>
        <w:t xml:space="preserve">date, </w:t>
      </w:r>
      <w:r>
        <w:rPr>
          <w:rFonts w:asciiTheme="majorBidi" w:hAnsiTheme="majorBidi" w:cstheme="majorBidi"/>
          <w:bCs/>
          <w:sz w:val="24"/>
          <w:szCs w:val="24"/>
        </w:rPr>
        <w:t>the common</w:t>
      </w:r>
      <w:r w:rsidRPr="00A610A0">
        <w:rPr>
          <w:rFonts w:asciiTheme="majorBidi" w:hAnsiTheme="majorBidi" w:cstheme="majorBidi"/>
          <w:bCs/>
          <w:sz w:val="24"/>
          <w:szCs w:val="24"/>
        </w:rPr>
        <w:t xml:space="preserve"> nano</w:t>
      </w:r>
      <w:r>
        <w:rPr>
          <w:rFonts w:asciiTheme="majorBidi" w:hAnsiTheme="majorBidi" w:cstheme="majorBidi"/>
          <w:bCs/>
          <w:sz w:val="24"/>
          <w:szCs w:val="24"/>
        </w:rPr>
        <w:t>fillers includes</w:t>
      </w:r>
      <w:r w:rsidRPr="00A610A0">
        <w:rPr>
          <w:rFonts w:asciiTheme="majorBidi" w:hAnsiTheme="majorBidi" w:cstheme="majorBidi"/>
          <w:bCs/>
          <w:sz w:val="24"/>
          <w:szCs w:val="24"/>
        </w:rPr>
        <w:t xml:space="preserve"> carbon nanotubes, nano</w:t>
      </w:r>
      <w:r>
        <w:rPr>
          <w:rFonts w:asciiTheme="majorBidi" w:hAnsiTheme="majorBidi" w:cstheme="majorBidi"/>
          <w:bCs/>
          <w:sz w:val="24"/>
          <w:szCs w:val="24"/>
        </w:rPr>
        <w:t>clay</w:t>
      </w:r>
      <w:r w:rsidRPr="00A610A0">
        <w:rPr>
          <w:rFonts w:asciiTheme="majorBidi" w:hAnsiTheme="majorBidi" w:cstheme="majorBidi"/>
          <w:bCs/>
          <w:sz w:val="24"/>
          <w:szCs w:val="24"/>
        </w:rPr>
        <w:t xml:space="preserve">, graphene and its derivatives. </w:t>
      </w:r>
      <w:r>
        <w:rPr>
          <w:rFonts w:asciiTheme="majorBidi" w:hAnsiTheme="majorBidi" w:cstheme="majorBidi"/>
          <w:bCs/>
          <w:sz w:val="24"/>
          <w:szCs w:val="24"/>
        </w:rPr>
        <w:t>Layered silicate clay is an effective reinforcement for polymers due to its high specific surface area (750 m</w:t>
      </w:r>
      <w:r w:rsidRPr="008D5C45">
        <w:rPr>
          <w:rFonts w:asciiTheme="majorBidi" w:hAnsiTheme="majorBidi" w:cstheme="majorBidi"/>
          <w:bCs/>
          <w:sz w:val="24"/>
          <w:szCs w:val="24"/>
          <w:vertAlign w:val="superscript"/>
        </w:rPr>
        <w:t>2</w:t>
      </w:r>
      <w:r>
        <w:rPr>
          <w:rFonts w:asciiTheme="majorBidi" w:hAnsiTheme="majorBidi" w:cstheme="majorBidi"/>
          <w:bCs/>
          <w:sz w:val="24"/>
          <w:szCs w:val="24"/>
        </w:rPr>
        <w:t xml:space="preserve"> g</w:t>
      </w:r>
      <w:r w:rsidRPr="008D5C45">
        <w:rPr>
          <w:rFonts w:asciiTheme="majorBidi" w:hAnsiTheme="majorBidi" w:cstheme="majorBidi"/>
          <w:bCs/>
          <w:sz w:val="24"/>
          <w:szCs w:val="24"/>
          <w:vertAlign w:val="superscript"/>
        </w:rPr>
        <w:t>-1</w:t>
      </w:r>
      <w:r>
        <w:rPr>
          <w:rFonts w:asciiTheme="majorBidi" w:hAnsiTheme="majorBidi" w:cstheme="majorBidi"/>
          <w:bCs/>
          <w:sz w:val="24"/>
          <w:szCs w:val="24"/>
        </w:rPr>
        <w:t xml:space="preserve">) and lamellar structure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"10.1002/adma.19960080104", "ISBN" : "1439-2054", "ISSN" : "09359648", "abstract" : "Polymers filled with low amounts of layered silicate dispersed at nanoscale level are most promising materials characterized by a combination of chemical, physical and mechanical properties that cannot be obtained with macro- or microscopic dispersions of inorganic fillers. Polymer layered silicate nanocomposites can be obtained by insertion of polymer molecules in the galleries between the layers of phyllosilicate. Here, hydrated alkaline or alkaline earth metal cations are hosted which neutralize the negative charge resulting from isomorphous substitutions of Mg or Al cations within the silicate. Insertion of polymer molecules to prepare ldquointercalation hybridsrdquo can be carried out by replacing the water hydration molecules in the galleries by polymers containing polar functional groups, using the so called ion-dipole method. A more general technique involves compatibilization of the silicate by intercalation of an organic molecule, typically an organic alkylammonium salt, that replaces the cations in the interlayer galleries to form an organically modified layered silicate (OLS). The aliphatic chain of the OLS favors the intercalation of any type of polymer. Intercalated or delaminated polymer-silicate hybrids are obtained depending on whether the stack organization of the silicate layers is preserved or is lost, with single sheets being distributed in the polymer matrix. The methods currently used for preparing polymer layered silicate (PLS) nanocomposites are: in situ polymerization, from polymer solution, or from polymer melt. Although PLS nanocomposites have been known for a long time, it is the possibility of preparing them by melt intercalation of OLS in processing that is boosting the present interest in these materials and their properties. So far PLS nanocomposites have been characterized by X-ray diffractometry, transmission electron microscopy, differential scanning calorimetry, and NMR. Published results on PLS nanocomposites are reviewed concerning their characterization and properties with particular reference to fire retardant behavior.", "author" : [ { "dropping-particle" : "", "family" : "Emmanuel P. Giannelis", "given" : "", "non-dropping-particle" : "", "parse-names" : false, "suffix" : "" } ], "container-title" : "Macromolecular Materials and Engineering", "id" : "ITEM-1", "issued" : { "date-parts" : [ [ "1996" ] ] }, "page" : "29-35", "title" : "Polymer layered silicate nanocomposites", "type" : "article-journal", "volume" : "8" }, "uris" : [ "http://www.mendeley.com/documents/?uuid=b69bc2ec-60d7-4001-92bc-caf77bb5a3fd" ] }, { "id" : "ITEM-2", "itemData" : { "DOI" : "10.1002/adma.201101948", "ISBN" : "09359648", "ISSN" : "09359648", "abstract" : "Smectite clays (e.g. montmorillonite), belonging to the structural family called 2:1 phyllosilicates, are the main choice for designing polymer nanocomposites due to their low cost and rich intercalation chemistry allowing them to be chemically modified (organoclays) and to improve the compatibility with the polymer matrix. These hybrid materials, normally called polymeric nanocomposites (PNC), represent a radical alternative to conventional polymer composites and have focused the attention of both academia and industry because of their unexpected properties, and their straightforward synthesis and processing. Such materials on the nanoscale level show significant improvements in mechanical properties, heat distortion temperatures, thermal stability, flame retardancy and enhanced barrier properties. The combination of enhanced properties, weight reduction, and low cost has led to interesting commercial applications such as automotive and packaging, among others. All this justifies the growing interest of both academia and industry in the development of these hybrid materials. In this paper we describe the most significant findings in the clay/polymer nanocomposites field considering three polymer families: elastomers, thermosets and polymers from natural resources or biopolymers. The incorporation of organoclay into nanocomposites gives rise to a new relaxation mode ascribed to a restricted segmental mode. This new relaxation was attributed to segmental dynamics of the polymer chains partially immobilized as an interface layer around the clay particles, and so the interfacial effects dominate the bulk properties of the material. Copyright \u00a9 2011 WILEY-VCH Verlag GmbH &amp; Co. KGaA, Weinheim.", "author" : [ { "dropping-particle" : "", "family" : "Bitinis", "given" : "N.", "non-dropping-particle" : "", "parse-names" : false, "suffix" : "" }, { "dropping-particle" : "", "family" : "Hernandez", "given" : "M.", "non-dropping-particle" : "", "parse-names" : false, "suffix" : "" }, { "dropping-particle" : "", "family" : "Verdejo", "given" : "R.", "non-dropping-particle" : "", "parse-names" : false, "suffix" : "" }, { "dropping-particle" : "", "family" : "Kenny", "given" : "J. M.", "non-dropping-particle" : "", "parse-names" : false, "suffix" : "" }, { "dropping-particle" : "", "family" : "Lopez-Manchado", "given" : "M. A.", "non-dropping-particle" : "", "parse-names" : false, "suffix" : "" } ], "container-title" : "Advanced Materials", "id" : "ITEM-2", "issue" : "44", "issued" : { "date-parts" : [ [ "2011" ] ] }, "page" : "5229-5236", "title" : "Recent advances in clay/polymer nanocomposites", "type" : "article-journal", "volume" : "23" }, "uris" : [ "http://www.mendeley.com/documents/?uuid=004ecb18-c3bd-429d-b782-1cce189eba60" ] } ], "mendeley" : { "formattedCitation" : "[15,16]", "plainTextFormattedCitation" : "[15,16]", "previouslyFormattedCitation" : "[15,16]"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[15,16]</w:t>
      </w:r>
      <w:r>
        <w:rPr>
          <w:rFonts w:asciiTheme="majorBidi" w:hAnsiTheme="majorBidi" w:cstheme="majorBidi"/>
          <w:bCs/>
          <w:sz w:val="24"/>
          <w:szCs w:val="24"/>
        </w:rPr>
        <w:fldChar w:fldCharType="end"/>
      </w:r>
      <w:r>
        <w:rPr>
          <w:rFonts w:asciiTheme="majorBidi" w:hAnsiTheme="majorBidi" w:cstheme="majorBidi"/>
          <w:bCs/>
          <w:sz w:val="24"/>
          <w:szCs w:val="24"/>
        </w:rPr>
        <w:t xml:space="preserve">. However, </w:t>
      </w:r>
      <w:r>
        <w:rPr>
          <w:rFonts w:asciiTheme="majorBidi" w:hAnsiTheme="majorBidi" w:cstheme="majorBidi" w:hint="eastAsia"/>
          <w:bCs/>
          <w:sz w:val="24"/>
          <w:szCs w:val="24"/>
        </w:rPr>
        <w:t>c</w:t>
      </w:r>
      <w:r>
        <w:rPr>
          <w:rFonts w:asciiTheme="majorBidi" w:hAnsiTheme="majorBidi" w:cstheme="majorBidi"/>
          <w:bCs/>
          <w:sz w:val="24"/>
          <w:szCs w:val="24"/>
        </w:rPr>
        <w:t xml:space="preserve">lay is poor in electrical and thermal conductivity, which limit its applications like electrical devices. Carbon nanotubes (CNTs) possesses high Young’s modulus (270-950 GPa), high tensile strength (11-63 GPa), </w:t>
      </w:r>
      <w:r w:rsidRPr="00470CB9">
        <w:rPr>
          <w:rFonts w:asciiTheme="majorBidi" w:hAnsiTheme="majorBidi" w:cstheme="majorBidi"/>
          <w:sz w:val="24"/>
          <w:szCs w:val="24"/>
        </w:rPr>
        <w:t>intrinsic</w:t>
      </w:r>
      <w:r>
        <w:rPr>
          <w:rFonts w:asciiTheme="majorBidi" w:hAnsiTheme="majorBidi" w:cstheme="majorBidi"/>
          <w:sz w:val="24"/>
          <w:szCs w:val="24"/>
        </w:rPr>
        <w:t xml:space="preserve"> electron mobility (10</w:t>
      </w:r>
      <w:r w:rsidRPr="00300A9A">
        <w:rPr>
          <w:rFonts w:asciiTheme="majorBidi" w:hAnsiTheme="majorBidi" w:cstheme="majorBidi"/>
          <w:sz w:val="24"/>
          <w:szCs w:val="24"/>
          <w:vertAlign w:val="superscript"/>
        </w:rPr>
        <w:t>5</w:t>
      </w:r>
      <w:r w:rsidRPr="00470CB9">
        <w:rPr>
          <w:rFonts w:asciiTheme="majorBidi" w:hAnsiTheme="majorBidi" w:cstheme="majorBidi"/>
          <w:sz w:val="24"/>
          <w:szCs w:val="24"/>
        </w:rPr>
        <w:t xml:space="preserve"> cm</w:t>
      </w:r>
      <w:r w:rsidRPr="00470CB9">
        <w:rPr>
          <w:rFonts w:asciiTheme="majorBidi" w:hAnsiTheme="majorBidi" w:cstheme="majorBidi"/>
          <w:sz w:val="24"/>
          <w:szCs w:val="24"/>
          <w:vertAlign w:val="superscript"/>
        </w:rPr>
        <w:t>2</w:t>
      </w:r>
      <w:r>
        <w:rPr>
          <w:rFonts w:asciiTheme="majorBidi" w:hAnsiTheme="majorBidi" w:cstheme="majorBidi"/>
          <w:sz w:val="24"/>
          <w:szCs w:val="24"/>
          <w:vertAlign w:val="superscript"/>
        </w:rPr>
        <w:t xml:space="preserve"> </w:t>
      </w:r>
      <w:r w:rsidRPr="00470CB9">
        <w:rPr>
          <w:rFonts w:asciiTheme="majorBidi" w:hAnsiTheme="majorBidi" w:cstheme="majorBidi"/>
          <w:sz w:val="24"/>
          <w:szCs w:val="24"/>
        </w:rPr>
        <w:t>V</w:t>
      </w:r>
      <w:r w:rsidRPr="00470CB9">
        <w:rPr>
          <w:rFonts w:asciiTheme="majorBidi" w:hAnsiTheme="majorBidi" w:cstheme="majorBidi"/>
          <w:sz w:val="24"/>
          <w:szCs w:val="24"/>
          <w:vertAlign w:val="superscript"/>
        </w:rPr>
        <w:t>-1</w:t>
      </w:r>
      <w:r>
        <w:rPr>
          <w:rFonts w:asciiTheme="majorBidi" w:hAnsiTheme="majorBidi" w:cstheme="majorBidi"/>
          <w:sz w:val="24"/>
          <w:szCs w:val="24"/>
          <w:vertAlign w:val="superscript"/>
        </w:rPr>
        <w:t xml:space="preserve"> </w:t>
      </w:r>
      <w:r>
        <w:rPr>
          <w:rFonts w:asciiTheme="majorBidi" w:hAnsiTheme="majorBidi" w:cstheme="majorBidi"/>
          <w:sz w:val="24"/>
          <w:szCs w:val="24"/>
        </w:rPr>
        <w:t>s</w:t>
      </w:r>
      <w:r w:rsidRPr="00470CB9">
        <w:rPr>
          <w:rFonts w:asciiTheme="majorBidi" w:hAnsiTheme="majorBidi" w:cstheme="majorBidi"/>
          <w:sz w:val="24"/>
          <w:szCs w:val="24"/>
          <w:vertAlign w:val="superscript"/>
        </w:rPr>
        <w:t>-1</w:t>
      </w:r>
      <w:r>
        <w:rPr>
          <w:rFonts w:asciiTheme="majorBidi" w:hAnsiTheme="majorBidi" w:cstheme="majorBidi"/>
          <w:sz w:val="24"/>
          <w:szCs w:val="24"/>
          <w:vertAlign w:val="superscript"/>
        </w:rPr>
        <w:t xml:space="preserve"> </w:t>
      </w:r>
      <w:r>
        <w:rPr>
          <w:rFonts w:asciiTheme="majorBidi" w:hAnsiTheme="majorBidi" w:cstheme="majorBidi"/>
          <w:sz w:val="24"/>
          <w:szCs w:val="24"/>
        </w:rPr>
        <w:t xml:space="preserve">at room temperature)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"10.5772/50570", "ISBN" : "9789537619824", "ISSN" : "9789533070865", "PMID" : "100220790", "author" : [ { "dropping-particle" : "", "family" : "Dai", "given" : "Lixing", "non-dropping-particle" : "", "parse-names" : false, "suffix" : "" }, { "dropping-particle" : "", "family" : "Sun", "given" : "Jun", "non-dropping-particle" : "", "parse-names" : false, "suffix" : "" } ], "chapter-number" : "Chapter 6", "container-title" : "Carbon nanotubes-current progress of their polymer composites", "editor" : [ { "dropping-particle" : "", "family" : "Hafez", "given" : "Mohamed Reda Berber and Inas Hazzaa", "non-dropping-particle" : "", "parse-names" : false, "suffix" : "" } ], "id" : "ITEM-1", "issued" : { "date-parts" : [ [ "2013" ] ] }, "page" : "155-194", "publisher" : "Intech", "title" : "Mechanical properties of carbon nanotubes-polymer composites", "type" : "chapter" }, "uris" : [ "http://www.mendeley.com/documents/?uuid=6e9deb13-103b-4772-a18e-d0b301f69a49" ] }, { "id" : "ITEM-2", "itemData" : { "DOI" : "10.1016/j.progpolymsci.2009.09.003", "ISBN" : "0079-6700", "ISSN" : "00796700", "PMID" : "17058274", "abstract" : "Carbon nanotubes have long been recognized as the stiffest and strongest man-made material known to date. In addition, their high electrical conductivity has roused interest in the area of electrical appliances and communication related applications. However, due to their miniscule size, the excellent properties of these nanostructures can only be exploited if they are homogeneously embedded into light-weight matrices as those offered by a whole series of engineering polymers. We review the present state of polymer nanocomposites research in which the fillers are carbon nanotubes. In order to enhance their chemical affinity to engineering polymer matrices, chemical modification of the graphitic sidewalls and tips is necessary. In this review, an extended account of the various chemical strategies for grafting polymers onto carbon nanotubes and the manufacturing of carbon nanotube/polymer nanocomposites is given. The mechanical and electrical properties to date of a whole range of nanocomposites of various carbon nanotube contents are also reviewed in an attempt to facilitate progress in this emerging area. ?? 2009 Elsevier Ltd. All rights reserved.", "author" : [ { "dropping-particle" : "", "family" : "Spitalsky", "given" : "Zdenko", "non-dropping-particle" : "", "parse-names" : false, "suffix" : "" }, { "dropping-particle" : "", "family" : "Tasis", "given" : "Dimitrios", "non-dropping-particle" : "", "parse-names" : false, "suffix" : "" }, { "dropping-particle" : "", "family" : "Papagelis", "given" : "Konstantinos", "non-dropping-particle" : "", "parse-names" : false, "suffix" : "" }, { "dropping-particle" : "", "family" : "Galiotis", "given" : "Costas", "non-dropping-particle" : "", "parse-names" : false, "suffix" : "" } ], "container-title" : "Progress in Polymer Science (Oxford)", "id" : "ITEM-2", "issue" : "3", "issued" : { "date-parts" : [ [ "2010" ] ] }, "page" : "357-401", "title" : "Carbon nanotube-polymer composites: Chemistry, processing, mechanical and electrical properties", "type" : "article-journal", "volume" : "35" }, "uris" : [ "http://www.mendeley.com/documents/?uuid=27d033c6-69f7-4a27-9940-411fdb90fb72" ] } ], "mendeley" : { "formattedCitation" : "[17,18]", "plainTextFormattedCitation" : "[17,18]", "previouslyFormattedCitation" : "[17,18]"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[17,18]</w:t>
      </w:r>
      <w:r>
        <w:rPr>
          <w:rFonts w:asciiTheme="majorBidi" w:hAnsiTheme="majorBidi" w:cstheme="majorBidi"/>
          <w:sz w:val="24"/>
          <w:szCs w:val="24"/>
        </w:rPr>
        <w:fldChar w:fldCharType="end"/>
      </w:r>
      <w:r>
        <w:rPr>
          <w:rFonts w:asciiTheme="majorBidi" w:hAnsiTheme="majorBidi" w:cstheme="majorBidi"/>
          <w:sz w:val="24"/>
          <w:szCs w:val="24"/>
        </w:rPr>
        <w:t xml:space="preserve">. However, the high production cost is the big drawback for CNTs which limits its applications. CNTs has been considered as the </w:t>
      </w:r>
      <w:r w:rsidR="00217DC8">
        <w:rPr>
          <w:rFonts w:asciiTheme="majorBidi" w:hAnsiTheme="majorBidi" w:cstheme="majorBidi"/>
          <w:sz w:val="24"/>
          <w:szCs w:val="24"/>
        </w:rPr>
        <w:t>strongest</w:t>
      </w:r>
      <w:r>
        <w:rPr>
          <w:rFonts w:asciiTheme="majorBidi" w:hAnsiTheme="majorBidi" w:cstheme="majorBidi"/>
          <w:sz w:val="24"/>
          <w:szCs w:val="24"/>
        </w:rPr>
        <w:t xml:space="preserve"> nanofillers for a long time until the discovery of graphene. Graphene is predicted to have a potential for tremendous applications due to its high modulus and tensile strength which is similar or slightly higher than that of CNTs. Moreover, it exhibit high electrical conductivity, thermal conductivity, high aspect surface area, and low cost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"10.1016/j.progpolymsci.2010.07.005", "ISBN" : "0079-6700", "ISSN" : "00796700", "abstract" : "This paper reviews recent advances in the modification of graphene and the fabrication of graphene-based polymer nanocomposites. Recently, graphene has attracted both academic and industrial interest because it can produce a dramatic improvement in properties at very low filler content. The modification of graphene/graphene oxide and the utilization of these materials in the fabrication of nanocomposites with different polymer matrixes have been explored. Different organic polymers have been used to fabricate graphene filled polymer nanocomposites by a range of methods. In the case of modified graphene-based polymer nanocomposites, the percolation threshold can be achieved at a very lower filler loading. Herein, the structure, preparation and properties of polymer/graphene nanocomposites are discussed in general along with detailed examples drawn from the scientific literature.", "author" : [ { "dropping-particle" : "", "family" : "Kuilla", "given" : "Tapas", "non-dropping-particle" : "", "parse-names" : false, "suffix" : "" }, { "dropping-particle" : "", "family" : "Bhadra", "given" : "Sambhu", "non-dropping-particle" : "", "parse-names" : false, "suffix" : "" }, { "dropping-particle" : "", "family" : "Yao", "given" : "Dahu H", "non-dropping-particle" : "", "parse-names" : false, "suffix" : "" }, { "dropping-particle" : "", "family" : "Kim", "given" : "Nam Hoon", "non-dropping-particle" : "", "parse-names" : false, "suffix" : "" }, { "dropping-particle" : "", "family" : "Bose", "given" : "Saswata", "non-dropping-particle" : "", "parse-names" : false, "suffix" : "" }, { "dropping-particle" : "", "family" : "Lee", "given" : "Joong Hee", "non-dropping-particle" : "", "parse-names" : false, "suffix" : "" } ], "container-title" : "Progress in Polymer Science", "id" : "ITEM-1", "issue" : "11", "issued" : { "date-parts" : [ [ "2010" ] ] }, "page" : "1350-1375", "publisher" : "Elsevier Ltd", "title" : "Recent advances in graphene based polymer composites", "type" : "article-journal", "volume" : "35" }, "uris" : [ "http://www.mendeley.com/documents/?uuid=36b48c7c-817c-40b0-872c-d6b742a7f431" ] } ], "mendeley" : { "formattedCitation" : "[19]", "plainTextFormattedCitation" : "[19]", "previouslyFormattedCitation" : "[19]"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[19]</w:t>
      </w:r>
      <w:r>
        <w:rPr>
          <w:rFonts w:asciiTheme="majorBidi" w:hAnsiTheme="majorBidi" w:cstheme="majorBidi"/>
          <w:sz w:val="24"/>
          <w:szCs w:val="24"/>
        </w:rPr>
        <w:fldChar w:fldCharType="end"/>
      </w:r>
      <w:r>
        <w:rPr>
          <w:rFonts w:asciiTheme="majorBidi" w:hAnsiTheme="majorBidi" w:cstheme="majorBidi"/>
          <w:sz w:val="24"/>
          <w:szCs w:val="24"/>
        </w:rPr>
        <w:t xml:space="preserve">. Since the discovery of graphene in 2004, </w:t>
      </w:r>
      <w:r>
        <w:rPr>
          <w:rFonts w:asciiTheme="majorBidi" w:hAnsiTheme="majorBidi" w:cstheme="majorBidi" w:hint="eastAsia"/>
          <w:sz w:val="24"/>
          <w:szCs w:val="24"/>
        </w:rPr>
        <w:t>ab</w:t>
      </w:r>
      <w:r>
        <w:rPr>
          <w:rFonts w:asciiTheme="majorBidi" w:hAnsiTheme="majorBidi" w:cstheme="majorBidi"/>
          <w:sz w:val="24"/>
          <w:szCs w:val="24"/>
        </w:rPr>
        <w:t>undant works on graphene has been reported in literature.</w:t>
      </w:r>
    </w:p>
    <w:p w14:paraId="330C278D" w14:textId="77777777" w:rsidR="003C6953" w:rsidRDefault="003C6953" w:rsidP="003C6953">
      <w:pPr>
        <w:spacing w:after="0" w:line="480" w:lineRule="auto"/>
        <w:jc w:val="both"/>
        <w:rPr>
          <w:rFonts w:asciiTheme="majorBidi" w:hAnsiTheme="majorBidi" w:cstheme="majorBidi"/>
          <w:sz w:val="24"/>
          <w:szCs w:val="24"/>
        </w:rPr>
      </w:pPr>
    </w:p>
    <w:p w14:paraId="7456107B" w14:textId="3C94B22B" w:rsidR="003C6953" w:rsidRPr="00666E8A" w:rsidRDefault="002D03C9" w:rsidP="003C6953">
      <w:pPr>
        <w:pStyle w:val="Heading1"/>
        <w:spacing w:before="0"/>
        <w:rPr>
          <w:rFonts w:asciiTheme="majorBidi" w:hAnsiTheme="majorBidi"/>
          <w:bCs/>
          <w:szCs w:val="24"/>
        </w:rPr>
      </w:pPr>
      <w:bookmarkStart w:id="6" w:name="_Toc518823225"/>
      <w:r>
        <w:t>2.</w:t>
      </w:r>
      <w:r w:rsidR="003C6953">
        <w:t>3. Graphene and graphene derivative</w:t>
      </w:r>
      <w:bookmarkEnd w:id="6"/>
    </w:p>
    <w:p w14:paraId="24C32ABB" w14:textId="1DD5CB0E" w:rsidR="003C6953" w:rsidRPr="00186EBB" w:rsidRDefault="002D03C9" w:rsidP="003C6953">
      <w:pPr>
        <w:pStyle w:val="Heading2"/>
        <w:spacing w:before="0"/>
      </w:pPr>
      <w:bookmarkStart w:id="7" w:name="_Toc484547622"/>
      <w:bookmarkStart w:id="8" w:name="_Toc518823226"/>
      <w:r>
        <w:t>2.</w:t>
      </w:r>
      <w:r w:rsidR="003C6953" w:rsidRPr="00186EBB">
        <w:t>3.1.</w:t>
      </w:r>
      <w:r w:rsidR="003C6953">
        <w:t xml:space="preserve"> G</w:t>
      </w:r>
      <w:r w:rsidR="003C6953" w:rsidRPr="00186EBB">
        <w:t>raphene</w:t>
      </w:r>
      <w:bookmarkEnd w:id="7"/>
      <w:bookmarkEnd w:id="8"/>
    </w:p>
    <w:p w14:paraId="6E4B1F13" w14:textId="77777777" w:rsidR="003C6953" w:rsidRDefault="003C6953" w:rsidP="003C6953">
      <w:pPr>
        <w:spacing w:after="0" w:line="480" w:lineRule="auto"/>
        <w:jc w:val="both"/>
        <w:rPr>
          <w:rFonts w:asciiTheme="majorBidi" w:hAnsiTheme="majorBidi" w:cstheme="majorBidi"/>
          <w:sz w:val="24"/>
          <w:szCs w:val="24"/>
        </w:rPr>
      </w:pPr>
      <w:r w:rsidRPr="00470CB9">
        <w:rPr>
          <w:rFonts w:asciiTheme="majorBidi" w:hAnsiTheme="majorBidi" w:cstheme="majorBidi"/>
          <w:sz w:val="24"/>
          <w:szCs w:val="24"/>
        </w:rPr>
        <w:t>Graphite, the raw material for graphene, is a crystal lattice composed of many graphene sheets tightly stacked together with the interlayer distance of 0.335</w:t>
      </w:r>
      <w:r>
        <w:rPr>
          <w:rFonts w:asciiTheme="majorBidi" w:hAnsiTheme="majorBidi" w:cstheme="majorBidi"/>
          <w:sz w:val="24"/>
          <w:szCs w:val="24"/>
        </w:rPr>
        <w:t xml:space="preserve"> nm by weak van d</w:t>
      </w:r>
      <w:r w:rsidRPr="00470CB9">
        <w:rPr>
          <w:rFonts w:asciiTheme="majorBidi" w:hAnsiTheme="majorBidi" w:cstheme="majorBidi"/>
          <w:sz w:val="24"/>
          <w:szCs w:val="24"/>
        </w:rPr>
        <w:t>er Waals</w:t>
      </w:r>
      <w:r>
        <w:rPr>
          <w:rFonts w:asciiTheme="majorBidi" w:hAnsiTheme="majorBidi" w:cstheme="majorBidi"/>
          <w:sz w:val="24"/>
          <w:szCs w:val="24"/>
        </w:rPr>
        <w:t xml:space="preserve">’ force. </w:t>
      </w:r>
    </w:p>
    <w:p w14:paraId="52F3FF42" w14:textId="40C787AB" w:rsidR="003C6953" w:rsidRDefault="003C6953" w:rsidP="003C6953">
      <w:p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Graphene is a </w:t>
      </w:r>
      <w:r w:rsidRPr="00470CB9">
        <w:rPr>
          <w:rFonts w:asciiTheme="majorBidi" w:hAnsiTheme="majorBidi" w:cstheme="majorBidi"/>
          <w:sz w:val="24"/>
          <w:szCs w:val="24"/>
        </w:rPr>
        <w:t xml:space="preserve">single layer of </w:t>
      </w:r>
      <w:r>
        <w:rPr>
          <w:rFonts w:asciiTheme="majorBidi" w:hAnsiTheme="majorBidi" w:cstheme="majorBidi"/>
          <w:sz w:val="24"/>
          <w:szCs w:val="24"/>
        </w:rPr>
        <w:t>sp</w:t>
      </w:r>
      <w:r w:rsidRPr="0097462C">
        <w:rPr>
          <w:rFonts w:asciiTheme="majorBidi" w:hAnsiTheme="majorBidi" w:cstheme="majorBidi"/>
          <w:sz w:val="24"/>
          <w:szCs w:val="24"/>
          <w:vertAlign w:val="superscript"/>
        </w:rPr>
        <w:t>2</w:t>
      </w:r>
      <w:r>
        <w:rPr>
          <w:rFonts w:asciiTheme="majorBidi" w:hAnsiTheme="majorBidi" w:cstheme="majorBidi"/>
          <w:sz w:val="24"/>
          <w:szCs w:val="24"/>
        </w:rPr>
        <w:t xml:space="preserve">-hybridized </w:t>
      </w:r>
      <w:r w:rsidRPr="00470CB9">
        <w:rPr>
          <w:rFonts w:asciiTheme="majorBidi" w:hAnsiTheme="majorBidi" w:cstheme="majorBidi"/>
          <w:sz w:val="24"/>
          <w:szCs w:val="24"/>
        </w:rPr>
        <w:t xml:space="preserve">carbon atoms arranged in hexagonal lattice structure.  It is the </w:t>
      </w:r>
      <w:r>
        <w:rPr>
          <w:rFonts w:asciiTheme="majorBidi" w:hAnsiTheme="majorBidi" w:cstheme="majorBidi"/>
          <w:sz w:val="24"/>
          <w:szCs w:val="24"/>
        </w:rPr>
        <w:t>building block</w:t>
      </w:r>
      <w:r w:rsidRPr="00470CB9">
        <w:rPr>
          <w:rFonts w:asciiTheme="majorBidi" w:hAnsiTheme="majorBidi" w:cstheme="majorBidi"/>
          <w:sz w:val="24"/>
          <w:szCs w:val="24"/>
        </w:rPr>
        <w:t xml:space="preserve"> of </w:t>
      </w:r>
      <w:r>
        <w:rPr>
          <w:rFonts w:asciiTheme="majorBidi" w:hAnsiTheme="majorBidi" w:cstheme="majorBidi"/>
          <w:sz w:val="24"/>
          <w:szCs w:val="24"/>
        </w:rPr>
        <w:t xml:space="preserve">graphitic materials, including </w:t>
      </w:r>
      <w:r w:rsidRPr="00470CB9">
        <w:rPr>
          <w:rFonts w:asciiTheme="majorBidi" w:hAnsiTheme="majorBidi" w:cstheme="majorBidi"/>
          <w:sz w:val="24"/>
          <w:szCs w:val="24"/>
        </w:rPr>
        <w:t xml:space="preserve">fullerenes (0 dimensional, 1985), </w:t>
      </w:r>
      <w:r>
        <w:rPr>
          <w:rFonts w:asciiTheme="majorBidi" w:hAnsiTheme="majorBidi" w:cstheme="majorBidi"/>
          <w:sz w:val="24"/>
          <w:szCs w:val="24"/>
        </w:rPr>
        <w:t xml:space="preserve">carbon </w:t>
      </w:r>
      <w:r w:rsidRPr="00470CB9">
        <w:rPr>
          <w:rFonts w:asciiTheme="majorBidi" w:hAnsiTheme="majorBidi" w:cstheme="majorBidi"/>
          <w:sz w:val="24"/>
          <w:szCs w:val="24"/>
        </w:rPr>
        <w:t>nanotubes (1 dimensional, 1991), graphite (2 d</w:t>
      </w:r>
      <w:r>
        <w:rPr>
          <w:rFonts w:asciiTheme="majorBidi" w:hAnsiTheme="majorBidi" w:cstheme="majorBidi"/>
          <w:sz w:val="24"/>
          <w:szCs w:val="24"/>
        </w:rPr>
        <w:t xml:space="preserve">imensional) (Figure 2.1.)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"10.1016/j.polymer.2015.06.016", "ISSN" : "00323861", "abstract" : "Abstract With the emergence of scientific interest in graphene oxide (GO) in recent times, researchers have endeavored to incorporate GO in thermoset polymeric matrix to develop composites with extraordinary set of properties. The current state of research in graphene/thermoset polymer composites is highlighted here with a focus on the role of interface in dictating the overall properties of the composites. Different strategies like covalent and non-covalent functionalization of GO have been discussed with respect to improvement in mechanical, electrical, thermal and rheological properties. In addition, future prospects have been outlined. By assessing the current state of research in graphene/thermoset composites, it is obvious that graphene derivatives are promising materials in enhancing the structural properties of the nanocomposites at extremely low levels of filler loading. This opens new avenues in designing lightweight composites for myriad applications and by tailoring the interfacial adhesion with the polymer, ordered structure can be achieved at macroscopic processing scales.", "author" : [ { "dropping-particle" : "", "family" : "Rohini", "given" : "Rani", "non-dropping-particle" : "", "parse-names" : false, "suffix" : "" }, { "dropping-particle" : "", "family" : "Katti", "given" : "Prajakta", "non-dropping-particle" : "", "parse-names" : false, "suffix" : "" }, { "dropping-particle" : "", "family" : "Bose", "given" : "Suryasarathi", "non-dropping-particle" : "", "parse-names" : false, "suffix" : "" } ], "container-title" : "Polymer", "id" : "ITEM-1", "issued" : { "date-parts" : [ [ "2015" ] ] }, "page" : "A17-A34", "publisher" : "Elsevier Ltd", "title" : "Tailoring the interface in graphene/thermoset polymer composites: A critical review", "type" : "article-journal", "volume" : "70" }, "uris" : [ "http://www.mendeley.com/documents/?uuid=4b1aae3e-c682-450d-a878-cb1e36876059" ] }, { "id" : "ITEM-2", "itemData" : { "DOI" : "10.1016/j.progpolymsci.2010.11.003", "ISBN" : "0079-6700", "ISSN" : "00796700", "abstract" : "Carbon materials particularly in the form of sparkling diamonds have held mankind spellbound for centuries, and in its other forms, like coal and coke continue to serve mankind as a fuel material, like carbon black, carbon fibers, carbon nanofibers and carbon nanotubes meet requirements of reinforcing filler in several applications. All these various forms of carbon are possible because of the element's unique hybridization ability. Graphene (a single two-dimensional layer of carbon atoms bonded together in the hexagonal graphite lattice), the basic building block of graphite, is at the epicenter of present-day materials research because of its high values of Young's modulus, fracture strength, thermal conductivity, specific surface area and fascinating transport phenomena leading to its use in multifarious applications like energy storage materials, liquid crystal devices, mechanical resonators and polymer composites. In this review, we focus on graphite and describe its various modifications for use as modified fillers in polymer matrices for creating polymer-carbon nanocomposites. ?? 2010 Elsevier Ltd.", "author" : [ { "dropping-particle" : "", "family" : "Sengupta", "given" : "Rajatendu", "non-dropping-particle" : "", "parse-names" : false, "suffix" : "" }, { "dropping-particle" : "", "family" : "Bhattacharya", "given" : "Mithun", "non-dropping-particle" : "", "parse-names" : false, "suffix" : "" }, { "dropping-particle" : "", "family" : "Bandyopadhyay", "given" : "S.", "non-dropping-particle" : "", "parse-names" : false, "suffix" : "" }, { "dropping-particle" : "", "family" : "Bhowmick", "given" : "Anil K.", "non-dropping-particle" : "", "parse-names" : false, "suffix" : "" } ], "container-title" : "Progress in Polymer Science", "id" : "ITEM-2", "issue" : "5", "issued" : { "date-parts" : [ [ "2011", "5" ] ] }, "page" : "638-670", "publisher" : "Elsevier Ltd", "title" : "A review on the mechanical and electrical properties of graphite and modified graphite reinforced polymer composites", "type" : "article-journal", "volume" : "36" }, "uris" : [ "http://www.mendeley.com/documents/?uuid=df5ed079-98a2-4012-94ed-32ad865665bc" ] } ], "mendeley" : { "formattedCitation" : "[20,21]", "plainTextFormattedCitation" : "[20,21]", "previouslyFormattedCitation" : "[20,21]"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[20,21]</w:t>
      </w:r>
      <w:r>
        <w:rPr>
          <w:rFonts w:asciiTheme="majorBidi" w:hAnsiTheme="majorBidi" w:cstheme="majorBidi"/>
          <w:sz w:val="24"/>
          <w:szCs w:val="24"/>
        </w:rPr>
        <w:fldChar w:fldCharType="end"/>
      </w:r>
      <w:r w:rsidRPr="00470CB9">
        <w:rPr>
          <w:rFonts w:asciiTheme="majorBidi" w:hAnsiTheme="majorBidi" w:cstheme="majorBidi"/>
          <w:sz w:val="24"/>
          <w:szCs w:val="24"/>
        </w:rPr>
        <w:t xml:space="preserve">. </w:t>
      </w:r>
      <w:r>
        <w:rPr>
          <w:rFonts w:asciiTheme="majorBidi" w:hAnsiTheme="majorBidi" w:cstheme="majorBidi"/>
          <w:sz w:val="24"/>
          <w:szCs w:val="24"/>
        </w:rPr>
        <w:t>I</w:t>
      </w:r>
      <w:r w:rsidRPr="00470CB9">
        <w:rPr>
          <w:rFonts w:asciiTheme="majorBidi" w:hAnsiTheme="majorBidi" w:cstheme="majorBidi"/>
          <w:sz w:val="24"/>
          <w:szCs w:val="24"/>
        </w:rPr>
        <w:t>t was firstly fabricated from bulk graphite by Geim and Novoselov at University of Manchester using micro</w:t>
      </w:r>
      <w:r>
        <w:rPr>
          <w:rFonts w:asciiTheme="majorBidi" w:hAnsiTheme="majorBidi" w:cstheme="majorBidi"/>
          <w:sz w:val="24"/>
          <w:szCs w:val="24"/>
        </w:rPr>
        <w:t xml:space="preserve"> </w:t>
      </w:r>
      <w:r w:rsidRPr="00470CB9">
        <w:rPr>
          <w:rFonts w:asciiTheme="majorBidi" w:hAnsiTheme="majorBidi" w:cstheme="majorBidi"/>
          <w:sz w:val="24"/>
          <w:szCs w:val="24"/>
        </w:rPr>
        <w:t>mechanical cleavage /Scotch tape technique</w:t>
      </w:r>
      <w:r>
        <w:rPr>
          <w:rFonts w:asciiTheme="majorBidi" w:hAnsiTheme="majorBidi" w:cstheme="majorBidi"/>
          <w:sz w:val="24"/>
          <w:szCs w:val="24"/>
        </w:rPr>
        <w:t xml:space="preserve"> in 2004, which was previously considered to be thermodynamically unstable and could not exist in its free state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"10.1126/science.1102896", "ISBN" : "0036-8075", "ISSN" : "0036-8075", "PMID" : "15499015", "abstract" : "We report a naturally-occurring two-dimensional material (graphene that can be viewed as a gigantic flat fullerene molecule, describe its electronic properties and demonstrate all-metallic field-effect transistor, which uniquely exhibits ballistic transport at submicron distances even at room temperature.", "author" : [ { "dropping-particle" : "", "family" : "Novoselov", "given" : "Konstantin S.", "non-dropping-particle" : "", "parse-names" : false, "suffix" : "" }, { "dropping-particle" : "", "family" : "Geim", "given" : "Andre K.", "non-dropping-particle" : "", "parse-names" : false, "suffix" : "" }, { "dropping-particle" : "V.", "family" : "Morozov", "given" : "S.V.", "non-dropping-particle" : "", "parse-names" : false, "suffix" : "" }, { "dropping-particle" : "", "family" : "Jiang", "given" : "D.", "non-dropping-particle" : "", "parse-names" : false, "suffix" : "" }, { "dropping-particle" : "", "family" : "Zhang", "given" : "Y.", "non-dropping-particle" : "", "parse-names" : false, "suffix" : "" }, { "dropping-particle" : "V.", "family" : "Dubonos", "given" : "S.", "non-dropping-particle" : "", "parse-names" : false, "suffix" : "" }, { "dropping-particle" : "V.", "family" : "Grigorieva", "given" : "I.", "non-dropping-particle" : "", "parse-names" : false, "suffix" : "" }, { "dropping-particle" : "", "family" : "Firsov", "given" : "A. A.", "non-dropping-particle" : "", "parse-names" : false, "suffix" : "" } ], "container-title" : "Science", "id" : "ITEM-1", "issue" : "5696", "issued" : { "date-parts" : [ [ "2004" ] ] }, "page" : "666-669", "title" : "Electric Field Effect in Atomically Thin Carbon Films", "type" : "article-journal", "volume" : "306" }, "uris" : [ "http://www.mendeley.com/documents/?uuid=e12f54b5-5d3b-4430-b9b5-d4488b2e8534" ] } ], "mendeley" : { "formattedCitation" : "[3]", "plainTextFormattedCitation" : "[3]", "previouslyFormattedCitation" : "[3]"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[3]</w:t>
      </w:r>
      <w:r>
        <w:rPr>
          <w:rFonts w:asciiTheme="majorBidi" w:hAnsiTheme="majorBidi" w:cstheme="majorBidi"/>
          <w:sz w:val="24"/>
          <w:szCs w:val="24"/>
        </w:rPr>
        <w:fldChar w:fldCharType="end"/>
      </w:r>
      <w:r>
        <w:rPr>
          <w:rFonts w:asciiTheme="majorBidi" w:hAnsiTheme="majorBidi" w:cstheme="majorBidi"/>
          <w:sz w:val="24"/>
          <w:szCs w:val="24"/>
        </w:rPr>
        <w:t xml:space="preserve">. </w:t>
      </w:r>
      <w:r w:rsidRPr="00470CB9">
        <w:rPr>
          <w:rFonts w:asciiTheme="majorBidi" w:hAnsiTheme="majorBidi" w:cstheme="majorBidi"/>
          <w:sz w:val="24"/>
          <w:szCs w:val="24"/>
        </w:rPr>
        <w:t>Gr</w:t>
      </w:r>
      <w:r>
        <w:rPr>
          <w:rFonts w:asciiTheme="majorBidi" w:hAnsiTheme="majorBidi" w:cstheme="majorBidi"/>
          <w:sz w:val="24"/>
          <w:szCs w:val="24"/>
        </w:rPr>
        <w:t>a</w:t>
      </w:r>
      <w:r w:rsidRPr="00470CB9">
        <w:rPr>
          <w:rFonts w:asciiTheme="majorBidi" w:hAnsiTheme="majorBidi" w:cstheme="majorBidi"/>
          <w:sz w:val="24"/>
          <w:szCs w:val="24"/>
        </w:rPr>
        <w:t>phene possesses impressive mechanical and electrical properties</w:t>
      </w:r>
      <w:r>
        <w:rPr>
          <w:rFonts w:asciiTheme="majorBidi" w:hAnsiTheme="majorBidi" w:cstheme="majorBidi"/>
          <w:sz w:val="24"/>
          <w:szCs w:val="24"/>
        </w:rPr>
        <w:t xml:space="preserve">, such as </w:t>
      </w:r>
      <w:r w:rsidRPr="00470CB9">
        <w:rPr>
          <w:rFonts w:asciiTheme="majorBidi" w:hAnsiTheme="majorBidi" w:cstheme="majorBidi"/>
          <w:sz w:val="24"/>
          <w:szCs w:val="24"/>
        </w:rPr>
        <w:t>Young’s modulus is 1</w:t>
      </w:r>
      <w:r>
        <w:rPr>
          <w:rFonts w:asciiTheme="majorBidi" w:hAnsiTheme="majorBidi" w:cstheme="majorBidi"/>
          <w:sz w:val="24"/>
          <w:szCs w:val="24"/>
        </w:rPr>
        <w:t xml:space="preserve"> </w:t>
      </w:r>
      <w:r w:rsidRPr="00470CB9">
        <w:rPr>
          <w:rFonts w:asciiTheme="majorBidi" w:hAnsiTheme="majorBidi" w:cstheme="majorBidi"/>
          <w:sz w:val="24"/>
          <w:szCs w:val="24"/>
        </w:rPr>
        <w:t>TPa, fracture strength is 130</w:t>
      </w:r>
      <w:r>
        <w:rPr>
          <w:rFonts w:asciiTheme="majorBidi" w:hAnsiTheme="majorBidi" w:cstheme="majorBidi"/>
          <w:sz w:val="24"/>
          <w:szCs w:val="24"/>
        </w:rPr>
        <w:t xml:space="preserve"> </w:t>
      </w:r>
      <w:r w:rsidRPr="00470CB9">
        <w:rPr>
          <w:rFonts w:asciiTheme="majorBidi" w:hAnsiTheme="majorBidi" w:cstheme="majorBidi"/>
          <w:sz w:val="24"/>
          <w:szCs w:val="24"/>
        </w:rPr>
        <w:t>GPa, high intrinsic mobility at room temperature is 200 000 cm</w:t>
      </w:r>
      <w:r w:rsidRPr="00470CB9">
        <w:rPr>
          <w:rFonts w:asciiTheme="majorBidi" w:hAnsiTheme="majorBidi" w:cstheme="majorBidi"/>
          <w:sz w:val="24"/>
          <w:szCs w:val="24"/>
          <w:vertAlign w:val="superscript"/>
        </w:rPr>
        <w:t>2</w:t>
      </w:r>
      <w:r>
        <w:rPr>
          <w:rFonts w:asciiTheme="majorBidi" w:hAnsiTheme="majorBidi" w:cstheme="majorBidi"/>
          <w:sz w:val="24"/>
          <w:szCs w:val="24"/>
          <w:vertAlign w:val="superscript"/>
        </w:rPr>
        <w:t xml:space="preserve"> </w:t>
      </w:r>
      <w:r w:rsidRPr="00470CB9">
        <w:rPr>
          <w:rFonts w:asciiTheme="majorBidi" w:hAnsiTheme="majorBidi" w:cstheme="majorBidi"/>
          <w:sz w:val="24"/>
          <w:szCs w:val="24"/>
        </w:rPr>
        <w:t>V</w:t>
      </w:r>
      <w:r w:rsidRPr="00470CB9">
        <w:rPr>
          <w:rFonts w:asciiTheme="majorBidi" w:hAnsiTheme="majorBidi" w:cstheme="majorBidi"/>
          <w:sz w:val="24"/>
          <w:szCs w:val="24"/>
          <w:vertAlign w:val="superscript"/>
        </w:rPr>
        <w:t>-1</w:t>
      </w:r>
      <w:r>
        <w:rPr>
          <w:rFonts w:asciiTheme="majorBidi" w:hAnsiTheme="majorBidi" w:cstheme="majorBidi"/>
          <w:sz w:val="24"/>
          <w:szCs w:val="24"/>
          <w:vertAlign w:val="superscript"/>
        </w:rPr>
        <w:t xml:space="preserve"> </w:t>
      </w:r>
      <w:r>
        <w:rPr>
          <w:rFonts w:asciiTheme="majorBidi" w:hAnsiTheme="majorBidi" w:cstheme="majorBidi"/>
          <w:sz w:val="24"/>
          <w:szCs w:val="24"/>
        </w:rPr>
        <w:t>s</w:t>
      </w:r>
      <w:r w:rsidRPr="00470CB9">
        <w:rPr>
          <w:rFonts w:asciiTheme="majorBidi" w:hAnsiTheme="majorBidi" w:cstheme="majorBidi"/>
          <w:sz w:val="24"/>
          <w:szCs w:val="24"/>
          <w:vertAlign w:val="superscript"/>
        </w:rPr>
        <w:t>-1</w:t>
      </w:r>
      <w:r w:rsidRPr="00470CB9">
        <w:rPr>
          <w:rFonts w:asciiTheme="majorBidi" w:hAnsiTheme="majorBidi" w:cstheme="majorBidi"/>
          <w:sz w:val="24"/>
          <w:szCs w:val="24"/>
        </w:rPr>
        <w:t>, thermal conductivity is 5000</w:t>
      </w:r>
      <w:r>
        <w:rPr>
          <w:rFonts w:asciiTheme="majorBidi" w:hAnsiTheme="majorBidi" w:cstheme="majorBidi"/>
          <w:sz w:val="24"/>
          <w:szCs w:val="24"/>
        </w:rPr>
        <w:t xml:space="preserve"> </w:t>
      </w:r>
      <w:r w:rsidRPr="00470CB9">
        <w:rPr>
          <w:rFonts w:asciiTheme="majorBidi" w:hAnsiTheme="majorBidi" w:cstheme="majorBidi"/>
          <w:sz w:val="24"/>
          <w:szCs w:val="24"/>
        </w:rPr>
        <w:t>W</w:t>
      </w:r>
      <w:r>
        <w:rPr>
          <w:rFonts w:asciiTheme="majorBidi" w:hAnsiTheme="majorBidi" w:cstheme="majorBidi"/>
          <w:sz w:val="24"/>
          <w:szCs w:val="24"/>
        </w:rPr>
        <w:t xml:space="preserve"> </w:t>
      </w:r>
      <w:r w:rsidRPr="00470CB9">
        <w:rPr>
          <w:rFonts w:asciiTheme="majorBidi" w:hAnsiTheme="majorBidi" w:cstheme="majorBidi"/>
          <w:sz w:val="24"/>
          <w:szCs w:val="24"/>
        </w:rPr>
        <w:t>m</w:t>
      </w:r>
      <w:r w:rsidRPr="00470CB9">
        <w:rPr>
          <w:rFonts w:asciiTheme="majorBidi" w:hAnsiTheme="majorBidi" w:cstheme="majorBidi"/>
          <w:sz w:val="24"/>
          <w:szCs w:val="24"/>
          <w:vertAlign w:val="superscript"/>
        </w:rPr>
        <w:t>-1</w:t>
      </w:r>
      <w:r>
        <w:rPr>
          <w:rFonts w:asciiTheme="majorBidi" w:hAnsiTheme="majorBidi" w:cstheme="majorBidi"/>
          <w:sz w:val="24"/>
          <w:szCs w:val="24"/>
          <w:vertAlign w:val="superscript"/>
        </w:rPr>
        <w:t xml:space="preserve"> </w:t>
      </w:r>
      <w:r w:rsidRPr="00470CB9">
        <w:rPr>
          <w:rFonts w:asciiTheme="majorBidi" w:hAnsiTheme="majorBidi" w:cstheme="majorBidi"/>
          <w:sz w:val="24"/>
          <w:szCs w:val="24"/>
        </w:rPr>
        <w:t>K</w:t>
      </w:r>
      <w:r w:rsidRPr="00470CB9">
        <w:rPr>
          <w:rFonts w:asciiTheme="majorBidi" w:hAnsiTheme="majorBidi" w:cstheme="majorBidi"/>
          <w:sz w:val="24"/>
          <w:szCs w:val="24"/>
          <w:vertAlign w:val="superscript"/>
        </w:rPr>
        <w:t>-1</w:t>
      </w:r>
      <w:r w:rsidRPr="00470CB9">
        <w:rPr>
          <w:rFonts w:asciiTheme="majorBidi" w:hAnsiTheme="majorBidi" w:cstheme="majorBidi"/>
          <w:sz w:val="24"/>
          <w:szCs w:val="24"/>
        </w:rPr>
        <w:t>, optical transmittance is 97.7%</w:t>
      </w:r>
      <w:r>
        <w:rPr>
          <w:rFonts w:asciiTheme="majorBidi" w:hAnsiTheme="majorBidi" w:cstheme="majorBidi"/>
          <w:sz w:val="24"/>
          <w:szCs w:val="24"/>
        </w:rPr>
        <w:t xml:space="preserve">, high thermal stability up to approx. 600 °C, and large </w:t>
      </w:r>
      <w:r w:rsidRPr="00470CB9">
        <w:rPr>
          <w:rFonts w:asciiTheme="majorBidi" w:hAnsiTheme="majorBidi" w:cstheme="majorBidi"/>
          <w:sz w:val="24"/>
          <w:szCs w:val="24"/>
        </w:rPr>
        <w:t xml:space="preserve">theoretical </w:t>
      </w:r>
      <w:r>
        <w:rPr>
          <w:rFonts w:asciiTheme="majorBidi" w:hAnsiTheme="majorBidi" w:cstheme="majorBidi"/>
          <w:sz w:val="24"/>
          <w:szCs w:val="24"/>
        </w:rPr>
        <w:t xml:space="preserve">specific surface of graphene of </w:t>
      </w:r>
      <w:r w:rsidRPr="00470CB9">
        <w:rPr>
          <w:rFonts w:asciiTheme="majorBidi" w:hAnsiTheme="majorBidi" w:cstheme="majorBidi"/>
          <w:sz w:val="24"/>
          <w:szCs w:val="24"/>
        </w:rPr>
        <w:t>2630 m</w:t>
      </w:r>
      <w:r w:rsidRPr="00470CB9">
        <w:rPr>
          <w:rFonts w:asciiTheme="majorBidi" w:hAnsiTheme="majorBidi" w:cstheme="majorBidi"/>
          <w:sz w:val="24"/>
          <w:szCs w:val="24"/>
          <w:vertAlign w:val="superscript"/>
        </w:rPr>
        <w:t>2</w:t>
      </w:r>
      <w:r>
        <w:rPr>
          <w:rFonts w:asciiTheme="majorBidi" w:hAnsiTheme="majorBidi" w:cstheme="majorBidi"/>
          <w:sz w:val="24"/>
          <w:szCs w:val="24"/>
        </w:rPr>
        <w:t xml:space="preserve"> g</w:t>
      </w:r>
      <w:r w:rsidRPr="002D1345">
        <w:rPr>
          <w:rFonts w:asciiTheme="majorBidi" w:hAnsiTheme="majorBidi" w:cstheme="majorBidi"/>
          <w:sz w:val="24"/>
          <w:szCs w:val="24"/>
          <w:vertAlign w:val="superscript"/>
        </w:rPr>
        <w:t>-1</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"ITEM-1", "issue" : "6", "issued" : { "date-parts" : [ [ "2010" ] ] }, "page" : "711-723", "title" : "Graphene oxide, highly reduced graphene oxide, and graphene: Versatile building blocks for carbon-based materials", "type" : "article-journal", "volume" : "6" }, "uris" : [ "http://www.mendeley.com/documents/?uuid=90e9afa4-4b34-4e67-8977-31ce6b3dfab0" ] }, { "id" : "ITEM-2", "itemData" : { "DOI" : "10.1002/adma.201001068", "ISBN" : "1521-4095", "ISSN" : "09359648", "PMID" : "20706983", "abstract" : "There is intense interest in graphene in fields such as physics, chemistry, and materials science, among others. Interest in graphene's exceptional physical properties, chemical tunability, and potential for applications has generated thousands of publications and an accelerating pace of research, making review of such research timely. Here is an overview of the synthesis, properties, and applications of graphene and related materials (primarily, graphite oxide and its colloidal suspensions and materials made from them), from a materials science perspective.", "author" : [ { "dropping-particle" : "", "family" : "Zhu", "given" : "Yanwu", "non-dropping-particle" : "", "parse-names" : false, "suffix" : "" }, { "dropping-particle" : "", "family" : "Murali", "given" : "Shanthi", "non-dropping-particle" : "", "parse-names" : false, "suffix" : "" }, { "dropping-particle" : "", "family" : "Cai", "given" : "Weiwei", "non-dropping-particle" : "", "parse-names" : false, "suffix" : "" }, { "dropping-particle" : "", "family" : "Li", "given" : "Xuesong", "non-dropping-particle" : "", "parse-names" : false, "suffix" : "" }, { "dropping-particle" : "", "family" : "Suk", "given" : "Ji Won", "non-dropping-particle" : "", "parse-names" : false, "suffix" : "" }, { "dropping-particle" : "", "family" : "Potts", "given" : "Jeffrey R.", "non-dropping-particle" : "", "parse-names" : false, "suffix" : "" }, { "dropping-particle" : "", "family" : "Ruoff", "given" : "Rodney S.", "non-dropping-particle" : "", "parse-names" : false, "suffix" : "" } ], "container-title" : "Advanced Materials", "id" : "ITEM-2", "issue" : "35", "issued" : { "date-parts" : [ [ "2010" ] ] }, "page" : "3906-3924", "title" : "Graphene and graphene oxide: Synthesis, properties, and applications", "type" : "article-journal", "volume" : "22" }, "uris" : [ "http://www.mendeley.com/documents/?uuid=117f0a42-edff-4dc4-9072-b31ee2dc3a23" ] }, { "id" : "ITEM-3", "itemData" : { "DOI" : "10.1016/j.polymer.2015.06.016", "ISSN" : "00323861", "abstract" : "Abstract With the emergence of scientific interest in graphene oxide (GO) in recent times, researchers have endeavored to incorporate GO in thermoset polymeric matrix to develop composites with extraordinary set of properties. The current state of research in graphene/thermoset polymer composites is highlighted here with a focus on the role of interface in dictating the overall properties of the composites. Different strategies like covalent and non-covalent functionalization of GO have been discussed with respect to improvement in mechanical, electrical, thermal and rheological properties. In addition, future prospects have been outlined. By assessing the current state of research in graphene/thermoset composites, it is obvious that graphene derivatives are promising materials in enhancing the structural properties of the nanocomposites at extremely low levels of filler loading. This opens new avenues in designing lightweight composites for myriad applications and by tailoring the interfacial adhesion with the polymer, ordered structure can be achieved at macroscopic processing scales.", "author" : [ { "dropping-particle" : "", "family" : "Rohini", "given" : "Rani", "non-dropping-particle" : "", "parse-names" : false, "suffix" : "" }, { "dropping-particle" : "", "family" : "Katti", "given" : "Prajakta", "non-dropping-particle" : "", "parse-names" : false, "suffix" : "" }, { "dropping-particle" : "", "family" : "Bose", "given" : "Suryasarathi", "non-dropping-particle" : "", "parse-names" : false, "suffix" : "" } ], "container-title" : "Polymer", "id" : "ITEM-3", "issued" : { "date-parts" : [ [ "2015" ] ] }, "page" : "A17-A34", "publisher" : "Elsevier Ltd", "title" : "Tailoring the interface in graphene/thermoset polymer composites: A critical review", "type" : "article-journal", "volume" : "70" }, "uris" : [ "http://www.mendeley.com/documents/?uuid=4b1aae3e-c682-450d-a878-cb1e36876059" ] } ], "mendeley" : { "formattedCitation" : "[20,22,23]", "plainTextFormattedCitation" : "[20,22,23]", "previouslyFormattedCitation" : "[20,22,23]"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[20,22,23]</w:t>
      </w:r>
      <w:r>
        <w:rPr>
          <w:rFonts w:asciiTheme="majorBidi" w:hAnsiTheme="majorBidi" w:cstheme="majorBidi"/>
          <w:sz w:val="24"/>
          <w:szCs w:val="24"/>
        </w:rPr>
        <w:fldChar w:fldCharType="end"/>
      </w:r>
      <w:r>
        <w:rPr>
          <w:rFonts w:asciiTheme="majorBidi" w:hAnsiTheme="majorBidi" w:cstheme="majorBidi"/>
          <w:sz w:val="24"/>
          <w:szCs w:val="24"/>
        </w:rPr>
        <w:t>.</w:t>
      </w:r>
      <w:r w:rsidRPr="00470CB9">
        <w:rPr>
          <w:rFonts w:asciiTheme="majorBidi" w:hAnsiTheme="majorBidi" w:cstheme="majorBidi"/>
          <w:sz w:val="24"/>
          <w:szCs w:val="24"/>
        </w:rPr>
        <w:t xml:space="preserve"> </w:t>
      </w:r>
      <w:r>
        <w:rPr>
          <w:rFonts w:asciiTheme="majorBidi" w:hAnsiTheme="majorBidi" w:cstheme="majorBidi"/>
          <w:sz w:val="24"/>
          <w:szCs w:val="24"/>
        </w:rPr>
        <w:t xml:space="preserve">Owing to its promising properties, graphene has the potential in the applications in solar cells, sensors, drug delivery, polymer composites, etc. </w:t>
      </w:r>
    </w:p>
    <w:p w14:paraId="75945B6B" w14:textId="0DFD9751" w:rsidR="003C6953" w:rsidRDefault="003C6953" w:rsidP="00110080">
      <w:pPr>
        <w:spacing w:after="0" w:line="480" w:lineRule="auto"/>
        <w:ind w:firstLine="284"/>
        <w:jc w:val="both"/>
        <w:rPr>
          <w:rFonts w:asciiTheme="majorBidi" w:hAnsiTheme="majorBidi" w:cstheme="majorBidi"/>
          <w:sz w:val="24"/>
          <w:szCs w:val="24"/>
        </w:rPr>
      </w:pPr>
      <w:r>
        <w:rPr>
          <w:rFonts w:asciiTheme="majorBidi" w:hAnsiTheme="majorBidi" w:cstheme="majorBidi"/>
          <w:sz w:val="24"/>
          <w:szCs w:val="24"/>
        </w:rPr>
        <w:t xml:space="preserve">Generally, </w:t>
      </w:r>
      <w:r w:rsidRPr="00A610A0">
        <w:rPr>
          <w:rFonts w:asciiTheme="majorBidi" w:hAnsiTheme="majorBidi" w:cstheme="majorBidi"/>
          <w:sz w:val="24"/>
          <w:szCs w:val="24"/>
        </w:rPr>
        <w:t xml:space="preserve">some </w:t>
      </w:r>
      <w:r>
        <w:rPr>
          <w:rFonts w:asciiTheme="majorBidi" w:hAnsiTheme="majorBidi" w:cstheme="majorBidi"/>
          <w:sz w:val="24"/>
          <w:szCs w:val="24"/>
        </w:rPr>
        <w:t>approaches have been developed for preparation of graphene</w:t>
      </w:r>
      <w:r w:rsidRPr="00A610A0">
        <w:rPr>
          <w:rFonts w:asciiTheme="majorBidi" w:hAnsiTheme="majorBidi" w:cstheme="majorBidi" w:hint="eastAsia"/>
          <w:sz w:val="24"/>
          <w:szCs w:val="24"/>
        </w:rPr>
        <w:t xml:space="preserve">, including </w:t>
      </w:r>
      <w:r w:rsidRPr="00FA536C">
        <w:rPr>
          <w:rFonts w:ascii="Times New Roman" w:hAnsi="Times New Roman" w:cs="Times New Roman"/>
          <w:sz w:val="24"/>
          <w:szCs w:val="24"/>
        </w:rPr>
        <w:t xml:space="preserve">micro-mechanical exfoliation of highly ordered pyrolytic graphite, epitaxial growth, chemical </w:t>
      </w:r>
      <w:r>
        <w:rPr>
          <w:rFonts w:ascii="Times New Roman" w:hAnsi="Times New Roman" w:cs="Times New Roman"/>
          <w:sz w:val="24"/>
          <w:szCs w:val="24"/>
        </w:rPr>
        <w:t>vapo</w:t>
      </w:r>
      <w:r w:rsidRPr="00FA536C">
        <w:rPr>
          <w:rFonts w:ascii="Times New Roman" w:hAnsi="Times New Roman" w:cs="Times New Roman"/>
          <w:sz w:val="24"/>
          <w:szCs w:val="24"/>
        </w:rPr>
        <w:t>r deposition</w:t>
      </w:r>
      <w:r>
        <w:rPr>
          <w:rFonts w:ascii="Times New Roman" w:hAnsi="Times New Roman" w:cs="Times New Roman"/>
          <w:sz w:val="24"/>
          <w:szCs w:val="24"/>
        </w:rPr>
        <w:t xml:space="preserve"> (CVD)</w:t>
      </w:r>
      <w:r w:rsidRPr="00FA536C">
        <w:rPr>
          <w:rFonts w:ascii="Times New Roman" w:hAnsi="Times New Roman" w:cs="Times New Roman"/>
          <w:sz w:val="24"/>
          <w:szCs w:val="24"/>
        </w:rPr>
        <w:t xml:space="preserve">, and the </w:t>
      </w:r>
      <w:r>
        <w:rPr>
          <w:rFonts w:ascii="Times New Roman" w:hAnsi="Times New Roman" w:cs="Times New Roman"/>
          <w:sz w:val="24"/>
          <w:szCs w:val="24"/>
        </w:rPr>
        <w:t xml:space="preserve">thermal or chemical </w:t>
      </w:r>
      <w:r w:rsidRPr="00FA536C">
        <w:rPr>
          <w:rFonts w:ascii="Times New Roman" w:hAnsi="Times New Roman" w:cs="Times New Roman"/>
          <w:sz w:val="24"/>
          <w:szCs w:val="24"/>
        </w:rPr>
        <w:t>reduction of graphene oxide (GO)</w:t>
      </w:r>
      <w:r>
        <w:rPr>
          <w:rFonts w:ascii="Times New Roman" w:hAnsi="Times New Roman" w:cs="Times New Roman"/>
          <w:sz w:val="24"/>
          <w:szCs w:val="24"/>
        </w:rPr>
        <w:t xml:space="preserve">. </w:t>
      </w:r>
      <w:r w:rsidRPr="00A610A0">
        <w:rPr>
          <w:rFonts w:asciiTheme="majorBidi" w:hAnsiTheme="majorBidi" w:cstheme="majorBidi"/>
          <w:sz w:val="24"/>
          <w:szCs w:val="24"/>
        </w:rPr>
        <w:t>Micromechanical exfoliation can be used for very high quality and thin of graphene even for single layer graphene sheets but the productivity is quite low</w:t>
      </w:r>
      <w:r>
        <w:rPr>
          <w:rFonts w:asciiTheme="majorBidi" w:hAnsiTheme="majorBidi" w:cstheme="majorBidi"/>
          <w:sz w:val="24"/>
          <w:szCs w:val="24"/>
        </w:rPr>
        <w:t xml:space="preserve">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"10.1126/science.1102896", "ISBN" : "0036-8075", "ISSN" : "0036-8075", "PMID" : "15499015", "abstract" : "We report a naturally-occurring two-dimensional material (graphene that can be viewed as a gigantic flat fullerene molecule, describe its electronic properties and demonstrate all-metallic field-effect transistor, which uniquely exhibits ballistic transport at submicron distances even at room temperature.", "author" : [ { "dropping-particle" : "", "family" : "Novoselov", "given" : "Konstantin S.", "non-dropping-particle" : "", "parse-names" : false, "suffix" : "" }, { "dropping-particle" : "", "family" : "Geim", "given" : "Andre K.", "non-dropping-particle" : "", "parse-names" : false, "suffix" : "" }, { "dropping-particle" : "V.", "family" : "Morozov", "given" : "S.V.", "non-dropping-particle" : "", "parse-names" : false, "suffix" : "" }, { "dropping-particle" : "", "family" : "Jiang", "given" : "D.", "non-dropping-particle" : "", "parse-names" : false, "suffix" : "" }, { "dropping-particle" : "", "family" : "Zhang", "given" : "Y.", "non-dropping-particle" : "", "parse-names" : false, "suffix" : "" }, { "dropping-particle" : "V.", "family" : "Dubonos", "given" : "S.", "non-dropping-particle" : "", "parse-names" : false, "suffix" : "" }, { "dropping-particle" : "V.", "family" : "Grigorieva", "given" : "I.", "non-dropping-particle" : "", "parse-names" : false, "suffix" : "" }, { "dropping-particle" : "", "family" : "Firsov", "given" : "A. A.", "non-dropping-particle" : "", "parse-names" : false, "suffix" : "" } ], "container-title" : "Science", "id" : "ITEM-1", "issue" : "5696", "issued" : { "date-parts" : [ [ "2004" ] ] }, "page" : "666-669", "title" : "Electric Field Effect in Atomically Thin Carbon Films", "type" : "article-journal", "volume" : "306" }, "uris" : [ "http://www.mendeley.com/documents/?uuid=e12f54b5-5d3b-4430-b9b5-d4488b2e8534" ] }, { "id" : "ITEM-2", "itemData" : { "DOI" : "10.1016/j.polymer.2015.06.016", "ISSN" : "00323861", "abstract" : "Abstract With the emergence of scientific interest in graphene oxide (GO) in recent times, researchers have endeavored to incorporate GO in thermoset polymeric matrix to develop composites with extraordinary set of properties. The current state of research in graphene/thermoset polymer composites is highlighted here with a focus on the role of interface in dictating the overall properties of the composites. Different strategies like covalent and non-covalent functionalization of GO have been discussed with respect to improvement in mechanical, electrical, thermal and rheological properties. In addition, future prospects have been outlined. By assessing the current state of research in graphene/thermoset composites, it is obvious that graphene derivatives are promising materials in enhancing the structural properties of the nanocomposites at extremely low levels of filler loading. This opens new avenues in designing lightweight composites for myriad applications and by tailoring the interfacial adhesion with the polymer, ordered structure can be achieved at macroscopic processing scales.", "author" : [ { "dropping-particle" : "", "family" : "Rohini", "given" : "Rani", "non-dropping-particle" : "", "parse-names" : false, "suffix" : "" }, { "dropping-particle" : "", "family" : "Katti", "given" : "Prajakta", "non-dropping-particle" : "", "parse-names" : false, "suffix" : "" }, { "dropping-particle" : "", "family" : "Bose", "given" : "Suryasarathi", "non-dropping-particle" : "", "parse-names" : false, "suffix" : "" } ], "container-title" : "Polymer", "id" : "ITEM-2", "issued" : { "date-parts" : [ [ "2015" ] ] }, "page" : "A17-A34", "publisher" : "Elsevier Ltd", "title" : "Tailoring the interface in graphene/thermoset polymer composites: A critical review", "type" : "article-journal", "volume" : "70" }, "uris" : [ "http://www.mendeley.com/documents/?uuid=4b1aae3e-c682-450d-a878-cb1e36876059" ] } ], "mendeley" : { "formattedCitation" : "[3,20]", "plainTextFormattedCitation" : "[3,20]", "previouslyFormattedCitation" : "[3,20]"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[3,20]</w:t>
      </w:r>
      <w:r>
        <w:rPr>
          <w:rFonts w:asciiTheme="majorBidi" w:hAnsiTheme="majorBidi" w:cstheme="majorBidi"/>
          <w:sz w:val="24"/>
          <w:szCs w:val="24"/>
        </w:rPr>
        <w:fldChar w:fldCharType="end"/>
      </w:r>
      <w:r w:rsidRPr="00A610A0">
        <w:rPr>
          <w:rFonts w:asciiTheme="majorBidi" w:hAnsiTheme="majorBidi" w:cstheme="majorBidi"/>
          <w:sz w:val="24"/>
          <w:szCs w:val="24"/>
        </w:rPr>
        <w:t>.</w:t>
      </w:r>
      <w:r>
        <w:rPr>
          <w:rFonts w:asciiTheme="majorBidi" w:hAnsiTheme="majorBidi" w:cstheme="majorBidi"/>
          <w:sz w:val="24"/>
          <w:szCs w:val="24"/>
        </w:rPr>
        <w:t xml:space="preserve"> CVD is the method of decompose of ethylene on nicke surface or Cu foil. Large graphene can be easily obtained by this method, but little research has been done on the mechanism of graphene in a DVD process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"10.1016/0039-6028(79)90330-3", "ISBN" : "0039-6028", "ISSN" : "00396028", "abstract" : "A condensed monolayer of carbon on the (111) surface of C-doped nickel single crystals has been observed at different bulk doping levels in the range of 10-1 to 1 at%. This phase persists over a range of temperatures of more than 100 K; it is bounded at high temperatures by the formation of a dilute carbon phase at TS and at a lower temperature, TP, by the formation of a thick graphite precipitate. The ratio TS TP is about 1.11 at all doping levels investigated. The dependence of the precipitation and the phase transition temperatures on the bulk doping level allow the binding energy per carbon atom in the monolayer phase relative to that in the bulk solution to be determined; it is approximately 10% greater than for bulk graphite with a value of 0.55 eV. The partial atomic entropy in the monolayer phase was also determined; it is about 0.03 k greater than for bulk graphite. \u00a9 1979.", "author" : [ { "dropping-particle" : "", "family" : "Eizenberg", "given" : "M.", "non-dropping-particle" : "", "parse-names" : false, "suffix" : "" }, { "dropping-particle" : "", "family" : "Blakely", "given" : "J. M.", "non-dropping-particle" : "", "parse-names" : false, "suffix" : "" } ], "container-title" : "Surface Science", "id" : "ITEM-1", "issue" : "1", "issued" : { "date-parts" : [ [ "1979" ] ] }, "page" : "228-236", "title" : "Carbon monolayer phase condensation on Ni(111)", "type" : "article-journal", "volume" : "82" }, "uris" : [ "http://www.mendeley.com/documents/?uuid=b94f333a-1496-40dd-99ec-c74ec60b05fa" ] }, { "id" : "ITEM-2", "itemData" : { "DOI" : "10.1039/c1jm10845j", "ISBN" : "0959-9428\\n1364-5501", "ISSN" : "0959-9428", "abstract" : "Different C\u2013N bonding configurations in nitrogen (N) doped carbon materials have different electronic structures. Carbon materials doped with only one kind of C\u2013N bonding configuration are an excellent platform for studying doping effects on the electronic structure and physical/chemical properties. Here we report synthesis of single layer graphene doped with pure pyridinic N by thermal chemical vapour deposition of hydrogen and ethylene on Cu foils in the presence of ammonia. By adjusting the flow rate of ammonia, the atomic ratio of N and C can be modulated from 0 to 16%. The domain like distribution of N incorporated in graphene was revealed by the imaging of Raman spectroscopy and time-of-flight secondary ion mass spectrometry. The ultraviolet photoemission spectroscopy investigation demonstrated that the pyridinic N efficiently changed the valence band structure of graphene, including the raising of density of p states near the Fermi level and the reduction of work function. Such pyridinic N doping in carbon materials was generally considered to be responsible for their oxygen reduction reaction (ORR) activity. The 2e reduction mechanism of ORR on our CNx graphene revealed by rotating disk electrode voltammetry indicated that the pyridinicNmay not be an effective promoter for ORR activity of carbon materials as previously expected. Introduction", "author" : [ { "dropping-particle" : "", "family" : "Luo", "given" : "Zhiqiang", "non-dropping-particle" : "", "parse-names" : false, "suffix" : "" }, { "dropping-particle" : "", "family" : "Lim", "given" : "Sanhua", "non-dropping-particle" : "", "parse-names" : false, "suffix" : "" }, { "dropping-particle" : "", "family" : "Tian", "given" : "Zhiqun", "non-dropping-particle" : "", "parse-names" : false, "suffix" : "" }, { "dropping-particle" : "", "family" : "Shang", "given" : "Jingzhi", "non-dropping-particle" : "", "parse-names" : false, "suffix" : "" }, { "dropping-particle" : "", "family" : "Lai", "given" : "Linfei", "non-dropping-particle" : "", "parse-names" : false, "suffix" : "" }, { "dropping-particle" : "", "family" : "MacDonald", "given" : "Brian", "non-dropping-particle" : "", "parse-names" : false, "suffix" : "" }, { "dropping-particle" : "", "family" : "Fu", "given" : "Chao", "non-dropping-particle" : "", "parse-names" : false, "suffix" : "" }, { "dropping-particle" : "", "family" : "Shen", "given" : "Zexiang", "non-dropping-particle" : "", "parse-names" : false, "suffix" : "" }, { "dropping-particle" : "", "family" : "Yu", "given" : "Ting", "non-dropping-particle" : "", "parse-names" : false, "suffix" : "" }, { "dropping-particle" : "", "family" : "Lin", "given" : "Jianyi", "non-dropping-particle" : "", "parse-names" : false, "suffix" : "" } ], "container-title" : "Journal of Materials Chemistry", "id" : "ITEM-2", "issued" : { "date-parts" : [ [ "2011" ] ] }, "page" : "8038-8044", "title" : "Pyridinic N doped graphene: synthesis, electronic structure, and electrocatalytic property", "type" : "article-journal", "volume" : "21" }, "uris" : [ "http://www.mendeley.com/documents/?uuid=a5b6e43b-7d57-4037-87eb-d460b31313a1" ] } ], "mendeley" : { "formattedCitation" : "[24,25]", "plainTextFormattedCitation" : "[24,25]", "previouslyFormattedCitation" : "[24,25]"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[24,25]</w:t>
      </w:r>
      <w:r>
        <w:rPr>
          <w:rFonts w:asciiTheme="majorBidi" w:hAnsiTheme="majorBidi" w:cstheme="majorBidi"/>
          <w:sz w:val="24"/>
          <w:szCs w:val="24"/>
        </w:rPr>
        <w:fldChar w:fldCharType="end"/>
      </w:r>
      <w:r>
        <w:rPr>
          <w:rFonts w:asciiTheme="majorBidi" w:hAnsiTheme="majorBidi" w:cstheme="majorBidi"/>
          <w:sz w:val="24"/>
          <w:szCs w:val="24"/>
        </w:rPr>
        <w:t xml:space="preserve">. Epitaxial growth is a method for graphene growing on an electrically insulting substrate like SiC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"10.1126/science.1125925", "ISBN" : "0036-8075", "ISSN" : "1095-9203", "PMID" : "16614173", "abstract" : "Ultrathin epitaxial graphite was grown on single-crystal silicon carbide by vacuum graphitization. The material can be patterned using standard nanolithography methods. The transport properties, which are closely related to those of carbon nanotubes, are dominated by the single epitaxial graphene layer at the silicon carbide interface and reveal the Dirac nature of the charge carriers. Patterned structures show quantum confinement of electrons and phase coherence lengths beyond 1 micrometer at 4 kelvin, with mobilities exceeding 2.5 square meters per volt-second. All- graphene electronically coherent devices and device architectures are envisaged.", "author" : [ { "dropping-particle" : "", "family" : "Berger", "given" : "Claire", "non-dropping-particle" : "", "parse-names" : false, "suffix" : "" }, { "dropping-particle" : "", "family" : "Song", "given" : "Zhimin", "non-dropping-particle" : "", "parse-names" : false, "suffix" : "" }, { "dropping-particle" : "", "family" : "Li", "given" : "Xuebin", "non-dropping-particle" : "", "parse-names" : false, "suffix" : "" } ], "container-title" : "Science", "id" : "ITEM-1", "issued" : { "date-parts" : [ [ "2006" ] ] }, "page" : "1191-1196", "title" : "Electronic Confinement and Coherence in patterned epitaxial graphene", "type" : "article-journal", "volume" : "312" }, "uris" : [ "http://www.mendeley.com/documents/?uuid=f411599b-e562-4319-8c7d-78024bc32689" ] } ], "mendeley" : { "formattedCitation" : "[26]", "plainTextFormattedCitation" : "[26]", "previouslyFormattedCitation" : "[26]"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[26]</w:t>
      </w:r>
      <w:r>
        <w:rPr>
          <w:rFonts w:asciiTheme="majorBidi" w:hAnsiTheme="majorBidi" w:cstheme="majorBidi"/>
          <w:sz w:val="24"/>
          <w:szCs w:val="24"/>
        </w:rPr>
        <w:fldChar w:fldCharType="end"/>
      </w:r>
      <w:r>
        <w:rPr>
          <w:rFonts w:asciiTheme="majorBidi" w:hAnsiTheme="majorBidi" w:cstheme="majorBidi"/>
          <w:sz w:val="24"/>
          <w:szCs w:val="24"/>
        </w:rPr>
        <w:t xml:space="preserve">. To date, reduction of graphene oxide (GO) is a promising approach for bulk graphene preparation due to its easy feasibility and cost-effectivity. </w:t>
      </w:r>
      <w:r w:rsidRPr="00FA536C">
        <w:rPr>
          <w:rFonts w:ascii="Times New Roman" w:hAnsi="Times New Roman" w:cs="Times New Roman"/>
          <w:sz w:val="24"/>
          <w:szCs w:val="24"/>
        </w:rPr>
        <w:t>Many publications describe</w:t>
      </w:r>
      <w:r>
        <w:rPr>
          <w:rFonts w:ascii="Times New Roman" w:hAnsi="Times New Roman" w:cs="Times New Roman"/>
          <w:sz w:val="24"/>
          <w:szCs w:val="24"/>
        </w:rPr>
        <w:t>d</w:t>
      </w:r>
      <w:r w:rsidRPr="00FA536C">
        <w:rPr>
          <w:rFonts w:ascii="Times New Roman" w:hAnsi="Times New Roman" w:cs="Times New Roman"/>
          <w:sz w:val="24"/>
          <w:szCs w:val="24"/>
        </w:rPr>
        <w:t xml:space="preserve"> the thermal reduction of GO, in which GO or graphite intercalation compounds (GIC) was hearted rapidly (&gt;2000 °C min</w:t>
      </w:r>
      <w:r w:rsidRPr="00FA536C">
        <w:rPr>
          <w:rFonts w:ascii="Times New Roman" w:hAnsi="Times New Roman" w:cs="Times New Roman"/>
          <w:sz w:val="24"/>
          <w:szCs w:val="24"/>
          <w:vertAlign w:val="superscript"/>
        </w:rPr>
        <w:t xml:space="preserve">-1 </w:t>
      </w:r>
      <w:r w:rsidRPr="00FA536C">
        <w:rPr>
          <w:rFonts w:ascii="Times New Roman" w:hAnsi="Times New Roman" w:cs="Times New Roman"/>
          <w:sz w:val="24"/>
          <w:szCs w:val="24"/>
        </w:rPr>
        <w:t xml:space="preserve">, up to 1050 °C) in inert (argon or nitrogen) atmosphere </w:t>
      </w:r>
      <w:r w:rsidRPr="00FA536C">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"10.1021/cm0630800", "ISBN" : "0897-4756", "ISSN" : "08974756", "PMID" : "16640401", "abstract" : "A detailed analysis of the thermal expansion mechanism of graphite oxide to produce functionalized graphene sheets is provided. Exfoliation takes place when the decomposition rate of the epoxy and hydroxyl sites of graphite oxide exceeds the diffusion rate of the evolved gases, thus yielding pressures that exceed the van der Waals forces holding the graphene sheets together. A comparison of the Arrhenius dependence of the reaction rate against the calculated diffusion coefficient based on Knudsen diffusion suggests a critical temperature of 550 \u00b0C which must be exceeded for exfoliation to occur. As a result of their wrinkled nature, the functionalized and defective graphene sheets do not collapse back to graphite oxide but are highly agglomerated. After dispersion by ultrasonication in appropriate solvents, statistical analysis by atomic force microscopy shows that 80% of the observed flakes are single sheets.", "author" : [ { "dropping-particle" : "", "family" : "McAllister", "given" : "Michael J.", "non-dropping-particle" : "", "parse-names" : false, "suffix" : "" }, { "dropping-particle" : "", "family" : "Li", "given" : "Je Luen", "non-dropping-particle" : "", "parse-names" : false, "suffix" : "" }, { "dropping-particle" : "", "family" : "Adamson", "given" : "Douglas H.", "non-dropping-particle" : "", "parse-names" : false, "suffix" : "" }, { "dropping-particle" : "", "family" : "Schniepp", "given" : "Hannes C.", "non-dropping-particle" : "", "parse-names" : false, "suffix" : "" }, { "dropping-particle" : "", "family" : "Abdala", "given" : "Ahmed A.", "non-dropping-particle" : "", "parse-names" : false, "suffix" : "" }, { "dropping-particle" : "", "family" : "Liu", "given" : "Jun", "non-dropping-particle" : "", "parse-names" : false, "suffix" : "" }, { "dropping-particle" : "", "family" : "Herrera-Alonso", "given" : "Margarita", "non-dropping-particle" : "", "parse-names" : false, "suffix" : "" }, { "dropping-particle" : "", "family" : "Milius", "given" : "David L.", "non-dropping-particle" : "", "parse-names" : false, "suffix" : "" }, { "dropping-particle" : "", "family" : "Car", "given" : "Roberto", "non-dropping-particle" : "", "parse-names" : false, "suffix" : "" }, { "dropping-particle" : "", "family" : "Prud'homme", "given" : "Robert K.", "non-dropping-particle" : "", "parse-names" : false, "suffix" : "" }, { "dropping-particle" : "", "family" : "Aksay", "given" : "Ilhan A.", "non-dropping-particle" : "", "parse-names" : false, "suffix" : "" } ], "container-title" : "Chemistry of Materials", "id" : "ITEM-1", "issue" : "18", "issued" : { "date-parts" : [ [ "2007" ] ] }, "page" : "4396-4404", "title" : "Single sheet functionalized graphene by oxidation and thermal expansion of graphite", "type" : "article-journal", "volume" : "19" }, "uris" : [ "http://www.mendeley.com/documents/?uuid=3e5928c5-837f-471c-921f-e40d9d0bf546" ] }, { "id" : "ITEM-2", "itemData" : { "DOI" : "10.1021/jp060936f", "ISBN" : "1520-6106", "ISSN" : "15206106", "PMID" : "16640401", "abstract" : "A process is described to produce single sheets of functionalized graphene through thermal exfoliation of graphite oxide. The process yields a wrinkled sheet structure resulting from reaction sites involved in oxidation and reduction processes. The topological features of single sheets, as measured by atomic force microscopy, closely match predictions of first-principles atomistic modeling. Although graphite oxide is an insulator, functionalized graphene produced by this method is electrically conducting.", "author" : [ { "dropping-particle" : "", "family" : "Schniepp", "given" : "Hannes C.", "non-dropping-particle" : "", "parse-names" : false, "suffix" : "" }, { "dropping-particle" : "", "family" : "Li", "given" : "Je Luen", "non-dropping-particle" : "", "parse-names" : false, "suffix" : "" }, { "dropping-particle" : "", "family" : "McAllister", "given" : "Michael J.", "non-dropping-particle" : "", "parse-names" : false, "suffix" : "" }, { "dropping-particle" : "", "family" : "Sai", "given" : "Hiroaki", "non-dropping-particle" : "", "parse-names" : false, "suffix" : "" }, { "dropping-particle" : "", "family" : "Herrera-Alonson", "given" : "Margarita", "non-dropping-particle" : "", "parse-names" : false, "suffix" : "" }, { "dropping-particle" : "", "family" : "Adamson", "given" : "Douglas H.", "non-dropping-particle" : "", "parse-names" : false, "suffix" : "" }, { "dropping-particle" : "", "family" : "Prud'homme", "given" : "Robert K.", "non-dropping-particle" : "", "parse-names" : false, "suffix" : "" }, { "dropping-particle" : "", "family" : "Car", "given" : "Roberto", "non-dropping-particle" : "", "parse-names" : false, "suffix" : "" }, { "dropping-particle" : "", "family" : "Seville", "given" : "Dudley A.", "non-dropping-particle" : "", "parse-names" : false, "suffix" : "" }, { "dropping-particle" : "", "family" : "Aksay", "given" : "Ilhan A.", "non-dropping-particle" : "", "parse-names" : false, "suffix" : "" } ], "container-title" : "Journal of Physical Chemistry B", "id" : "ITEM-2", "issued" : { "date-parts" : [ [ "2006" ] ] }, "page" : "8535-8539", "title" : "Functionalized single graphene sheets derived from splitting graphite oxide", "type" : "article-journal", "volume" : "110" }, "uris" : [ "http://www.mendeley.com/documents/?uuid=5a0ffef2-a4b1-4202-8c61-9a5dc7579d20" ] }, { "id" : "ITEM-3", "itemData" : { "DOI" : "10.1021/nn9010472", "ISBN" : "9781880653685", "ISSN" : "1936-086X", "PMID" : "19957928", "author" : [ { "dropping-particle" : "", "family" : "Mohammad A. Rafiee, Javad Rafiee, Zhou Wang, Huaihe Song, Zhong Zhen Yu", "given" : "and Nikhil Koratkar", "non-dropping-particle" : "", "parse-names" : false, "suffix" : "" } ], "container-title" : "ACS nano", "id" : "ITEM-3", "issue" : "12", "issued" : { "date-parts" : [ [ "2009" ] ] }, "page" : "3884-3890", "title" : "Enhanced mechanical properties of nanocomposites at low graphene content", "type" : "article-journal", "volume" : "3" }, "uris" : [ "http://www.mendeley.com/documents/?uuid=b2e76665-97e2-497f-a592-e6dcdaae0035" ] }, { "id" : "ITEM-4", "itemData" : { "DOI" : "10.1002/marc.200800754", "ISBN" : "1022-1336", "ISSN" : "10221336", "PMID" : "21706607", "abstract" : "Exfoliation of expanded GO represents an attractive route to functionalized graphenes as versatile 2D carbon nanomaterials and components of a wide variety of polymer nanocomposites. Thermally reduced graphite oxides (TrGO) with specific surface areas of 600 to 950 m(2) \u00b7 g(-1) were obtained by oxidation of graphite followed by thermal expansion at 600 \u00b0C. Thermal post treatment at 700 \u00b0C and 1 000 \u00b0C increased carbon content (81 to 97 wt.-%) and lowered resistivity (1 600 to 50 \u03a9 \u00b7 cm). During melt extrusion with PC, iPP, SAN and PA6, exfoliation afforded uniformly dispersed graphenes with aspect ratio &gt; 200. In comparison to conventional 0D and 1D carbon nanoparticles, TrGO afforded nanocomposites with improved stiffness and lower percolation threshold. Recent progress and new strategies in development of functionalized graphenes and graphene-based nanocomposites are highlighted.", "author" : [ { "dropping-particle" : "", "family" : "Steurer", "given" : "Peter", "non-dropping-particle" : "", "parse-names" : false, "suffix" : "" }, { "dropping-particle" : "", "family" : "Wissert", "given" : "Rainer", "non-dropping-particle" : "", "parse-names" : false, "suffix" : "" }, { "dropping-particle" : "", "family" : "Thomann", "given" : "Ralf", "non-dropping-particle" : "", "parse-names" : false, "suffix" : "" }, { "dropping-particle" : "", "family" : "M??lhaupt", "given" : "Rolf", "non-dropping-particle" : "", "parse-names" : false, "suffix" : "" } ], "container-title" : "Macromolecular Rapid Communications", "id" : "ITEM-4", "issued" : { "date-parts" : [ [ "2009" ] ] }, "page" : "316-327", "title" : "Functionalized graphenes and thermoplastic nanocomposites based upon expanded graphite oxide", "type" : "article-journal", "volume" : "30" }, "uris" : [ "http://www.mendeley.com/documents/?uuid=b48d87ef-e1a5-4b27-bfe9-04c54a6d24ea" ] } ], "mendeley" : { "formattedCitation" : "[27\u201330]", "plainTextFormattedCitation" : "[27\u201330]", "previouslyFormattedCitation" : "[27\u201330]" }, "properties" : {  }, "schema" : "https://github.com/citation-style-language/schema/raw/master/csl-citation.json" }</w:instrText>
      </w:r>
      <w:r w:rsidRPr="00FA536C">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[27–30]</w:t>
      </w:r>
      <w:r w:rsidRPr="00FA536C">
        <w:rPr>
          <w:rFonts w:ascii="Times New Roman" w:hAnsi="Times New Roman" w:cs="Times New Roman"/>
          <w:sz w:val="24"/>
          <w:szCs w:val="24"/>
        </w:rPr>
        <w:fldChar w:fldCharType="end"/>
      </w:r>
      <w:r w:rsidRPr="00FA536C">
        <w:rPr>
          <w:rFonts w:ascii="Times New Roman" w:hAnsi="Times New Roman" w:cs="Times New Roman"/>
          <w:sz w:val="24"/>
          <w:szCs w:val="24"/>
        </w:rPr>
        <w:t>.</w:t>
      </w:r>
      <w:r>
        <w:rPr>
          <w:rFonts w:ascii="Times New Roman" w:hAnsi="Times New Roman" w:cs="Times New Roman"/>
          <w:sz w:val="24"/>
          <w:szCs w:val="24"/>
        </w:rPr>
        <w:t xml:space="preserve"> In contrast, chemical</w:t>
      </w:r>
      <w:r w:rsidRPr="00FA536C">
        <w:rPr>
          <w:rFonts w:ascii="Times New Roman" w:hAnsi="Times New Roman" w:cs="Times New Roman"/>
          <w:sz w:val="24"/>
          <w:szCs w:val="24"/>
        </w:rPr>
        <w:t xml:space="preserve"> reduction is a </w:t>
      </w:r>
      <w:r w:rsidRPr="004038B5">
        <w:rPr>
          <w:rFonts w:ascii="Times New Roman" w:hAnsi="Times New Roman" w:cs="Times New Roman"/>
          <w:sz w:val="24"/>
          <w:szCs w:val="24"/>
        </w:rPr>
        <w:t xml:space="preserve"> </w:t>
      </w:r>
      <w:r>
        <w:rPr>
          <w:rFonts w:ascii="Times New Roman" w:hAnsi="Times New Roman" w:cs="Times New Roman"/>
          <w:sz w:val="24"/>
          <w:szCs w:val="24"/>
        </w:rPr>
        <w:t>low-cost</w:t>
      </w:r>
      <w:r w:rsidRPr="00FA536C">
        <w:rPr>
          <w:rFonts w:ascii="Times New Roman" w:hAnsi="Times New Roman" w:cs="Times New Roman"/>
          <w:sz w:val="24"/>
          <w:szCs w:val="24"/>
        </w:rPr>
        <w:t xml:space="preserve"> and effective way to synthesis graphene </w:t>
      </w:r>
      <w:r w:rsidRPr="00FA536C">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"10.1016/j.carbon.2012.01.074", "ISBN" : "0008-6223", "ISSN" : "00086223", "PMID" : "820", "abstract" : "An environment-friendly approach to synthesizing reduced graphene oxide (RGO) was developed by using chitosan (CS) as both a reducing and a stabilizing agent. Factors that affect the reduction of graphene oxide (GO), such as the ratio of CS/GO, pH and temperature, were explored to obtain optimum reaction conditions. The RGO was characterized with UV visible absorption spectroscopy, Fourier transform infrared spectroscopy, Raman spectroscopy, X-ray diffraction spectroscopy, thermo-gravimetric analysis, and X-ray photoelectron spectroscopy and transmission electron microscopy. Analysis shows that CS macromolecules can efficiently reduce GO at a comparatively low temperature and their adsorption onto the RGO nanosheets allows a stable RGO aqueous dispersion to be formed. Since CS is a natural, nontoxic and biodegradable macromolecule, this approach provides a new green method for GO reduction that would facilitate the large scale production of RGO, which has great value for graphene applications. Moreover, CS can reduce GO and AgNO 3 (or HAuCl 4) in one pot to obtain Ag nanoparticle-RGO hybrids or Au nanoparticle-RGO hybrids that exhibit good electrochemical activity. ?? 2012 Elsevier Ltd. All rights reserved.", "author" : [ { "dropping-particle" : "", "family" : "Guo", "given" : "Yongqin", "non-dropping-particle" : "", "parse-names" : false, "suffix" : "" }, { "dropping-particle" : "", "family" : "Sun", "given" : "Xiying", "non-dropping-particle" : "", "parse-names" : false, "suffix" : "" }, { "dropping-particle" : "", "family" : "Liu", "given" : "Yu", "non-dropping-particle" : "", "parse-names" : false, "suffix" : "" }, { "dropping-particle" : "", "family" : "Wang", "given" : "Wei", "non-dropping-particle" : "", "parse-names" : false, "suffix" : "" }, { "dropping-particle" : "", "family" : "Qiu", "given" : "Haixia", "non-dropping-particle" : "", "parse-names" : false, "suffix" : "" }, { "dropping-particle" : "", "family" : "Gao", "given" : "Jianping", "non-dropping-particle" : "", "parse-names" : false, "suffix" : "" } ], "container-title" : "Carbon", "id" : "ITEM-1", "issue" : "7", "issued" : { "date-parts" : [ [ "2012" ] ] }, "page" : "2513-2523", "publisher" : "Elsevier Ltd", "title" : "One pot preparation of reduced graphene oxide (RGO) or Au (Ag) nanoparticle-RGO hybrids using chitosan as a reducing and stabilizing agent and their use in methanol electrooxidation", "type" : "article-journal", "volume" : "50" }, "uris" : [ "http://www.mendeley.com/documents/?uuid=796de02a-dd7e-4d5b-88b8-284516ce72b8" ] } ], "mendeley" : { "formattedCitation" : "[31]", "plainTextFormattedCitation" : "[31]", "previouslyFormattedCitation" : "[31]" }, "properties" : {  }, "schema" : "https://github.com/citation-style-language/schema/raw/master/csl-citation.json" }</w:instrText>
      </w:r>
      <w:r w:rsidRPr="00FA536C">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[31]</w:t>
      </w:r>
      <w:r w:rsidRPr="00FA536C">
        <w:rPr>
          <w:rFonts w:ascii="Times New Roman" w:hAnsi="Times New Roman" w:cs="Times New Roman"/>
          <w:sz w:val="24"/>
          <w:szCs w:val="24"/>
        </w:rPr>
        <w:fldChar w:fldCharType="end"/>
      </w:r>
      <w:r w:rsidRPr="00FA536C">
        <w:rPr>
          <w:rFonts w:ascii="Times New Roman" w:hAnsi="Times New Roman" w:cs="Times New Roman"/>
          <w:sz w:val="24"/>
          <w:szCs w:val="24"/>
        </w:rPr>
        <w:t>.</w:t>
      </w:r>
      <w:r>
        <w:rPr>
          <w:rFonts w:ascii="Times New Roman" w:hAnsi="Times New Roman" w:cs="Times New Roman"/>
          <w:sz w:val="24"/>
          <w:szCs w:val="24"/>
        </w:rPr>
        <w:t xml:space="preserve"> Many reduction agents have been studied, including hydrazine hydrate </w:t>
      </w:r>
      <w:r w:rsidRPr="00FA536C">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"10.1016/j.carbon.2011.02.071", "ISBN" : "0008-6223", "ISSN" : "00086223", "abstract" : "We prepared hydrazine-reduced materials from both graphite oxide (GO) particles, which were not exfoliated, and completely exfoliated individual graphene oxide platelets, and then analyzed their chemical and structural properties by elemental analysis, XPS, TGA, XRD, and SEM. Both reduced materials showed distinctly different chemical and structural properties from one another. While hydrazine reduction of graphene oxide platelets produced agglomerates of exfoliated platelets, the reduction of GO particles produced particles that were not exfoliated. The degree of chemical reduction of reduced GO particles was lower than that of reduced graphene oxide and the BET surface area of reduced GO was much lower than that of reduced graphene oxide. ?? 2011 Elsevier Ltd. All rights reserved.", "author" : [ { "dropping-particle" : "", "family" : "Park", "given" : "Sungjin", "non-dropping-particle" : "", "parse-names" : false, "suffix" : "" }, { "dropping-particle" : "", "family" : "An", "given" : "Jinho", "non-dropping-particle" : "", "parse-names" : false, "suffix" : "" }, { "dropping-particle" : "", "family" : "Potts", "given" : "Jeffrey R.", "non-dropping-particle" : "", "parse-names" : false, "suffix" : "" }, { "dropping-particle" : "", "family" : "Velamakanni", "given" : "Aruna", "non-dropping-particle" : "", "parse-names" : false, "suffix" : "" }, { "dropping-particle" : "", "family" : "Murali", "given" : "Shanthi", "non-dropping-particle" : "", "parse-names" : false, "suffix" : "" }, { "dropping-particle" : "", "family" : "Ruoff", "given" : "Rodney S.", "non-dropping-particle" : "", "parse-names" : false, "suffix" : "" } ], "container-title" : "Carbon", "id" : "ITEM-1", "issue" : "9", "issued" : { "date-parts" : [ [ "2011" ] ] }, "page" : "3019-3023", "publisher" : "Elsevier Ltd", "title" : "Hydrazine-reduction of graphite and graphene oxide", "type" : "article-journal", "volume" : "49" }, "uris" : [ "http://www.mendeley.com/documents/?uuid=f30a1589-a61e-47a4-9fd6-4c6f13dc8dcd" ] }, { "id" : "ITEM-2", "itemData" : { "DOI" : "10.1039/b512799h", "ISBN" : "0959-9428", "ISSN" : "0959-9428", "abstract" : "For the first time, stable aqueous dispersions of polymer-coated graphitic nanoplatelets can be prepared via an exfoliation/in-situ reduction of graphite oxide in the presence of poly(sodium 4-styrenesulfonate)", "author" : [ { "dropping-particle" : "", "family" : "Stankovich", "given" : "Sasha", "non-dropping-particle" : "", "parse-names" : false, "suffix" : "" }, { "dropping-particle" : "", "family" : "Piner", "given" : "Richard D.", "non-dropping-particle" : "", "parse-names" : false, "suffix" : "" }, { "dropping-particle" : "", "family" : "Chen", "given" : "Xinqi", "non-dropping-particle" : "", "parse-names" : false, "suffix" : "" }, { "dropping-particle" : "", "family" : "Wu", "given" : "Nianqiang", "non-dropping-particle" : "", "parse-names" : false, "suffix" : "" }, { "dropping-particle" : "", "family" : "Nguyen", "given" : "SonBinh T.", "non-dropping-particle" : "", "parse-names" : false, "suffix" : "" }, { "dropping-particle" : "", "family" : "Ruoff", "given" : "Rodney S.", "non-dropping-particle" : "", "parse-names" : false, "suffix" : "" } ], "container-title" : "Journal of Materials Chemistry", "id" : "ITEM-2", "issued" : { "date-parts" : [ [ "2006" ] ] }, "page" : "155-158", "title" : "Stable aqueous dispersions of graphitic nanoplatelets via the reduction of exfoliated graphite oxide in the presence of poly(sodium 4-styrenesulfonate)", "type" : "article-journal", "volume" : "16" }, "uris" : [ "http://www.mendeley.com/documents/?uuid=a323b406-1205-4dcc-904c-379070602053" ] }, { "id" : "ITEM-3",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"ITEM-3", "issue" : "7", "issued" : { "date-parts" : [ [ "2007" ] ] }, "page" : "1558-1565", "title" : "Synthesis of graphene-based nanosheets via chemical reduction of exfoliated graphite oxide", "type" : "article-journal", "volume" : "45" }, "uris" : [ "http://www.mendeley.com/documents/?uuid=7d96f1a7-d047-463c-8a60-e43142ea0559" ] } ], "mendeley" : { "formattedCitation" : "[32\u201334]", "plainTextFormattedCitation" : "[32\u201334]", "previouslyFormattedCitation" : "[32\u201334]" }, "properties" : {  }, "schema" : "https://github.com/citation-style-language/schema/raw/master/csl-citation.json" }</w:instrText>
      </w:r>
      <w:r w:rsidRPr="00FA536C">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[32–34]</w:t>
      </w:r>
      <w:r w:rsidRPr="00FA536C">
        <w:rPr>
          <w:rFonts w:ascii="Times New Roman" w:hAnsi="Times New Roman" w:cs="Times New Roman"/>
          <w:sz w:val="24"/>
          <w:szCs w:val="24"/>
        </w:rPr>
        <w:fldChar w:fldCharType="end"/>
      </w:r>
      <w:r>
        <w:rPr>
          <w:rFonts w:ascii="Times New Roman" w:hAnsi="Times New Roman" w:cs="Times New Roman"/>
          <w:sz w:val="24"/>
          <w:szCs w:val="24"/>
        </w:rPr>
        <w:t xml:space="preserve">, sodium borohydride </w:t>
      </w:r>
      <w:r w:rsidRPr="00FA536C">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"10.1002/adfm.200900167", "ISBN" : "1616-3028", "ISSN" : "1616301X", "abstract" : "The conductivity of graphite oxide films is modulated using reducing agents. It is found that the sheet resistance of graphite oxide film reduced using sodium borohydride (NaBH4) is much lower than that of films reduced using hydrazine (N2H4). This is attributed to the formation of C-N groups in the N2H4 case, which may act as donors compensating the hole carriers in reduced graphite oxide. In the case of NaBH4 reduction, the interlayer distance is first slightly expanded by the formation of intermediate boron oxide complexes and then contracted by the gradual removal of carbonyl and hydroxyl groups along with the boron oxide complexes. The fabricated conducting film comprising a NaBH4-reduced graphite oxide reveals a sheet resistance comparable to that of dispersed graphene.", "author" : [ { "dropping-particle" : "", "family" : "Shin", "given" : "Hyeon Jin", "non-dropping-particle" : "", "parse-names" : false, "suffix" : "" }, { "dropping-particle" : "", "family" : "Kim", "given" : "Ki Kang", "non-dropping-particle" : "", "parse-names" : false, "suffix" : "" }, { "dropping-particle" : "", "family" : "Benayad", "given" : "Anass", "non-dropping-particle" : "", "parse-names" : false, "suffix" : "" }, { "dropping-particle" : "", "family" : "Yoon", "given" : "Seon Mi", "non-dropping-particle" : "", "parse-names" : false, "suffix" : "" }, { "dropping-particle" : "", "family" : "Park", "given" : "Hyeon Ki", "non-dropping-particle" : "", "parse-names" : false, "suffix" : "" }, { "dropping-particle" : "", "family" : "Jung", "given" : "In Sun", "non-dropping-particle" : "", "parse-names" : false, "suffix" : "" }, { "dropping-particle" : "", "family" : "Jin", "given" : "Mei Hua", "non-dropping-particle" : "", "parse-names" : false, "suffix" : "" }, { "dropping-particle" : "", "family" : "Jeong", "given" : "Hae Kyung", "non-dropping-particle" : "", "parse-names" : false, "suffix" : "" }, { "dropping-particle" : "", "family" : "Kim", "given" : "Jong Min", "non-dropping-particle" : "", "parse-names" : false, "suffix" : "" }, { "dropping-particle" : "", "family" : "Choi", "given" : "Jae Young", "non-dropping-particle" : "", "parse-names" : false, "suffix" : "" }, { "dropping-particle" : "", "family" : "Lee", "given" : "Young Hee", "non-dropping-particle" : "", "parse-names" : false, "suffix" : "" } ], "container-title" : "Advanced Functional Materials", "id" : "ITEM-1", "issued" : { "date-parts" : [ [ "2009" ] ] }, "page" : "1987-1992", "title" : "Efficient reduction of graphite oxide by sodium borohydride and its effect on electrical conductance", "type" : "article-journal", "volume" : "19" }, "uris" : [ "http://www.mendeley.com/documents/?uuid=1b38f087-8f20-4fcb-bdca-02eddea4d1b1" ] }, { "id" : "ITEM-2", "itemData" : { "DOI" : "10.1016/S0022-328X(00)00210-2", "ISBN" : "0022-328X", "ISSN" : "0022328X", "abstract" : "NaBH4 does not reduce carboxylic acids, esters, amides and nitriles under ambient conditions. However, the reactivity of NaBH4 can be enhanced by the addition of certain additives. For example, addition of iodine to NaBH4 in THF provides H3B\u2013THF that is useful for hydroborations and reductions of various functional groups. The aldehydes and ketones are reduced in a fast manner by the NaBH4 reagent. Even so, the selectivities realised in such reductions can be enhanced using NaBH4 along with another additive. In this article, various methods used for the enhancement of reactivity and selectivity of NaBH4 in organic synthesis are described.", "author" : [ { "dropping-particle" : "", "family" : "Periasamy", "given" : "Mariappan", "non-dropping-particle" : "", "parse-names" : false, "suffix" : "" }, { "dropping-particle" : "", "family" : "Thirumalaikumar", "given" : "Muniappan", "non-dropping-particle" : "", "parse-names" : false, "suffix" : "" } ], "container-title" : "Journal of Organometallic Chemistry", "id" : "ITEM-2", "issued" : { "date-parts" : [ [ "2000" ] ] }, "page" : "137-151", "title" : "Methods of enhancement of reactivity and selectivity of sodium borohydride for applications in organic synthesis", "type" : "article-journal", "volume" : "609" }, "uris" : [ "http://www.mendeley.com/documents/?uuid=3bc5faac-f1b7-421b-9ec4-4adf5da31b3a" ] } ], "mendeley" : { "formattedCitation" : "[35,36]", "plainTextFormattedCitation" : "[35,36]", "previouslyFormattedCitation" : "[35,36]" }, "properties" : {  }, "schema" : "https://github.com/citation-style-language/schema/raw/master/csl-citation.json" }</w:instrText>
      </w:r>
      <w:r w:rsidRPr="00FA536C">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[35,36]</w:t>
      </w:r>
      <w:r w:rsidRPr="00FA536C">
        <w:rPr>
          <w:rFonts w:ascii="Times New Roman" w:hAnsi="Times New Roman" w:cs="Times New Roman"/>
          <w:sz w:val="24"/>
          <w:szCs w:val="24"/>
        </w:rPr>
        <w:fldChar w:fldCharType="end"/>
      </w:r>
      <w:r>
        <w:rPr>
          <w:rFonts w:ascii="Times New Roman" w:hAnsi="Times New Roman" w:cs="Times New Roman"/>
          <w:sz w:val="24"/>
          <w:szCs w:val="24"/>
        </w:rPr>
        <w:t xml:space="preserve">, hydroquinone </w:t>
      </w:r>
      <w:r w:rsidRPr="00FA536C">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"10.1021/jp710931h", "ISBN" : "1932-7447", "ISSN" : "1932-7447", "abstract" : "Graphene nanosheets were produced in large quantity via a soft chemistry synthetic route involving graphite oxidation, ultrasonic exfoliation, and chemical reduction. X-ray diffraction and transmission electron microscopy (TEM) observations show that graphene nanosheets were produced with sizes in the-range of tens to hundreds of square nanometers and ripple-like corrugations. High resolution TEM (HRTEM) and selected area electron diffraction (SAED) analysis confirmed the ordered graphite crystal structure of graphene nanosheets. The optical properties of graphene nanosheets were characterized by Raman spectroscopy.", "author" : [ { "dropping-particle" : "", "family" : "Wang", "given" : "Guoxiu", "non-dropping-particle" : "", "parse-names" : false, "suffix" : "" }, { "dropping-particle" : "", "family" : "Yang", "given" : "Juan", "non-dropping-particle" : "", "parse-names" : false, "suffix" : "" }, { "dropping-particle" : "", "family" : "Park", "given" : "Jinsoo", "non-dropping-particle" : "", "parse-names" : false, "suffix" : "" }, { "dropping-particle" : "", "family" : "Gou", "given" : "Xinglong", "non-dropping-particle" : "", "parse-names" : false, "suffix" : "" }, { "dropping-particle" : "", "family" : "Wang", "given" : "Bei", "non-dropping-particle" : "", "parse-names" : false, "suffix" : "" }, { "dropping-particle" : "", "family" : "Liu", "given" : "Hao", "non-dropping-particle" : "", "parse-names" : false, "suffix" : "" }, { "dropping-particle" : "", "family" : "Yao", "given" : "Jane", "non-dropping-particle" : "", "parse-names" : false, "suffix" : "" } ], "container-title" : "The Journal of Physical Chemistry C", "id" : "ITEM-1", "issued" : { "date-parts" : [ [ "2008" ] ] }, "page" : "8192-8195", "title" : "Facile synthesis and characterization of graphene nanosheets", "type" : "article-journal", "volume" : "112" }, "uris" : [ "http://www.mendeley.com/documents/?uuid=b1d14f96-a2be-4eda-b67b-c88f3741c0be" ] } ], "mendeley" : { "formattedCitation" : "[37]", "plainTextFormattedCitation" : "[37]", "previouslyFormattedCitation" : "[37]" }, "properties" : {  }, "schema" : "https://github.com/citation-style-language/schema/raw/master/csl-citation.json" }</w:instrText>
      </w:r>
      <w:r w:rsidRPr="00FA536C">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[37]</w:t>
      </w:r>
      <w:r w:rsidRPr="00FA536C">
        <w:rPr>
          <w:rFonts w:ascii="Times New Roman" w:hAnsi="Times New Roman" w:cs="Times New Roman"/>
          <w:sz w:val="24"/>
          <w:szCs w:val="24"/>
        </w:rPr>
        <w:fldChar w:fldCharType="end"/>
      </w:r>
      <w:r>
        <w:rPr>
          <w:rFonts w:ascii="Times New Roman" w:hAnsi="Times New Roman" w:cs="Times New Roman"/>
          <w:sz w:val="24"/>
          <w:szCs w:val="24"/>
        </w:rPr>
        <w:t xml:space="preserve">, and vitamin C (L-ascorbic acid) </w:t>
      </w:r>
      <w:r w:rsidRPr="00FA536C">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"10.1021/jp100603h", "ISBN" : "1463-9262", "ISSN" : "1932-7447", "PMID" : "24732631", "abstract" : "The preparation of solution-processable graphene from graphite oxide typically involves a hydrazine reduction step, but the use of such a reagent in the large-scale implementation of this approach is not desirable due to its high toxicity. Here, we compare the deoxygenation efficiency of graphene oxide suspensions by different reductants (sodium borohydride, pyrogallol, and vitamin C, in addition to hydrazine), as well as by heating the suspensions under alkaline conditions. In almost all cases, the degree of reduction attainable and the subsequent restoration of relevant properties (e.g., electrical conductivity) lag significantly behind those achieved with hydrazine. Only vitamin C is found to yield highly reduced suspensions in a way comparable to those provided by hydrazine. Stable suspensions of vitamin C-reduced graphene oxide can be prepared not only in water but also in common organic solvents, such as N,N-dimethylformamide (DMF) or N-methyl-2-pyrrolidone (NMP). These results open the perspective of replacing hydrazine in the reduction of graphene oxide suspensions by an innocuous and safe reductant of similar efficacy, thus facilitating the use of graphene-based materials for large-scale applications.", "author" : [ { "dropping-particle" : "", "family" : "M. J. Fernandez-Merino, J.Guardia, J.I.Paredes, S.Villar-Rodil, P.Solis-Fernandez, A.Martinez-Alonso", "given" : "and J.M.D.Tascon", "non-dropping-particle" : "", "parse-names" : false, "suffix" : "" } ], "container-title" : "The Journal of Physical Chemistry C", "id" : "ITEM-1", "issued" : { "date-parts" : [ [ "2010" ] ] }, "page" : "6426-6432", "title" : "Vitamin C is an ideal substitute for hydrazine in the reduction of graphene oxide suspensions", "type" : "article-journal", "volume" : "114" }, "uris" : [ "http://www.mendeley.com/documents/?uuid=8ee8dab4-3520-4e5d-9832-c259bc0b4028" ] }, { "id" : "ITEM-2", "itemData" : { "DOI" : "http://dx.doi.org/10.1016/j.tsf.2015.02.038", "ISBN" : "0040-6090", "ISSN" : "0040-6090", "abstract" : "Abstract Graphene has been used to enhance conversion efficiency in dye-sensitized solar cell (DSSC) through increased electronic transportation. Introduction of graphene into DSSC is realized through reduction of graphene oxide (GO) to reduced graphene or RGO in TiO2 nanoparticles in solution. Chemical and hydrothermal reactions are two commonly used avenues. In the chemical route, toxic hydrazine and its derivatives are the typical reducing agent. Hydrothermal process is not toxic but requires prolonged heating. In this study, we mix flakes of GO with TiO2 nanoparticles and use vitamin C to realize the reduction at room temperature. The RGO\u2013TiO2 composite films are then used as photoanode in DSSC. A conversion efficiency of 30% increase (to 7.89%) is obtained as compared to that of the pure TiO2 photoanode.", "author" : [ { "dropping-particle" : "", "family" : "Ding", "given" : "Hui", "non-dropping-particle" : "", "parse-names" : false, "suffix" : "" }, { "dropping-particle" : "", "family" : "Zhang", "given" : "Sam", "non-dropping-particle" : "", "parse-names" : false, "suffix" : "" }, { "dropping-particle" : "", "family" : "Chen", "given" : "Ji-Tao", "non-dropping-particle" : "", "parse-names" : false, "suffix" : "" }, { "dropping-particle" : "", "family" : "Hu", "given" : "Xiao-Ping", "non-dropping-particle" : "", "parse-names" : false, "suffix" : "" }, { "dropping-particle" : "", "family" : "Du", "given" : "Zhao-Fu", "non-dropping-particle" : "", "parse-names" : false, "suffix" : "" }, { "dropping-particle" : "", "family" : "Qiu", "given" : "Yue-Xiu", "non-dropping-particle" : "", "parse-names" : false, "suffix" : "" }, { "dropping-particle" : "", "family" : "Zhao", "given" : "Dong-Liang", "non-dropping-particle" : "", "parse-names" : false, "suffix" : "" } ], "container-title" : "Thin Solid Films", "id" : "ITEM-2", "issued" : { "date-parts" : [ [ "2015" ] ] }, "page" : "29-36", "publisher" : "Elsevier B.V.", "title" : "Reduction of graphene oxide at room temperature with vitamin C for RGO\u2013TiO2 photoanodes in dye-sensitized solar cell", "type" : "article-journal", "volume" : "584" }, "uris" : [ "http://www.mendeley.com/documents/?uuid=696cde52-9659-409b-a1ac-8a77c10296ea" ] } ], "mendeley" : { "formattedCitation" : "[38,39]", "plainTextFormattedCitation" : "[38,39]", "previouslyFormattedCitation" : "[38,39]" }, "properties" : {  }, "schema" : "https://github.com/citation-style-language/schema/raw/master/csl-citation.json" }</w:instrText>
      </w:r>
      <w:r w:rsidRPr="00FA536C">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[38,39]</w:t>
      </w:r>
      <w:r w:rsidRPr="00FA536C">
        <w:rPr>
          <w:rFonts w:ascii="Times New Roman" w:hAnsi="Times New Roman" w:cs="Times New Roman"/>
          <w:sz w:val="24"/>
          <w:szCs w:val="24"/>
        </w:rPr>
        <w:fldChar w:fldCharType="end"/>
      </w:r>
      <w:r>
        <w:rPr>
          <w:rFonts w:ascii="Times New Roman" w:hAnsi="Times New Roman" w:cs="Times New Roman"/>
          <w:sz w:val="24"/>
          <w:szCs w:val="24"/>
        </w:rPr>
        <w:t>.</w:t>
      </w:r>
    </w:p>
    <w:p w14:paraId="57840CE8" w14:textId="77777777" w:rsidR="003C6953" w:rsidRPr="00A610A0" w:rsidRDefault="003C6953" w:rsidP="003C6953">
      <w:pPr>
        <w:spacing w:after="0" w:line="480" w:lineRule="auto"/>
        <w:jc w:val="both"/>
        <w:rPr>
          <w:rFonts w:asciiTheme="majorBidi" w:hAnsiTheme="majorBidi" w:cstheme="majorBidi"/>
          <w:sz w:val="24"/>
          <w:szCs w:val="24"/>
        </w:rPr>
      </w:pPr>
    </w:p>
    <w:p w14:paraId="7FF015FD" w14:textId="77777777" w:rsidR="003C6953" w:rsidRPr="00A610A0" w:rsidRDefault="003C6953" w:rsidP="003C6953">
      <w:pPr>
        <w:spacing w:after="0" w:line="480" w:lineRule="auto"/>
        <w:ind w:left="360"/>
        <w:jc w:val="center"/>
        <w:rPr>
          <w:rFonts w:asciiTheme="majorBidi" w:hAnsiTheme="majorBidi" w:cstheme="majorBidi"/>
          <w:sz w:val="24"/>
          <w:szCs w:val="24"/>
        </w:rPr>
      </w:pPr>
      <w:r>
        <w:rPr>
          <w:rFonts w:asciiTheme="majorBidi" w:hAnsiTheme="majorBidi" w:cstheme="majorBidi"/>
          <w:noProof/>
          <w:sz w:val="24"/>
          <w:szCs w:val="24"/>
          <w:lang w:val="en-GB"/>
        </w:rPr>
        <w:drawing>
          <wp:inline distT="0" distB="0" distL="0" distR="0" wp14:anchorId="3028D939" wp14:editId="42AEFEE7">
            <wp:extent cx="3409950" cy="318080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70067" cy="3236881"/>
                    </a:xfrm>
                    <a:prstGeom prst="rect">
                      <a:avLst/>
                    </a:prstGeom>
                    <a:noFill/>
                  </pic:spPr>
                </pic:pic>
              </a:graphicData>
            </a:graphic>
          </wp:inline>
        </w:drawing>
      </w:r>
    </w:p>
    <w:p w14:paraId="6B5BB1B0" w14:textId="7435C9DE" w:rsidR="003C6953" w:rsidRPr="00237210" w:rsidRDefault="002D03C9" w:rsidP="00237210">
      <w:pPr>
        <w:pStyle w:val="Caption"/>
        <w:ind w:firstLine="0"/>
        <w:rPr>
          <w:rFonts w:cs="Times New Roman"/>
          <w:color w:val="auto"/>
          <w:szCs w:val="24"/>
        </w:rPr>
      </w:pPr>
      <w:bookmarkStart w:id="9" w:name="_Toc502661640"/>
      <w:bookmarkStart w:id="10" w:name="_Toc518823378"/>
      <w:r>
        <w:t>Figure 2.</w:t>
      </w:r>
      <w:r w:rsidR="00F63BFB">
        <w:fldChar w:fldCharType="begin"/>
      </w:r>
      <w:r w:rsidR="00F63BFB">
        <w:instrText xml:space="preserve"> SEQ Figure_2. \* ARABIC </w:instrText>
      </w:r>
      <w:r w:rsidR="00F63BFB">
        <w:fldChar w:fldCharType="separate"/>
      </w:r>
      <w:r w:rsidR="00551ED9">
        <w:rPr>
          <w:noProof/>
        </w:rPr>
        <w:t>1</w:t>
      </w:r>
      <w:r w:rsidR="00F63BFB">
        <w:fldChar w:fldCharType="end"/>
      </w:r>
      <w:r w:rsidR="00F63BFB">
        <w:t xml:space="preserve">. </w:t>
      </w:r>
      <w:r w:rsidR="003C6953" w:rsidRPr="00F63BFB">
        <w:rPr>
          <w:rFonts w:cs="Times New Roman"/>
          <w:color w:val="auto"/>
          <w:szCs w:val="24"/>
        </w:rPr>
        <w:t xml:space="preserve">Graphene as a building block of graphitic materials. (a) fullerenes. (b) carbon nanotubes. (c) graphite (Reproduced from reference </w:t>
      </w:r>
      <w:r w:rsidR="003C6953" w:rsidRPr="00F63BFB">
        <w:rPr>
          <w:rFonts w:cs="Times New Roman"/>
          <w:color w:val="auto"/>
          <w:szCs w:val="24"/>
        </w:rPr>
        <w:fldChar w:fldCharType="begin" w:fldLock="1"/>
      </w:r>
      <w:r w:rsidR="00D14688">
        <w:rPr>
          <w:rFonts w:cs="Times New Roman"/>
          <w:color w:val="auto"/>
          <w:szCs w:val="24"/>
        </w:rPr>
        <w:instrText>ADDIN CSL_CITATION { "citationItems" : [ { "id" : "ITEM-1", "itemData" : { "DOI" : "10.1016/j.polymer.2015.06.016", "ISSN" : "00323861", "abstract" : "Abstract With the emergence of scientific interest in graphene oxide (GO) in recent times, researchers have endeavored to incorporate GO in thermoset polymeric matrix to develop composites with extraordinary set of properties. The current state of research in graphene/thermoset polymer composites is highlighted here with a focus on the role of interface in dictating the overall properties of the composites. Different strategies like covalent and non-covalent functionalization of GO have been discussed with respect to improvement in mechanical, electrical, thermal and rheological properties. In addition, future prospects have been outlined. By assessing the current state of research in graphene/thermoset composites, it is obvious that graphene derivatives are promising materials in enhancing the structural properties of the nanocomposites at extremely low levels of filler loading. This opens new avenues in designing lightweight composites for myriad applications and by tailoring the interfacial adhesion with the polymer, ordered structure can be achieved at macroscopic processing scales.", "author" : [ { "dropping-particle" : "", "family" : "Rohini", "given" : "Rani", "non-dropping-particle" : "", "parse-names" : false, "suffix" : "" }, { "dropping-particle" : "", "family" : "Katti", "given" : "Prajakta", "non-dropping-particle" : "", "parse-names" : false, "suffix" : "" }, { "dropping-particle" : "", "family" : "Bose", "given" : "Suryasarathi", "non-dropping-particle" : "", "parse-names" : false, "suffix" : "" } ], "container-title" : "Polymer", "id" : "ITEM-1", "issued" : { "date-parts" : [ [ "2015" ] ] }, "page" : "A17-A34", "publisher" : "Elsevier Ltd", "title" : "Tailoring the interface in graphene/thermoset polymer composites: A critical review", "type" : "article-journal", "volume" : "70" }, "uris" : [ "http://www.mendeley.com/documents/?uuid=4b1aae3e-c682-450d-a878-cb1e36876059" ] } ], "mendeley" : { "formattedCitation" : "[20]", "plainTextFormattedCitation" : "[20]", "previouslyFormattedCitation" : "[20]" }, "properties" : {  }, "schema" : "https://github.com/citation-style-language/schema/raw/master/csl-citation.json" }</w:instrText>
      </w:r>
      <w:r w:rsidR="003C6953" w:rsidRPr="00F63BFB">
        <w:rPr>
          <w:rFonts w:cs="Times New Roman"/>
          <w:color w:val="auto"/>
          <w:szCs w:val="24"/>
        </w:rPr>
        <w:fldChar w:fldCharType="separate"/>
      </w:r>
      <w:r w:rsidR="00D973A8" w:rsidRPr="00D973A8">
        <w:rPr>
          <w:rFonts w:cs="Times New Roman"/>
          <w:b w:val="0"/>
          <w:noProof/>
          <w:color w:val="auto"/>
          <w:szCs w:val="24"/>
        </w:rPr>
        <w:t>[20]</w:t>
      </w:r>
      <w:r w:rsidR="003C6953" w:rsidRPr="00F63BFB">
        <w:rPr>
          <w:rFonts w:cs="Times New Roman"/>
          <w:color w:val="auto"/>
          <w:szCs w:val="24"/>
        </w:rPr>
        <w:fldChar w:fldCharType="end"/>
      </w:r>
      <w:r w:rsidR="003C6953" w:rsidRPr="00F63BFB">
        <w:rPr>
          <w:rFonts w:cs="Times New Roman"/>
          <w:color w:val="auto"/>
          <w:szCs w:val="24"/>
        </w:rPr>
        <w:t>).</w:t>
      </w:r>
      <w:bookmarkEnd w:id="9"/>
      <w:bookmarkEnd w:id="10"/>
    </w:p>
    <w:p w14:paraId="37BCA160" w14:textId="18210429" w:rsidR="003C6953" w:rsidRPr="00186EBB" w:rsidRDefault="002D03C9" w:rsidP="003C6953">
      <w:pPr>
        <w:pStyle w:val="Heading2"/>
        <w:spacing w:before="0"/>
      </w:pPr>
      <w:bookmarkStart w:id="11" w:name="_Toc484547623"/>
      <w:bookmarkStart w:id="12" w:name="_Toc518823227"/>
      <w:r>
        <w:t>2.</w:t>
      </w:r>
      <w:r w:rsidR="003C6953">
        <w:t>3.2.</w:t>
      </w:r>
      <w:r w:rsidR="003C6953" w:rsidRPr="00186EBB">
        <w:t xml:space="preserve"> Graphene oxide (GO)</w:t>
      </w:r>
      <w:bookmarkEnd w:id="11"/>
      <w:bookmarkEnd w:id="12"/>
    </w:p>
    <w:p w14:paraId="5A87C434" w14:textId="178AC300" w:rsidR="003C6953" w:rsidRDefault="003C6953" w:rsidP="003C6953">
      <w:pPr>
        <w:spacing w:after="0" w:line="480" w:lineRule="auto"/>
        <w:jc w:val="both"/>
        <w:rPr>
          <w:rFonts w:asciiTheme="majorBidi" w:hAnsiTheme="majorBidi" w:cstheme="majorBidi"/>
          <w:sz w:val="24"/>
          <w:szCs w:val="24"/>
        </w:rPr>
      </w:pPr>
      <w:r w:rsidRPr="00A610A0">
        <w:rPr>
          <w:rFonts w:asciiTheme="majorBidi" w:hAnsiTheme="majorBidi" w:cstheme="majorBidi"/>
          <w:sz w:val="24"/>
          <w:szCs w:val="24"/>
        </w:rPr>
        <w:t xml:space="preserve">Graphene oxide is the oxidation form of graphene, which </w:t>
      </w:r>
      <w:r>
        <w:rPr>
          <w:rFonts w:asciiTheme="majorBidi" w:hAnsiTheme="majorBidi" w:cstheme="majorBidi"/>
          <w:sz w:val="24"/>
          <w:szCs w:val="24"/>
        </w:rPr>
        <w:t>is</w:t>
      </w:r>
      <w:r w:rsidRPr="00A610A0">
        <w:rPr>
          <w:rFonts w:asciiTheme="majorBidi" w:hAnsiTheme="majorBidi" w:cstheme="majorBidi"/>
          <w:sz w:val="24"/>
          <w:szCs w:val="24"/>
        </w:rPr>
        <w:t xml:space="preserve"> simply considered as the combination of graphene sheets and oxygen groups. </w:t>
      </w:r>
      <w:r>
        <w:rPr>
          <w:rFonts w:asciiTheme="majorBidi" w:hAnsiTheme="majorBidi" w:cstheme="majorBidi"/>
          <w:sz w:val="24"/>
          <w:szCs w:val="24"/>
        </w:rPr>
        <w:t xml:space="preserve">The structure of GO has been debated for decades with the type and distribution of oxygen functional groups, including Hofmann, Holst’s, Ruess, Scholz-Boehm, Nakajima-Matsuo, and Lerf-Klinowski models etc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"10.1039/b917103g", "ISBN" : "0306-0012", "ISSN" : "1460-4744", "PMID" : "20023850", "abstract" : "The chemistry of graphene oxide is discussed in this critical review. Particular emphasis is directed toward the synthesis of graphene oxide, as well as its structure. Graphene oxide as a substrate for a variety of chemical transformations, including its reduction to graphene-like materials, is also discussed. This review will be of value to synthetic chemists interested in this emerging field of materials science, as well as those investigating applications of graphene who would find a more thorough treatment of the chemistry of graphene oxide useful in understanding the scope and limitations of current approaches which utilize this material (91 references).", "author" : [ { "dropping-particle" : "", "family" : "Brodie", "given" : "Benjamin C", "non-dropping-particle" : "", "parse-names" : false, "suffix" : "" } ], "container-title" : "Chemical Society Reviews", "id" : "ITEM-1", "issued" : { "date-parts" : [ [ "2010" ] ] }, "page" : "228-240", "title" : "The chemistry of graphite oxide", "type" : "article-journal", "volume" : "39" }, "uris" : [ "http://www.mendeley.com/documents/?uuid=8a35d2f8-d0b7-4d2d-a3df-35e22530a402" ] } ], "mendeley" : { "formattedCitation" : "[40]", "plainTextFormattedCitation" : "[40]", "previouslyFormattedCitation" : "[40]"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[40]</w:t>
      </w:r>
      <w:r>
        <w:rPr>
          <w:rFonts w:asciiTheme="majorBidi" w:hAnsiTheme="majorBidi" w:cstheme="majorBidi"/>
          <w:sz w:val="24"/>
          <w:szCs w:val="24"/>
        </w:rPr>
        <w:fldChar w:fldCharType="end"/>
      </w:r>
      <w:r>
        <w:rPr>
          <w:rFonts w:asciiTheme="majorBidi" w:hAnsiTheme="majorBidi" w:cstheme="majorBidi"/>
          <w:sz w:val="24"/>
          <w:szCs w:val="24"/>
        </w:rPr>
        <w:t xml:space="preserve">. Among them, Lerf-Klinowski model is the most supported structure of GO by NMR, in which  </w:t>
      </w:r>
      <w:r w:rsidRPr="00A610A0">
        <w:rPr>
          <w:rFonts w:asciiTheme="majorBidi" w:hAnsiTheme="majorBidi" w:cstheme="majorBidi"/>
          <w:sz w:val="24"/>
          <w:szCs w:val="24"/>
        </w:rPr>
        <w:t>epoxid</w:t>
      </w:r>
      <w:r>
        <w:rPr>
          <w:rFonts w:asciiTheme="majorBidi" w:hAnsiTheme="majorBidi" w:cstheme="majorBidi"/>
          <w:sz w:val="24"/>
          <w:szCs w:val="24"/>
        </w:rPr>
        <w:t>e and hydroxyl groups are presented in</w:t>
      </w:r>
      <w:r w:rsidRPr="00A610A0">
        <w:rPr>
          <w:rFonts w:asciiTheme="majorBidi" w:hAnsiTheme="majorBidi" w:cstheme="majorBidi"/>
          <w:sz w:val="24"/>
          <w:szCs w:val="24"/>
        </w:rPr>
        <w:t xml:space="preserve"> </w:t>
      </w:r>
      <w:r>
        <w:rPr>
          <w:rFonts w:asciiTheme="majorBidi" w:hAnsiTheme="majorBidi" w:cstheme="majorBidi"/>
          <w:sz w:val="24"/>
          <w:szCs w:val="24"/>
        </w:rPr>
        <w:t xml:space="preserve">the </w:t>
      </w:r>
      <w:r w:rsidRPr="00A610A0">
        <w:rPr>
          <w:rFonts w:asciiTheme="majorBidi" w:hAnsiTheme="majorBidi" w:cstheme="majorBidi"/>
          <w:sz w:val="24"/>
          <w:szCs w:val="24"/>
        </w:rPr>
        <w:t>graphene planar and carboxyl and carbonyl</w:t>
      </w:r>
      <w:r>
        <w:rPr>
          <w:rFonts w:asciiTheme="majorBidi" w:hAnsiTheme="majorBidi" w:cstheme="majorBidi"/>
          <w:sz w:val="24"/>
          <w:szCs w:val="24"/>
        </w:rPr>
        <w:t xml:space="preserve"> groups are at the edges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"10.1039/b917103g", "ISBN" : "0306-0012", "ISSN" : "1460-4744", "PMID" : "20023850", "abstract" : "The chemistry of graphene oxide is discussed in this critical review. Particular emphasis is directed toward the synthesis of graphene oxide, as well as its structure. Graphene oxide as a substrate for a variety of chemical transformations, including its reduction to graphene-like materials, is also discussed. This review will be of value to synthetic chemists interested in this emerging field of materials science, as well as those investigating applications of graphene who would find a more thorough treatment of the chemistry of graphene oxide useful in understanding the scope and limitations of current approaches which utilize this material (91 references).", "author" : [ { "dropping-particle" : "", "family" : "Brodie", "given" : "Benjamin C", "non-dropping-particle" : "", "parse-names" : false, "suffix" : "" } ], "container-title" : "Chemical Society Reviews", "id" : "ITEM-1", "issued" : { "date-parts" : [ [ "2010" ] ] }, "page" : "228-240", "title" : "The chemistry of graphite oxide", "type" : "article-journal", "volume" : "39" }, "uris" : [ "http://www.mendeley.com/documents/?uuid=8a35d2f8-d0b7-4d2d-a3df-35e22530a402" ] }, { "id" : "ITEM-2", "itemData" : { "DOI" : "10.1021/jp9731821", "ISBN" : "1520-6106", "ISSN" : "1520-6106", "abstract" : "Graphite oxide (GO) and its derivatives have been studied using 13C and 1H NMR. NMR spectra of GO derivatives confirm the assignment of the 70 ppm line to C-OH groups and allow us to propose a new structural model for GO. Thus we assign the 60 ppm line to epoxide groups (1,2-ethers) and not to 1,3- ethers, as suggested earlier, and the 130 ppm line to aromatic entities and conjugated double bonds. GO contains two kinds of regions: aromatic regions with unoxidized benzene rings and regions with aliphatic six-membered rings. The relative size of the two regions depends on the degree of oxidation. The carbon grid is nearly flat; only the carbons attached to OH groups have a slightly distorted tetrahedral configuration, resulting in some wrinkling of the layers. The formation of phenol (or aromatic diol) groups during deoxygenation indicates that the epoxide and the C-OH groups are very close to one another. The distribution of functional groups in every oxidized aromatic ring need not be identical, and both the oxidized rings and aromatic entities are distributed randomly.", "author" : [ { "dropping-particle" : "", "family" : "Lerf", "given" : "Anton", "non-dropping-particle" : "", "parse-names" : false, "suffix" : "" }, { "dropping-particle" : "", "family" : "He", "given" : "Heyong", "non-dropping-particle" : "", "parse-names" : false, "suffix" : "" }, { "dropping-particle" : "", "family" : "Forster", "given" : "Michael", "non-dropping-particle" : "", "parse-names" : false, "suffix" : "" }, { "dropping-particle" : "", "family" : "Klinowski", "given" : "Jacek", "non-dropping-particle" : "", "parse-names" : false, "suffix" : "" } ], "container-title" : "The Journal of Physical Chemistry B", "id" : "ITEM-2", "issue" : "23", "issued" : { "date-parts" : [ [ "1998" ] ] }, "page" : "4477-4482", "title" : "Structure of Graphite Oxide Revisited &lt;sup&gt;\u2016&lt;/sup&gt;", "type" : "article-journal", "volume" : "102" }, "uris" : [ "http://www.mendeley.com/documents/?uuid=0d12f219-2853-4ebc-bc7d-6dbbab77f75c" ] }, { "id" : "ITEM-3",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"ITEM-3", "issue" : "6", "issued" : { "date-parts" : [ [ "2010" ] ] }, "page" : "711-723", "title" : "Graphene oxide, highly reduced graphene oxide, and graphene: Versatile building blocks for carbon-based materials", "type" : "article-journal", "volume" : "6" }, "uris" : [ "http://www.mendeley.com/documents/?uuid=90e9afa4-4b34-4e67-8977-31ce6b3dfab0" ] } ], "mendeley" : { "formattedCitation" : "[22,40,41]", "plainTextFormattedCitation" : "[22,40,41]", "previouslyFormattedCitation" : "[22,40,41]"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[22,40,41]</w:t>
      </w:r>
      <w:r>
        <w:rPr>
          <w:rFonts w:asciiTheme="majorBidi" w:hAnsiTheme="majorBidi" w:cstheme="majorBidi"/>
          <w:sz w:val="24"/>
          <w:szCs w:val="24"/>
        </w:rPr>
        <w:fldChar w:fldCharType="end"/>
      </w:r>
      <w:r>
        <w:rPr>
          <w:rFonts w:asciiTheme="majorBidi" w:hAnsiTheme="majorBidi" w:cstheme="majorBidi"/>
          <w:sz w:val="24"/>
          <w:szCs w:val="24"/>
        </w:rPr>
        <w:t xml:space="preserve">. These oxygen </w:t>
      </w:r>
      <w:r w:rsidRPr="00A610A0">
        <w:rPr>
          <w:rFonts w:asciiTheme="majorBidi" w:hAnsiTheme="majorBidi" w:cstheme="majorBidi"/>
          <w:sz w:val="24"/>
          <w:szCs w:val="24"/>
        </w:rPr>
        <w:t>functional gro</w:t>
      </w:r>
      <w:r>
        <w:rPr>
          <w:rFonts w:asciiTheme="majorBidi" w:hAnsiTheme="majorBidi" w:cstheme="majorBidi"/>
          <w:sz w:val="24"/>
          <w:szCs w:val="24"/>
        </w:rPr>
        <w:t>ups offer four main advantages: Firstly, GO is hydrophilic nature depending on the degree of functional groups. Secondly, these functional groups extend</w:t>
      </w:r>
      <w:r w:rsidRPr="00A610A0">
        <w:rPr>
          <w:rFonts w:asciiTheme="majorBidi" w:hAnsiTheme="majorBidi" w:cstheme="majorBidi"/>
          <w:sz w:val="24"/>
          <w:szCs w:val="24"/>
        </w:rPr>
        <w:t xml:space="preserve"> the interlayer distance</w:t>
      </w:r>
      <w:r>
        <w:rPr>
          <w:rFonts w:asciiTheme="majorBidi" w:hAnsiTheme="majorBidi" w:cstheme="majorBidi"/>
          <w:sz w:val="24"/>
          <w:szCs w:val="24"/>
        </w:rPr>
        <w:t xml:space="preserve"> </w:t>
      </w:r>
      <w:r w:rsidRPr="00A610A0">
        <w:rPr>
          <w:rFonts w:asciiTheme="majorBidi" w:hAnsiTheme="majorBidi" w:cstheme="majorBidi"/>
          <w:sz w:val="24"/>
          <w:szCs w:val="24"/>
        </w:rPr>
        <w:t>from 0.35</w:t>
      </w:r>
      <w:r>
        <w:rPr>
          <w:rFonts w:asciiTheme="majorBidi" w:hAnsiTheme="majorBidi" w:cstheme="majorBidi"/>
          <w:sz w:val="24"/>
          <w:szCs w:val="24"/>
        </w:rPr>
        <w:t xml:space="preserve"> </w:t>
      </w:r>
      <w:r w:rsidRPr="00A610A0">
        <w:rPr>
          <w:rFonts w:asciiTheme="majorBidi" w:hAnsiTheme="majorBidi" w:cstheme="majorBidi"/>
          <w:sz w:val="24"/>
          <w:szCs w:val="24"/>
        </w:rPr>
        <w:t xml:space="preserve">nm in graphite to 0.6 </w:t>
      </w:r>
      <w:r>
        <w:rPr>
          <w:rFonts w:asciiTheme="majorBidi" w:hAnsiTheme="majorBidi" w:cstheme="majorBidi"/>
          <w:sz w:val="24"/>
          <w:szCs w:val="24"/>
        </w:rPr>
        <w:t xml:space="preserve">nm </w:t>
      </w:r>
      <w:r w:rsidRPr="00A610A0">
        <w:rPr>
          <w:rFonts w:asciiTheme="majorBidi" w:hAnsiTheme="majorBidi" w:cstheme="majorBidi"/>
          <w:sz w:val="24"/>
          <w:szCs w:val="24"/>
        </w:rPr>
        <w:t>even to 1</w:t>
      </w:r>
      <w:r>
        <w:rPr>
          <w:rFonts w:asciiTheme="majorBidi" w:hAnsiTheme="majorBidi" w:cstheme="majorBidi"/>
          <w:sz w:val="24"/>
          <w:szCs w:val="24"/>
        </w:rPr>
        <w:t xml:space="preserve"> </w:t>
      </w:r>
      <w:r w:rsidRPr="00A610A0">
        <w:rPr>
          <w:rFonts w:asciiTheme="majorBidi" w:hAnsiTheme="majorBidi" w:cstheme="majorBidi"/>
          <w:sz w:val="24"/>
          <w:szCs w:val="24"/>
        </w:rPr>
        <w:t>nm in GO depending on t</w:t>
      </w:r>
      <w:r>
        <w:rPr>
          <w:rFonts w:asciiTheme="majorBidi" w:hAnsiTheme="majorBidi" w:cstheme="majorBidi"/>
          <w:sz w:val="24"/>
          <w:szCs w:val="24"/>
        </w:rPr>
        <w:t>he humility, resulting in a much easier</w:t>
      </w:r>
      <w:r w:rsidRPr="00A610A0">
        <w:rPr>
          <w:rFonts w:asciiTheme="majorBidi" w:hAnsiTheme="majorBidi" w:cstheme="majorBidi"/>
          <w:sz w:val="24"/>
          <w:szCs w:val="24"/>
        </w:rPr>
        <w:t xml:space="preserve"> </w:t>
      </w:r>
      <w:r>
        <w:rPr>
          <w:rFonts w:asciiTheme="majorBidi" w:hAnsiTheme="majorBidi" w:cstheme="majorBidi"/>
          <w:sz w:val="24"/>
          <w:szCs w:val="24"/>
        </w:rPr>
        <w:t>exfoliation of graphite due to weak van d</w:t>
      </w:r>
      <w:r w:rsidRPr="00A610A0">
        <w:rPr>
          <w:rFonts w:asciiTheme="majorBidi" w:hAnsiTheme="majorBidi" w:cstheme="majorBidi"/>
          <w:sz w:val="24"/>
          <w:szCs w:val="24"/>
        </w:rPr>
        <w:t>er Waals</w:t>
      </w:r>
      <w:r>
        <w:rPr>
          <w:rFonts w:asciiTheme="majorBidi" w:hAnsiTheme="majorBidi" w:cstheme="majorBidi"/>
          <w:sz w:val="24"/>
          <w:szCs w:val="24"/>
        </w:rPr>
        <w:t>’ force. Third</w:t>
      </w:r>
      <w:r w:rsidRPr="00A610A0">
        <w:rPr>
          <w:rFonts w:asciiTheme="majorBidi" w:hAnsiTheme="majorBidi" w:cstheme="majorBidi"/>
          <w:sz w:val="24"/>
          <w:szCs w:val="24"/>
        </w:rPr>
        <w:t xml:space="preserve">ly, these polar groups exposed into polymer matrix enhance the interfacial interaction between GO and matrix. Finally, </w:t>
      </w:r>
      <w:r>
        <w:rPr>
          <w:rFonts w:asciiTheme="majorBidi" w:hAnsiTheme="majorBidi" w:cstheme="majorBidi"/>
          <w:sz w:val="24"/>
          <w:szCs w:val="24"/>
        </w:rPr>
        <w:t xml:space="preserve">the presence of oxygen functional groups </w:t>
      </w:r>
      <w:r w:rsidRPr="00A610A0">
        <w:rPr>
          <w:rFonts w:asciiTheme="majorBidi" w:hAnsiTheme="majorBidi" w:cstheme="majorBidi"/>
          <w:sz w:val="24"/>
          <w:szCs w:val="24"/>
        </w:rPr>
        <w:t>allow</w:t>
      </w:r>
      <w:r>
        <w:rPr>
          <w:rFonts w:asciiTheme="majorBidi" w:hAnsiTheme="majorBidi" w:cstheme="majorBidi"/>
          <w:sz w:val="24"/>
          <w:szCs w:val="24"/>
        </w:rPr>
        <w:t xml:space="preserve">s GO to be </w:t>
      </w:r>
      <w:r w:rsidRPr="00A610A0">
        <w:rPr>
          <w:rFonts w:asciiTheme="majorBidi" w:hAnsiTheme="majorBidi" w:cstheme="majorBidi"/>
          <w:sz w:val="24"/>
          <w:szCs w:val="24"/>
        </w:rPr>
        <w:t>further surface-modifi</w:t>
      </w:r>
      <w:r>
        <w:rPr>
          <w:rFonts w:asciiTheme="majorBidi" w:hAnsiTheme="majorBidi" w:cstheme="majorBidi"/>
          <w:sz w:val="24"/>
          <w:szCs w:val="24"/>
        </w:rPr>
        <w:t>ed</w:t>
      </w:r>
      <w:r w:rsidRPr="00A610A0">
        <w:rPr>
          <w:rFonts w:asciiTheme="majorBidi" w:hAnsiTheme="majorBidi" w:cstheme="majorBidi"/>
          <w:sz w:val="24"/>
          <w:szCs w:val="24"/>
        </w:rPr>
        <w:t xml:space="preserve"> for certain special demands</w:t>
      </w:r>
      <w:r>
        <w:rPr>
          <w:rFonts w:asciiTheme="majorBidi" w:hAnsiTheme="majorBidi" w:cstheme="majorBidi"/>
          <w:sz w:val="24"/>
          <w:szCs w:val="24"/>
        </w:rPr>
        <w:t xml:space="preserve">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"10.1039/c2jm15062j", "ISBN" : "0959-9428", "ISSN" : "0959-9428", "abstract" : "Polymer/graphene (oxide) nanocomposites exhibit enhanced mechanical properties at low volume fractions of graphene-based nanofillers. An understanding of the reinforcement behaviour was developed through the investigation of interfacial interactions between graphene oxide (GO) nanoplatelets and polymer matrix (PLLA, PCL, PS or HDPE) by combination of microstructure characterization and micromechanical modeling methods. The interfacial interaction determines the degree of dispersion of GO in polymers, interfacial adhesion strength as well as reinforcement efficiency, which can be tailored by the surface chemistry of GO and functionality of polymers. Homogeneous dispersion of GO nanoplatelets with high aspect ratios was found in PLLA and PCL matrices, as well as in lower polar polymer PS due to the preferable interactions between the aromatic rings and the graphene layers, while stacked GO layers with a lower aspect ratio were observed in HDPE matrix even with the presence of an organic compatibilizer. The theoretical elastic moduli of the four kinds of polymer/GO nanocomposites calculated by using the Halpin-Tsai model or a combination of Laminate theory and Mori-Tanaka model underestimated the experimental results. Considering the interfacial interactions, an effective volume fraction was introduced to the above composite models which interpreted the experimental data well. The interphase zone was thus quantified by using micromechanical modeling based on the measured mechanical properties of polymer/GO nanocomposites.", "author" : [ { "dropping-particle" : "", "family" : "Wan", "given" : "Chaoying", "non-dropping-particle" : "", "parse-names" : false, "suffix" : "" }, { "dropping-particle" : "", "family" : "Chen", "given" : "Biqiong", "non-dropping-particle" : "", "parse-names" : false, "suffix" : "" } ], "container-title" : "Journal of Materials Chemistry", "id" : "ITEM-1", "issue" : "8", "issued" : { "date-parts" : [ [ "2012" ] ] }, "page" : "3637-3646", "title" : "Reinforcement and interphase of polymer/graphene oxide nanocomposites", "type" : "article-journal", "volume" : "22" }, "uris" : [ "http://www.mendeley.com/documents/?uuid=e0dc770c-a693-4650-b142-fb5a7cdc7033" ] }, { "id" : "ITEM-2", "itemData" : { "DOI" : "10.1021/nl8034256", "author" : [ { "dropping-particle" : "", "family" : "Mkhoyan", "given" : "K Andre", "non-dropping-particle" : "", "parse-names" : false, "suffix" : "" }, { "dropping-particle" : "", "family" : "Contryman", "given" : "Alexander W", "non-dropping-particle" : "", "parse-names" : false, "suffix" : "" }, { "dropping-particle" : "", "family" : "Silcox", "given" : "John", "non-dropping-particle" : "", "parse-names" : false, "suffix" : "" }, { "dropping-particle" : "", "family" : "Derek", "given" : "A", "non-dropping-particle" : "", "parse-names" : false, "suffix" : "" }, { "dropping-particle" : "", "family" : "Eda", "given" : "Goki", "non-dropping-particle" : "", "parse-names" : false, "suffix" : "" }, { "dropping-particle" : "", "family" : "Mattevi", "given" : "Cecilia", "non-dropping-particle" : "", "parse-names" : false, "suffix" : "" }, { "dropping-particle" : "", "family" : "Miller", "given" : "Steve", "non-dropping-particle" : "", "parse-names" : false, "suffix" : "" }, { "dropping-particle" : "", "family" : "Chhowalla", "given" : "Manish", "non-dropping-particle" : "", "parse-names" : false, "suffix" : "" }, { "dropping-particle" : "", "family" : "Mkhoyan", "given" : "K Andre", "non-dropping-particle" : "", "parse-names" : false, "suffix" : "" }, { "dropping-particle" : "", "family" : "Contryman", "given" : "Alexander W", "non-dropping-particle" : "", "parse-names" : false, "suffix" : "" }, { "dropping-particle" : "", "family" : "Silcox", "given" : "John", "non-dropping-particle" : "", "parse-names" : false, "suffix" : "" }, { "dropping-particle" : "", "family" : "Stewart", "given" : "Derek A", "non-dropping-particle" : "", "parse-names" : false, "suffix" : "" }, { "dropping-particle" : "", "family" : "Eda", "given" : "Goki", "non-dropping-particle" : "", "parse-names" : false, "suffix" : "" }, { "dropping-particle" : "", "family" : "Mattevi", "given" : "Cecilia", "non-dropping-particle" : "", "parse-names" : false, "suffix" : "" }, { "dropping-particle" : "", "family" : "Miller", "given" : "Steve", "non-dropping-particle" : "", "parse-names" : false, "suffix" : "" } ], "id" : "ITEM-2", "issued" : { "date-parts" : [ [ "2009" ] ] }, "page" : "1058-1063", "title" : "Atomic and Electronic Structure of Graphene-Oxide", "type" : "article-journal", "volume" : "9" }, "uris" : [ "http://www.mendeley.com/documents/?uuid=1dfd89dc-b996-4df3-a04d-b76416b970c0" ] }, { "id" : "ITEM-3", "itemData" : { "DOI" : "10.1039/b917103g", "ISBN" : "0306-0012", "ISSN" : "1460-4744", "PMID" : "20023850", "abstract" : "The chemistry of graphene oxide is discussed in this critical review. Particular emphasis is directed toward the synthesis of graphene oxide, as well as its structure. Graphene oxide as a substrate for a variety of chemical transformations, including its reduction to graphene-like materials, is also discussed. This review will be of value to synthetic chemists interested in this emerging field of materials science, as well as those investigating applications of graphene who would find a more thorough treatment of the chemistry of graphene oxide useful in understanding the scope and limitations of current approaches which utilize this material (91 references).", "author" : [ { "dropping-particle" : "", "family" : "Brodie", "given" : "Benjamin C", "non-dropping-particle" : "", "parse-names" : false, "suffix" : "" } ], "container-title" : "Chemical Society Reviews", "id" : "ITEM-3", "issued" : { "date-parts" : [ [ "2010" ] ] }, "page" : "228-240", "title" : "The chemistry of graphite oxide", "type" : "article-journal", "volume" : "39" }, "uris" : [ "http://www.mendeley.com/documents/?uuid=8a35d2f8-d0b7-4d2d-a3df-35e22530a402" ] } ], "mendeley" : { "formattedCitation" : "[40,42,43]", "plainTextFormattedCitation" : "[40,42,43]", "previouslyFormattedCitation" : "[40,42,43]"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[40,42,43]</w:t>
      </w:r>
      <w:r>
        <w:rPr>
          <w:rFonts w:asciiTheme="majorBidi" w:hAnsiTheme="majorBidi" w:cstheme="majorBidi"/>
          <w:sz w:val="24"/>
          <w:szCs w:val="24"/>
        </w:rPr>
        <w:fldChar w:fldCharType="end"/>
      </w:r>
      <w:r w:rsidRPr="00A610A0">
        <w:rPr>
          <w:rFonts w:asciiTheme="majorBidi" w:hAnsiTheme="majorBidi" w:cstheme="majorBidi"/>
          <w:sz w:val="24"/>
          <w:szCs w:val="24"/>
        </w:rPr>
        <w:t xml:space="preserve">. </w:t>
      </w:r>
      <w:r>
        <w:rPr>
          <w:rFonts w:asciiTheme="majorBidi" w:hAnsiTheme="majorBidi" w:cstheme="majorBidi"/>
          <w:sz w:val="24"/>
          <w:szCs w:val="24"/>
        </w:rPr>
        <w:t>However, the oxidation of graphene breaks up the sp</w:t>
      </w:r>
      <w:r w:rsidRPr="00314883">
        <w:rPr>
          <w:rFonts w:asciiTheme="majorBidi" w:hAnsiTheme="majorBidi" w:cstheme="majorBidi"/>
          <w:sz w:val="24"/>
          <w:szCs w:val="24"/>
          <w:vertAlign w:val="superscript"/>
        </w:rPr>
        <w:t>2</w:t>
      </w:r>
      <w:r>
        <w:rPr>
          <w:rFonts w:asciiTheme="majorBidi" w:hAnsiTheme="majorBidi" w:cstheme="majorBidi"/>
          <w:sz w:val="24"/>
          <w:szCs w:val="24"/>
        </w:rPr>
        <w:t xml:space="preserve">-hybridized structure of graphene sheets which generates some defects in graphene structure. Therefore, GO is an electrical insulator material </w:t>
      </w:r>
      <w:r>
        <w:rPr>
          <w:rFonts w:asciiTheme="majorBidi" w:hAnsiTheme="majorBidi" w:cstheme="majorBidi"/>
          <w:sz w:val="24"/>
          <w:szCs w:val="24"/>
        </w:rPr>
        <w:fldChar w:fldCharType="begin" w:fldLock="1"/>
      </w:r>
      <w:r w:rsidR="00D14688">
        <w:rPr>
          <w:rFonts w:asciiTheme="majorBidi" w:hAnsiTheme="majorBidi" w:cstheme="majorBidi"/>
          <w:sz w:val="24"/>
          <w:szCs w:val="24"/>
        </w:rPr>
        <w:instrText>ADDIN CSL_CITATION { "citationItems" : [ { "id" : "ITEM-1", "itemData" : { "DOI" : "10.1016/j.progpolymsci.2010.07.005", "ISBN" : "0079-6700", "ISSN" : "00796700", "abstract" : "This paper reviews recent advances in the modification of graphene and the fabrication of graphene-based polymer nanocomposites. Recently, graphene has attracted both academic and industrial interest because it can produce a dramatic improvement in properties at very low filler content. The modification of graphene/graphene oxide and the utilization of these materials in the fabrication of nanocomposites with different polymer matrixes have been explored. Different organic polymers have been used to fabricate graphene filled polymer nanocomposites by a range of methods. In the case of modified graphene-based polymer nanocomposites, the percolation threshold can be achieved at a very lower filler loading. Herein, the structure, preparation and properties of polymer/graphene nanocomposites are discussed in general along with detailed examples drawn from the scientific literature. (C) 2010 Elsevier Ltd. All rights reserved.", "author" : [ { "dropping-particle" : "", "family" : "Kuilla", "given" : "T", "non-dropping-particle" : "", "parse-names" : false, "suffix" : "" }, { "dropping-particle" : "", "family" : "Bhadra", "given" : "S", "non-dropping-particle" : "", "parse-names" : false, "suffix" : "" }, { "dropping-particle" : "", "family" : "Yao", "given" : "D H", "non-dropping-particle" : "", "parse-names" : false, "suffix" : "" }, { "dropping-particle" : "", "family" : "Kim", "given" : "N H", "non-dropping-particle" : "", "parse-names" : false, "suffix" : "" }, { "dropping-particle" : "", "family" : "Bose", "given" : "S", "non-dropping-particle" : "", "parse-names" : false, "suffix" : "" }, { "dropping-particle" : "", "family" : "Lee", "given" : "J H", "non-dropping-particle" : "", "parse-names" : false, "suffix" : "" } ], "container-title" : "Progress in Polymer Science", "id" : "ITEM-1", "issued" : { "date-parts" : [ [ "2010" ] ] }, "page" : "1350-1375", "publisher" : "Elsevier Ltd", "title" : "Recent advances in graphene based polymer composites", "type" : "article-journal", "volume" : "35" }, "uris" : [ "http://www.mendeley.com/documents/?uuid=4234a7ea-c35a-411a-a713-f4550a647c2e" ] }, { "id" : "ITEM-2",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"ITEM-2", "issue" : "6", "issued" : { "date-parts" : [ [ "2010" ] ] }, "page" : "711-723", "title" : "Graphene oxide, highly reduced graphene oxide, and graphene: Versatile building blocks for carbon-based materials", "type" : "article-journal", "volume" : "6" }, "uris" : [ "http://www.mendeley.com/documents/?uuid=90e9afa4-4b34-4e67-8977-31ce6b3dfab0" ] } ], "mendeley" : { "formattedCitation" : "[22,44]", "plainTextFormattedCitation" : "[22,44]", "previouslyFormattedCitation" : "[22,44]" }, "properties" : {  }, "schema" : "https://github.com/citation-style-language/schema/raw/master/csl-citation.json" }</w:instrText>
      </w:r>
      <w:r>
        <w:rPr>
          <w:rFonts w:asciiTheme="majorBidi" w:hAnsiTheme="majorBidi" w:cstheme="majorBidi"/>
          <w:sz w:val="24"/>
          <w:szCs w:val="24"/>
        </w:rPr>
        <w:fldChar w:fldCharType="separate"/>
      </w:r>
      <w:r w:rsidR="00D973A8" w:rsidRPr="00D973A8">
        <w:rPr>
          <w:rFonts w:asciiTheme="majorBidi" w:hAnsiTheme="majorBidi" w:cstheme="majorBidi"/>
          <w:noProof/>
          <w:sz w:val="24"/>
          <w:szCs w:val="24"/>
        </w:rPr>
        <w:t>[22,44]</w:t>
      </w:r>
      <w:r>
        <w:rPr>
          <w:rFonts w:asciiTheme="majorBidi" w:hAnsiTheme="majorBidi" w:cstheme="majorBidi"/>
          <w:sz w:val="24"/>
          <w:szCs w:val="24"/>
        </w:rPr>
        <w:fldChar w:fldCharType="end"/>
      </w:r>
      <w:r>
        <w:rPr>
          <w:rFonts w:asciiTheme="majorBidi" w:hAnsiTheme="majorBidi" w:cstheme="majorBidi"/>
          <w:sz w:val="24"/>
          <w:szCs w:val="24"/>
        </w:rPr>
        <w:t xml:space="preserve">. </w:t>
      </w:r>
    </w:p>
    <w:p w14:paraId="257EE10C" w14:textId="77777777" w:rsidR="003C6953" w:rsidRPr="00F63BFB" w:rsidRDefault="003C6953" w:rsidP="00F63BFB"/>
    <w:p w14:paraId="0F8C6141" w14:textId="77777777" w:rsidR="003C6953" w:rsidRPr="00A610A0" w:rsidRDefault="003C6953" w:rsidP="003C6953">
      <w:pPr>
        <w:spacing w:after="0" w:line="480" w:lineRule="auto"/>
        <w:jc w:val="center"/>
        <w:rPr>
          <w:rFonts w:asciiTheme="majorBidi" w:hAnsiTheme="majorBidi" w:cstheme="majorBidi"/>
          <w:b/>
          <w:sz w:val="24"/>
          <w:szCs w:val="24"/>
        </w:rPr>
      </w:pPr>
      <w:r>
        <w:rPr>
          <w:rFonts w:asciiTheme="majorBidi" w:hAnsiTheme="majorBidi" w:cstheme="majorBidi"/>
          <w:b/>
          <w:noProof/>
          <w:sz w:val="24"/>
          <w:szCs w:val="24"/>
          <w:lang w:val="en-GB"/>
        </w:rPr>
        <w:drawing>
          <wp:inline distT="0" distB="0" distL="0" distR="0" wp14:anchorId="7AAB13B3" wp14:editId="48F4557B">
            <wp:extent cx="4399472" cy="2398358"/>
            <wp:effectExtent l="0" t="0" r="127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23574" cy="2411497"/>
                    </a:xfrm>
                    <a:prstGeom prst="rect">
                      <a:avLst/>
                    </a:prstGeom>
                    <a:noFill/>
                  </pic:spPr>
                </pic:pic>
              </a:graphicData>
            </a:graphic>
          </wp:inline>
        </w:drawing>
      </w:r>
    </w:p>
    <w:p w14:paraId="177BB091" w14:textId="4B1A17ED" w:rsidR="003C6953" w:rsidRDefault="003C6953" w:rsidP="00237210">
      <w:pPr>
        <w:pStyle w:val="Caption"/>
        <w:ind w:firstLine="0"/>
        <w:jc w:val="both"/>
        <w:rPr>
          <w:rFonts w:asciiTheme="majorBidi" w:hAnsiTheme="majorBidi" w:cstheme="majorBidi"/>
          <w:bCs/>
          <w:szCs w:val="24"/>
        </w:rPr>
      </w:pPr>
      <w:r w:rsidRPr="00A610A0">
        <w:rPr>
          <w:rFonts w:asciiTheme="majorBidi" w:hAnsiTheme="majorBidi" w:cstheme="majorBidi"/>
          <w:bCs/>
          <w:szCs w:val="24"/>
        </w:rPr>
        <w:t xml:space="preserve"> </w:t>
      </w:r>
      <w:bookmarkStart w:id="13" w:name="_Toc502661641"/>
      <w:bookmarkStart w:id="14" w:name="_Toc518823379"/>
      <w:r w:rsidR="002D03C9">
        <w:t>Figure 2.</w:t>
      </w:r>
      <w:r w:rsidR="00F63BFB">
        <w:fldChar w:fldCharType="begin"/>
      </w:r>
      <w:r w:rsidR="00F63BFB">
        <w:instrText xml:space="preserve"> SEQ Figure_2. \* ARABIC </w:instrText>
      </w:r>
      <w:r w:rsidR="00F63BFB">
        <w:fldChar w:fldCharType="separate"/>
      </w:r>
      <w:r w:rsidR="00551ED9">
        <w:rPr>
          <w:noProof/>
        </w:rPr>
        <w:t>2</w:t>
      </w:r>
      <w:r w:rsidR="00F63BFB">
        <w:fldChar w:fldCharType="end"/>
      </w:r>
      <w:r w:rsidR="00F63BFB">
        <w:t xml:space="preserve">. </w:t>
      </w:r>
      <w:r>
        <w:rPr>
          <w:rFonts w:asciiTheme="majorBidi" w:hAnsiTheme="majorBidi" w:cstheme="majorBidi"/>
          <w:bCs/>
          <w:szCs w:val="24"/>
        </w:rPr>
        <w:t xml:space="preserve">(a) </w:t>
      </w:r>
      <w:r>
        <w:rPr>
          <w:rFonts w:asciiTheme="majorBidi" w:hAnsiTheme="majorBidi" w:cstheme="majorBidi"/>
          <w:szCs w:val="24"/>
        </w:rPr>
        <w:t xml:space="preserve">Lerf-Klinowski model </w:t>
      </w:r>
      <w:r w:rsidRPr="00A610A0">
        <w:rPr>
          <w:rFonts w:asciiTheme="majorBidi" w:hAnsiTheme="majorBidi" w:cstheme="majorBidi"/>
          <w:bCs/>
          <w:szCs w:val="24"/>
        </w:rPr>
        <w:t>s</w:t>
      </w:r>
      <w:r>
        <w:rPr>
          <w:rFonts w:asciiTheme="majorBidi" w:hAnsiTheme="majorBidi" w:cstheme="majorBidi"/>
          <w:bCs/>
          <w:szCs w:val="24"/>
        </w:rPr>
        <w:t xml:space="preserve">tructure of GO (Reproduced from reference </w:t>
      </w:r>
      <w:r>
        <w:rPr>
          <w:rFonts w:asciiTheme="majorBidi" w:hAnsiTheme="majorBidi" w:cstheme="majorBidi"/>
          <w:bCs/>
          <w:szCs w:val="24"/>
        </w:rPr>
        <w:fldChar w:fldCharType="begin" w:fldLock="1"/>
      </w:r>
      <w:r w:rsidR="00D14688">
        <w:rPr>
          <w:rFonts w:asciiTheme="majorBidi" w:hAnsiTheme="majorBidi" w:cstheme="majorBidi"/>
          <w:bCs/>
          <w:szCs w:val="24"/>
        </w:rPr>
        <w:instrText>ADDIN CSL_CITATION { "citationItems" : [ { "id" : "ITEM-1",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"ITEM-1", "issue" : "6", "issued" : { "date-parts" : [ [ "2010" ] ] }, "page" : "711-723", "title" : "Graphene oxide, highly reduced graphene oxide, and graphene: Versatile building blocks for carbon-based materials", "type" : "article-journal", "volume" : "6" }, "uris" : [ "http://www.mendeley.com/documents/?uuid=90e9afa4-4b34-4e67-8977-31ce6b3dfab0" ] } ], "mendeley" : { "formattedCitation" : "[22]", "plainTextFormattedCitation" : "[22]", "previouslyFormattedCitation" : "[22]" }, "properties" : {  }, "schema" : "https://github.com/citation-style-language/schema/raw/master/csl-citation.json" }</w:instrText>
      </w:r>
      <w:r>
        <w:rPr>
          <w:rFonts w:asciiTheme="majorBidi" w:hAnsiTheme="majorBidi" w:cstheme="majorBidi"/>
          <w:bCs/>
          <w:szCs w:val="24"/>
        </w:rPr>
        <w:fldChar w:fldCharType="separate"/>
      </w:r>
      <w:r w:rsidR="00D973A8" w:rsidRPr="00D973A8">
        <w:rPr>
          <w:rFonts w:asciiTheme="majorBidi" w:hAnsiTheme="majorBidi" w:cstheme="majorBidi"/>
          <w:b w:val="0"/>
          <w:bCs/>
          <w:noProof/>
          <w:szCs w:val="24"/>
        </w:rPr>
        <w:t>[22]</w:t>
      </w:r>
      <w:r>
        <w:rPr>
          <w:rFonts w:asciiTheme="majorBidi" w:hAnsiTheme="majorBidi" w:cstheme="majorBidi"/>
          <w:bCs/>
          <w:szCs w:val="24"/>
        </w:rPr>
        <w:fldChar w:fldCharType="end"/>
      </w:r>
      <w:r>
        <w:rPr>
          <w:rFonts w:asciiTheme="majorBidi" w:hAnsiTheme="majorBidi" w:cstheme="majorBidi"/>
          <w:bCs/>
          <w:szCs w:val="24"/>
        </w:rPr>
        <w:t xml:space="preserve">), (b) ~25 μm thick GO strip, (c) SEM image of side of GO sheet with 10 μm thickness (Reproduced from reference </w:t>
      </w:r>
      <w:r>
        <w:rPr>
          <w:rFonts w:asciiTheme="majorBidi" w:hAnsiTheme="majorBidi" w:cstheme="majorBidi"/>
          <w:bCs/>
          <w:szCs w:val="24"/>
        </w:rPr>
        <w:fldChar w:fldCharType="begin" w:fldLock="1"/>
      </w:r>
      <w:r w:rsidR="00D14688">
        <w:rPr>
          <w:rFonts w:asciiTheme="majorBidi" w:hAnsiTheme="majorBidi" w:cstheme="majorBidi"/>
          <w:bCs/>
          <w:szCs w:val="24"/>
        </w:rPr>
        <w:instrText>ADDIN CSL_CITATION { "citationItems" : [ { "id" : "ITEM-1", "itemData" : { "DOI" : "10.1038/nature06016", "ISBN" : "0028-0836", "ISSN" : "00280836", "PMID" : "17653188", "abstract" : "Free-standing paper-like or foil-like materials are an integral part of our technological society. Their uses include protective layers, chemical filters, components of electrical batteries or supercapacitors, adhesive layers, electronic or optoelectronic components, and molecular storage. Inorganic 'paper-like' materials based on nanoscale components such as exfoliated vermiculite or mica platelets have been intensively studied and commercialized as protective coatings, high-temperature binders, dielectric barriers and gas-impermeable membranes. Carbon-based flexible graphite foils composed of stacked platelets of expanded graphite have long been used in packing and gasketing applications because of their chemical resistivity against most media, superior sealability over a wide temperature range, and impermeability to fluids. The discovery of carbon nanotubes brought about bucky paper, which displays excellent mechanical and electrical properties that make it potentially suitable for fuel cell and structural composite applications. Here we report the preparation and characterization of graphene oxide paper, a free-standing carbon-based membrane material made by flow-directed assembly of individual graphene oxide sheets. This new material outperforms many other paper-like materials in stiffness and strength. Its combination of macroscopic flexibility and stiffness is a result of a unique interlocking-tile arrangement of the nanoscale graphene oxide sheets.", "author" : [ { "dropping-particle" : "", "family" : "Dikin", "given" : "Dmitriy A.", "non-dropping-particle" : "", "parse-names" : false, "suffix" : "" }, { "dropping-particle" : "", "family" : "Stankovich", "given" : "Sasha", "non-dropping-particle" : "", "parse-names" : false, "suffix" : "" }, { "dropping-particle" : "", "family" : "Zimney", "given" : "Eric J.", "non-dropping-particle" : "", "parse-names" : false, "suffix" : "" }, { "dropping-particle" : "", "family" : "Piner", "given" : "Richard D.", "non-dropping-particle" : "", "parse-names" : false, "suffix" : "" }, { "dropping-particle" : "", "family" : "Dommett", "given" : "Geoffrey H B", "non-dropping-particle" : "", "parse-names" : false, "suffix" : "" }, { "dropping-particle" : "", "family" : "Evmenenko", "given" : "Guennadi", "non-dropping-particle" : "", "parse-names" : false, "suffix" : "" }, { "dropping-particle" : "", "family" : "Nguyen", "given" : "Sonbinh T.", "non-dropping-particle" : "", "parse-names" : false, "suffix" : "" }, { "dropping-particle" : "", "family" : "Ruoff", "given" : "Rodney S.", "non-dropping-particle" : "", "parse-names" : false, "suffix" : "" } ], "container-title" : "Nature", "id" : "ITEM-1", "issue" : "7152", "issued" : { "date-parts" : [ [ "2007" ] ] }, "page" : "457-460", "title" : "Preparation and characterization of graphene oxide paper", "type" : "article-journal", "volume" : "448" }, "uris" : [ "http://www.mendeley.com/documents/?uuid=846d02e0-ae6e-4f6d-a27f-1f657818750b" ] } ], "mendeley" : { "formattedCitation" : "[45]", "plainTextFormattedCitation" : "[45]", "previouslyFormattedCitation" : "[45]" }, "properties" : {  }, "schema" : "https://github.com/citation-style-language/schema/raw/master/csl-citation.json" }</w:instrText>
      </w:r>
      <w:r>
        <w:rPr>
          <w:rFonts w:asciiTheme="majorBidi" w:hAnsiTheme="majorBidi" w:cstheme="majorBidi"/>
          <w:bCs/>
          <w:szCs w:val="24"/>
        </w:rPr>
        <w:fldChar w:fldCharType="separate"/>
      </w:r>
      <w:r w:rsidR="00D973A8" w:rsidRPr="00D973A8">
        <w:rPr>
          <w:rFonts w:asciiTheme="majorBidi" w:hAnsiTheme="majorBidi" w:cstheme="majorBidi"/>
          <w:b w:val="0"/>
          <w:bCs/>
          <w:noProof/>
          <w:szCs w:val="24"/>
        </w:rPr>
        <w:t>[45]</w:t>
      </w:r>
      <w:r>
        <w:rPr>
          <w:rFonts w:asciiTheme="majorBidi" w:hAnsiTheme="majorBidi" w:cstheme="majorBidi"/>
          <w:bCs/>
          <w:szCs w:val="24"/>
        </w:rPr>
        <w:fldChar w:fldCharType="end"/>
      </w:r>
      <w:r>
        <w:rPr>
          <w:rFonts w:asciiTheme="majorBidi" w:hAnsiTheme="majorBidi" w:cstheme="majorBidi"/>
          <w:bCs/>
          <w:szCs w:val="24"/>
        </w:rPr>
        <w:t>)</w:t>
      </w:r>
      <w:bookmarkEnd w:id="13"/>
      <w:bookmarkEnd w:id="14"/>
    </w:p>
    <w:p w14:paraId="7F3155C2" w14:textId="77777777" w:rsidR="003C6953" w:rsidRPr="00A610A0" w:rsidRDefault="003C6953" w:rsidP="003C6953">
      <w:pPr>
        <w:pStyle w:val="ListParagraph"/>
        <w:spacing w:after="0" w:line="480" w:lineRule="auto"/>
        <w:jc w:val="center"/>
        <w:rPr>
          <w:rFonts w:asciiTheme="majorBidi" w:hAnsiTheme="majorBidi" w:cstheme="majorBidi"/>
          <w:bCs/>
          <w:sz w:val="24"/>
          <w:szCs w:val="24"/>
        </w:rPr>
      </w:pPr>
    </w:p>
    <w:p w14:paraId="22B3DE54" w14:textId="3D947E6C" w:rsidR="003C6953" w:rsidRDefault="003C6953" w:rsidP="003C6953">
      <w:pPr>
        <w:spacing w:after="0" w:line="480" w:lineRule="auto"/>
        <w:ind w:firstLine="360"/>
        <w:jc w:val="both"/>
        <w:rPr>
          <w:rFonts w:asciiTheme="majorBidi" w:hAnsiTheme="majorBidi" w:cstheme="majorBidi"/>
          <w:bCs/>
          <w:sz w:val="24"/>
          <w:szCs w:val="24"/>
        </w:rPr>
      </w:pPr>
      <w:r>
        <w:rPr>
          <w:rFonts w:asciiTheme="majorBidi" w:hAnsiTheme="majorBidi" w:cstheme="majorBidi"/>
          <w:bCs/>
          <w:sz w:val="24"/>
          <w:szCs w:val="24"/>
        </w:rPr>
        <w:t xml:space="preserve">GO was first explored </w:t>
      </w:r>
      <w:r w:rsidRPr="00A9700C">
        <w:rPr>
          <w:rFonts w:asciiTheme="majorBidi" w:hAnsiTheme="majorBidi" w:cstheme="majorBidi"/>
          <w:bCs/>
          <w:sz w:val="24"/>
          <w:szCs w:val="24"/>
        </w:rPr>
        <w:t>by Brodie in 1859, in which potassium chlorate (KClO</w:t>
      </w:r>
      <w:r w:rsidRPr="00A9700C">
        <w:rPr>
          <w:rFonts w:asciiTheme="majorBidi" w:hAnsiTheme="majorBidi" w:cstheme="majorBidi"/>
          <w:bCs/>
          <w:sz w:val="24"/>
          <w:szCs w:val="24"/>
          <w:vertAlign w:val="subscript"/>
        </w:rPr>
        <w:t>3</w:t>
      </w:r>
      <w:r w:rsidRPr="00A9700C">
        <w:rPr>
          <w:rFonts w:asciiTheme="majorBidi" w:hAnsiTheme="majorBidi" w:cstheme="majorBidi"/>
          <w:bCs/>
          <w:sz w:val="24"/>
          <w:szCs w:val="24"/>
        </w:rPr>
        <w:t>) and fuming nitric acid (HNO</w:t>
      </w:r>
      <w:r w:rsidRPr="00A9700C">
        <w:rPr>
          <w:rFonts w:asciiTheme="majorBidi" w:hAnsiTheme="majorBidi" w:cstheme="majorBidi"/>
          <w:bCs/>
          <w:sz w:val="24"/>
          <w:szCs w:val="24"/>
          <w:vertAlign w:val="subscript"/>
        </w:rPr>
        <w:t>3</w:t>
      </w:r>
      <w:r w:rsidRPr="00A9700C">
        <w:rPr>
          <w:rFonts w:asciiTheme="majorBidi" w:hAnsiTheme="majorBidi" w:cstheme="majorBidi"/>
          <w:bCs/>
          <w:sz w:val="24"/>
          <w:szCs w:val="24"/>
        </w:rPr>
        <w:t>) were used as the oxidant. Staudenmaier developed Brodie method by using sulphuric acid (H</w:t>
      </w:r>
      <w:r w:rsidRPr="00A9700C">
        <w:rPr>
          <w:rFonts w:asciiTheme="majorBidi" w:hAnsiTheme="majorBidi" w:cstheme="majorBidi"/>
          <w:bCs/>
          <w:sz w:val="24"/>
          <w:szCs w:val="24"/>
          <w:vertAlign w:val="subscript"/>
        </w:rPr>
        <w:t>2</w:t>
      </w:r>
      <w:r w:rsidRPr="00A9700C">
        <w:rPr>
          <w:rFonts w:asciiTheme="majorBidi" w:hAnsiTheme="majorBidi" w:cstheme="majorBidi"/>
          <w:bCs/>
          <w:sz w:val="24"/>
          <w:szCs w:val="24"/>
        </w:rPr>
        <w:t>SO</w:t>
      </w:r>
      <w:r w:rsidRPr="00A9700C">
        <w:rPr>
          <w:rFonts w:asciiTheme="majorBidi" w:hAnsiTheme="majorBidi" w:cstheme="majorBidi"/>
          <w:bCs/>
          <w:sz w:val="24"/>
          <w:szCs w:val="24"/>
          <w:vertAlign w:val="subscript"/>
        </w:rPr>
        <w:t>4</w:t>
      </w:r>
      <w:r w:rsidRPr="00A9700C">
        <w:rPr>
          <w:rFonts w:asciiTheme="majorBidi" w:hAnsiTheme="majorBidi" w:cstheme="majorBidi"/>
          <w:bCs/>
          <w:sz w:val="24"/>
          <w:szCs w:val="24"/>
        </w:rPr>
        <w:t>) and fuming nitric acid (HNO</w:t>
      </w:r>
      <w:r w:rsidRPr="00A9700C">
        <w:rPr>
          <w:rFonts w:asciiTheme="majorBidi" w:hAnsiTheme="majorBidi" w:cstheme="majorBidi"/>
          <w:bCs/>
          <w:sz w:val="24"/>
          <w:szCs w:val="24"/>
          <w:vertAlign w:val="subscript"/>
        </w:rPr>
        <w:t>3</w:t>
      </w:r>
      <w:r w:rsidRPr="00A9700C">
        <w:rPr>
          <w:rFonts w:asciiTheme="majorBidi" w:hAnsiTheme="majorBidi" w:cstheme="majorBidi"/>
          <w:bCs/>
          <w:sz w:val="24"/>
          <w:szCs w:val="24"/>
        </w:rPr>
        <w:t>) instead of individual HNO</w:t>
      </w:r>
      <w:r w:rsidRPr="00A9700C">
        <w:rPr>
          <w:rFonts w:asciiTheme="majorBidi" w:hAnsiTheme="majorBidi" w:cstheme="majorBidi"/>
          <w:bCs/>
          <w:sz w:val="24"/>
          <w:szCs w:val="24"/>
          <w:vertAlign w:val="subscript"/>
        </w:rPr>
        <w:t>3</w:t>
      </w:r>
      <w:r w:rsidRPr="00A9700C">
        <w:rPr>
          <w:rFonts w:asciiTheme="majorBidi" w:hAnsiTheme="majorBidi" w:cstheme="majorBidi"/>
          <w:bCs/>
          <w:sz w:val="24"/>
          <w:szCs w:val="24"/>
        </w:rPr>
        <w:t>. However, the drawback of these two methods is the liberation of toxic gas like NO</w:t>
      </w:r>
      <w:r w:rsidRPr="00A9700C">
        <w:rPr>
          <w:rFonts w:asciiTheme="majorBidi" w:hAnsiTheme="majorBidi" w:cstheme="majorBidi"/>
          <w:bCs/>
          <w:sz w:val="24"/>
          <w:szCs w:val="24"/>
          <w:vertAlign w:val="subscript"/>
        </w:rPr>
        <w:t>2</w:t>
      </w:r>
      <w:r w:rsidRPr="00A9700C">
        <w:rPr>
          <w:rFonts w:asciiTheme="majorBidi" w:hAnsiTheme="majorBidi" w:cstheme="majorBidi"/>
          <w:bCs/>
          <w:sz w:val="24"/>
          <w:szCs w:val="24"/>
        </w:rPr>
        <w:t>, and N</w:t>
      </w:r>
      <w:r w:rsidRPr="00A9700C">
        <w:rPr>
          <w:rFonts w:asciiTheme="majorBidi" w:hAnsiTheme="majorBidi" w:cstheme="majorBidi"/>
          <w:bCs/>
          <w:sz w:val="24"/>
          <w:szCs w:val="24"/>
          <w:vertAlign w:val="subscript"/>
        </w:rPr>
        <w:t>2</w:t>
      </w:r>
      <w:r w:rsidRPr="00A9700C">
        <w:rPr>
          <w:rFonts w:asciiTheme="majorBidi" w:hAnsiTheme="majorBidi" w:cstheme="majorBidi"/>
          <w:bCs/>
          <w:sz w:val="24"/>
          <w:szCs w:val="24"/>
        </w:rPr>
        <w:t>O</w:t>
      </w:r>
      <w:r w:rsidRPr="00A9700C">
        <w:rPr>
          <w:rFonts w:asciiTheme="majorBidi" w:hAnsiTheme="majorBidi" w:cstheme="majorBidi"/>
          <w:bCs/>
          <w:sz w:val="24"/>
          <w:szCs w:val="24"/>
          <w:vertAlign w:val="subscript"/>
        </w:rPr>
        <w:t>4</w:t>
      </w:r>
      <w:r w:rsidRPr="00A9700C">
        <w:rPr>
          <w:rFonts w:asciiTheme="majorBidi" w:hAnsiTheme="majorBidi" w:cstheme="majorBidi"/>
          <w:bCs/>
          <w:sz w:val="24"/>
          <w:szCs w:val="24"/>
        </w:rPr>
        <w:t xml:space="preserve">. </w:t>
      </w:r>
      <w:r w:rsidR="0033210F">
        <w:rPr>
          <w:rFonts w:asciiTheme="majorBidi" w:hAnsiTheme="majorBidi" w:cstheme="majorBidi"/>
          <w:bCs/>
          <w:sz w:val="24"/>
          <w:szCs w:val="24"/>
        </w:rPr>
        <w:t>Hummers</w:t>
      </w:r>
      <w:r w:rsidRPr="00A9700C">
        <w:rPr>
          <w:rFonts w:asciiTheme="majorBidi" w:hAnsiTheme="majorBidi" w:cstheme="majorBidi"/>
          <w:bCs/>
          <w:sz w:val="24"/>
          <w:szCs w:val="24"/>
        </w:rPr>
        <w:t xml:space="preserve"> method is a popular and common way f</w:t>
      </w:r>
      <w:r>
        <w:rPr>
          <w:rFonts w:asciiTheme="majorBidi" w:hAnsiTheme="majorBidi" w:cstheme="majorBidi"/>
          <w:bCs/>
          <w:sz w:val="24"/>
          <w:szCs w:val="24"/>
        </w:rPr>
        <w:t>or preparation of GO in recent research</w:t>
      </w:r>
      <w:r w:rsidRPr="00A9700C">
        <w:rPr>
          <w:rFonts w:asciiTheme="majorBidi" w:hAnsiTheme="majorBidi" w:cstheme="majorBidi"/>
          <w:bCs/>
          <w:sz w:val="24"/>
          <w:szCs w:val="24"/>
        </w:rPr>
        <w:t>, which was firstly proposed by Hummer in1958. For this method, a combination of concentrated H</w:t>
      </w:r>
      <w:r w:rsidRPr="00A9700C">
        <w:rPr>
          <w:rFonts w:asciiTheme="majorBidi" w:hAnsiTheme="majorBidi" w:cstheme="majorBidi"/>
          <w:bCs/>
          <w:sz w:val="24"/>
          <w:szCs w:val="24"/>
          <w:vertAlign w:val="subscript"/>
        </w:rPr>
        <w:t>2</w:t>
      </w:r>
      <w:r w:rsidRPr="00A9700C">
        <w:rPr>
          <w:rFonts w:asciiTheme="majorBidi" w:hAnsiTheme="majorBidi" w:cstheme="majorBidi"/>
          <w:bCs/>
          <w:sz w:val="24"/>
          <w:szCs w:val="24"/>
        </w:rPr>
        <w:t>SO</w:t>
      </w:r>
      <w:r w:rsidRPr="00A9700C">
        <w:rPr>
          <w:rFonts w:asciiTheme="majorBidi" w:hAnsiTheme="majorBidi" w:cstheme="majorBidi"/>
          <w:bCs/>
          <w:sz w:val="24"/>
          <w:szCs w:val="24"/>
          <w:vertAlign w:val="subscript"/>
        </w:rPr>
        <w:t>4</w:t>
      </w:r>
      <w:r w:rsidRPr="00A9700C">
        <w:rPr>
          <w:rFonts w:asciiTheme="majorBidi" w:hAnsiTheme="majorBidi" w:cstheme="majorBidi"/>
          <w:bCs/>
          <w:sz w:val="24"/>
          <w:szCs w:val="24"/>
        </w:rPr>
        <w:t xml:space="preserve"> and potassium permanganate (KMnO</w:t>
      </w:r>
      <w:r w:rsidRPr="00A9700C">
        <w:rPr>
          <w:rFonts w:asciiTheme="majorBidi" w:hAnsiTheme="majorBidi" w:cstheme="majorBidi"/>
          <w:bCs/>
          <w:sz w:val="24"/>
          <w:szCs w:val="24"/>
          <w:vertAlign w:val="subscript"/>
        </w:rPr>
        <w:t>4</w:t>
      </w:r>
      <w:r w:rsidRPr="00A9700C">
        <w:rPr>
          <w:rFonts w:asciiTheme="majorBidi" w:hAnsiTheme="majorBidi" w:cstheme="majorBidi"/>
          <w:bCs/>
          <w:sz w:val="24"/>
          <w:szCs w:val="24"/>
        </w:rPr>
        <w:t>) were employed</w:t>
      </w:r>
      <w:r>
        <w:rPr>
          <w:rFonts w:asciiTheme="majorBidi" w:hAnsiTheme="majorBidi" w:cstheme="majorBidi"/>
          <w:bCs/>
          <w:sz w:val="24"/>
          <w:szCs w:val="24"/>
        </w:rPr>
        <w:t xml:space="preserve">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"10.1007/978-3-319-15500-5_3", "ISBN" : "9783319155005", "ISSN" : "0306-0012", "PMID" : "20023850", "abstract" : "The chemistry of graphene oxide is discussed in this critical review. Particular emphasis is directed toward the synthesis of graphene oxide, as well as its structure. Graphene oxide as a substrate for a variety of chemical transformations, including its reduction to graphene-like materials, is also discussed. This review will be of value to synthetic chemists interested in this emerging field of materials science, as well as those investigating applications of graphene who would find a more thorough treatment of the chemistry of graphene oxide useful in understanding the scope and limitations of current approaches which utilize this material (91 references).", "author" : [ { "dropping-particle" : "", "family" : "Daniel R. Dreyer, Sungjin park, Christopher W. Bielawski", "given" : "and Rodney S. Ruoff", "non-dropping-particle" : "", "parse-names" : false, "suffix" : "" } ], "container-title" : "The royal society of chemistry", "id" : "ITEM-1", "issued" : { "date-parts" : [ [ "2010" ] ] }, "page" : "228-240", "title" : "The chemistry of graphene oxide", "type" : "article-journal" }, "uris" : [ "http://www.mendeley.com/documents/?uuid=9f00cbee-0dbd-4154-8f65-cdc575e4bdf0" ] } ], "mendeley" : { "formattedCitation" : "[46]", "plainTextFormattedCitation" : "[46]", "previouslyFormattedCitation" : "[46]"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[46]</w:t>
      </w:r>
      <w:r>
        <w:rPr>
          <w:rFonts w:asciiTheme="majorBidi" w:hAnsiTheme="majorBidi" w:cstheme="majorBidi"/>
          <w:bCs/>
          <w:sz w:val="24"/>
          <w:szCs w:val="24"/>
        </w:rPr>
        <w:fldChar w:fldCharType="end"/>
      </w:r>
      <w:r>
        <w:rPr>
          <w:rFonts w:asciiTheme="majorBidi" w:hAnsiTheme="majorBidi" w:cstheme="majorBidi"/>
          <w:bCs/>
          <w:sz w:val="24"/>
          <w:szCs w:val="24"/>
        </w:rPr>
        <w:t>. In Hummers</w:t>
      </w:r>
      <w:r w:rsidRPr="00A9700C">
        <w:rPr>
          <w:rFonts w:asciiTheme="majorBidi" w:hAnsiTheme="majorBidi" w:cstheme="majorBidi"/>
          <w:bCs/>
          <w:sz w:val="24"/>
          <w:szCs w:val="24"/>
        </w:rPr>
        <w:t xml:space="preserve"> method, diamanganese heptoxide (Mn</w:t>
      </w:r>
      <w:r w:rsidRPr="00A9700C">
        <w:rPr>
          <w:rFonts w:asciiTheme="majorBidi" w:hAnsiTheme="majorBidi" w:cstheme="majorBidi"/>
          <w:bCs/>
          <w:sz w:val="24"/>
          <w:szCs w:val="24"/>
          <w:vertAlign w:val="subscript"/>
        </w:rPr>
        <w:t>2</w:t>
      </w:r>
      <w:r w:rsidRPr="00A9700C">
        <w:rPr>
          <w:rFonts w:asciiTheme="majorBidi" w:hAnsiTheme="majorBidi" w:cstheme="majorBidi"/>
          <w:bCs/>
          <w:sz w:val="24"/>
          <w:szCs w:val="24"/>
        </w:rPr>
        <w:t>O</w:t>
      </w:r>
      <w:r w:rsidRPr="00A9700C">
        <w:rPr>
          <w:rFonts w:asciiTheme="majorBidi" w:hAnsiTheme="majorBidi" w:cstheme="majorBidi"/>
          <w:bCs/>
          <w:sz w:val="24"/>
          <w:szCs w:val="24"/>
          <w:vertAlign w:val="subscript"/>
        </w:rPr>
        <w:t>7</w:t>
      </w:r>
      <w:r w:rsidRPr="00A9700C">
        <w:rPr>
          <w:rFonts w:asciiTheme="majorBidi" w:hAnsiTheme="majorBidi" w:cstheme="majorBidi"/>
          <w:bCs/>
          <w:sz w:val="24"/>
          <w:szCs w:val="24"/>
        </w:rPr>
        <w:t xml:space="preserve">) is the reactive oxidant which is </w:t>
      </w:r>
      <w:r>
        <w:rPr>
          <w:rFonts w:asciiTheme="majorBidi" w:hAnsiTheme="majorBidi" w:cstheme="majorBidi"/>
          <w:bCs/>
          <w:sz w:val="24"/>
          <w:szCs w:val="24"/>
        </w:rPr>
        <w:t>formed from KMnO</w:t>
      </w:r>
      <w:r w:rsidRPr="003724A1">
        <w:rPr>
          <w:rFonts w:asciiTheme="majorBidi" w:hAnsiTheme="majorBidi" w:cstheme="majorBidi"/>
          <w:bCs/>
          <w:sz w:val="24"/>
          <w:szCs w:val="24"/>
          <w:vertAlign w:val="subscript"/>
        </w:rPr>
        <w:t>4</w:t>
      </w:r>
      <w:r>
        <w:rPr>
          <w:rFonts w:asciiTheme="majorBidi" w:hAnsiTheme="majorBidi" w:cstheme="majorBidi"/>
          <w:bCs/>
          <w:sz w:val="24"/>
          <w:szCs w:val="24"/>
        </w:rPr>
        <w:t xml:space="preserve"> and H</w:t>
      </w:r>
      <w:r w:rsidRPr="003724A1">
        <w:rPr>
          <w:rFonts w:asciiTheme="majorBidi" w:hAnsiTheme="majorBidi" w:cstheme="majorBidi"/>
          <w:bCs/>
          <w:sz w:val="24"/>
          <w:szCs w:val="24"/>
          <w:vertAlign w:val="subscript"/>
        </w:rPr>
        <w:t>2</w:t>
      </w:r>
      <w:r>
        <w:rPr>
          <w:rFonts w:asciiTheme="majorBidi" w:hAnsiTheme="majorBidi" w:cstheme="majorBidi"/>
          <w:bCs/>
          <w:sz w:val="24"/>
          <w:szCs w:val="24"/>
        </w:rPr>
        <w:t>SO</w:t>
      </w:r>
      <w:r w:rsidRPr="003724A1">
        <w:rPr>
          <w:rFonts w:asciiTheme="majorBidi" w:hAnsiTheme="majorBidi" w:cstheme="majorBidi"/>
          <w:bCs/>
          <w:sz w:val="24"/>
          <w:szCs w:val="24"/>
          <w:vertAlign w:val="subscript"/>
        </w:rPr>
        <w:t>4</w:t>
      </w:r>
      <w:r>
        <w:rPr>
          <w:rFonts w:asciiTheme="majorBidi" w:hAnsiTheme="majorBidi" w:cstheme="majorBidi"/>
          <w:bCs/>
          <w:sz w:val="24"/>
          <w:szCs w:val="24"/>
        </w:rPr>
        <w:t>, as shown in Scheme</w:t>
      </w:r>
      <w:r w:rsidR="00336A44">
        <w:rPr>
          <w:rFonts w:asciiTheme="majorBidi" w:hAnsiTheme="majorBidi" w:cstheme="majorBidi"/>
          <w:bCs/>
          <w:sz w:val="24"/>
          <w:szCs w:val="24"/>
        </w:rPr>
        <w:t xml:space="preserve"> </w:t>
      </w:r>
      <w:r w:rsidR="00336A44">
        <w:rPr>
          <w:rFonts w:asciiTheme="majorBidi" w:hAnsiTheme="majorBidi" w:cstheme="majorBidi" w:hint="eastAsia"/>
          <w:bCs/>
          <w:sz w:val="24"/>
          <w:szCs w:val="24"/>
        </w:rPr>
        <w:t>2</w:t>
      </w:r>
      <w:r w:rsidR="00336A44">
        <w:rPr>
          <w:rFonts w:asciiTheme="majorBidi" w:hAnsiTheme="majorBidi" w:cstheme="majorBidi"/>
          <w:bCs/>
          <w:sz w:val="24"/>
          <w:szCs w:val="24"/>
        </w:rPr>
        <w:t>.1</w:t>
      </w:r>
      <w:r w:rsidR="00336A44">
        <w:rPr>
          <w:rFonts w:asciiTheme="majorBidi" w:hAnsiTheme="majorBidi" w:cstheme="majorBidi" w:hint="eastAsia"/>
          <w:bCs/>
          <w:sz w:val="24"/>
          <w:szCs w:val="24"/>
        </w:rPr>
        <w:t>.</w:t>
      </w:r>
      <w:r>
        <w:rPr>
          <w:rFonts w:asciiTheme="majorBidi" w:hAnsiTheme="majorBidi" w:cstheme="majorBidi"/>
          <w:bCs/>
          <w:sz w:val="24"/>
          <w:szCs w:val="24"/>
        </w:rPr>
        <w:t xml:space="preserve">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"10.1021/ed059p973.3", "ISSN" : "0021-9584", "abstract" : "Demonstrates the formation of Mn2O7 and its powerful oxidation of simple alcohols. Demonstrates the formation of Mn2O7 and its powerful oxidation of simple alcohols.", "author" : [ { "dropping-particle" : "", "family" : "Koch", "given" : "Klaus R.", "non-dropping-particle" : "", "parse-names" : false, "suffix" : "" } ], "container-title" : "Journal of Chemical Education", "id" : "ITEM-1", "issue" : "11", "issued" : { "date-parts" : [ [ "1982" ] ] }, "page" : "973", "title" : "Oxidation by Mn207: An impressive demonstration of the powerful oxidizing property of dimanganeseheptoxide", "type" : "article-journal", "volume" : "59" }, "uris" : [ "http://www.mendeley.com/documents/?uuid=5db778bb-e534-4a80-a80f-9f742e4f7f0d" ] }, { "id" : "ITEM-2", "itemData" : { "DOI" : "10.1007/978-3-319-15500-5_3", "ISBN" : "9783319155005", "ISSN" : "0306-0012", "PMID" : "20023850", "abstract" : "The chemistry of graphene oxide is discussed in this critical review. Particular emphasis is directed toward the synthesis of graphene oxide, as well as its structure. Graphene oxide as a substrate for a variety of chemical transformations, including its reduction to graphene-like materials, is also discussed. This review will be of value to synthetic chemists interested in this emerging field of materials science, as well as those investigating applications of graphene who would find a more thorough treatment of the chemistry of graphene oxide useful in understanding the scope and limitations of current approaches which utilize this material (91 references).", "author" : [ { "dropping-particle" : "", "family" : "Daniel R. Dreyer, Sungjin park, Christopher W. Bielawski", "given" : "and Rodney S. Ruoff", "non-dropping-particle" : "", "parse-names" : false, "suffix" : "" } ], "container-title" : "The royal society of chemistry", "id" : "ITEM-2", "issued" : { "date-parts" : [ [ "2010" ] ] }, "page" : "228-240", "title" : "The chemistry of graphene oxide", "type" : "article-journal" }, "uris" : [ "http://www.mendeley.com/documents/?uuid=9f00cbee-0dbd-4154-8f65-cdc575e4bdf0" ] } ], "mendeley" : { "formattedCitation" : "[46,47]", "plainTextFormattedCitation" : "[46,47]", "previouslyFormattedCitation" : "[46,47]"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[46,47]</w:t>
      </w:r>
      <w:r>
        <w:rPr>
          <w:rFonts w:asciiTheme="majorBidi" w:hAnsiTheme="majorBidi" w:cstheme="majorBidi"/>
          <w:bCs/>
          <w:sz w:val="24"/>
          <w:szCs w:val="24"/>
        </w:rPr>
        <w:fldChar w:fldCharType="end"/>
      </w:r>
      <w:r>
        <w:rPr>
          <w:rFonts w:asciiTheme="majorBidi" w:hAnsiTheme="majorBidi" w:cstheme="majorBidi"/>
          <w:bCs/>
          <w:sz w:val="24"/>
          <w:szCs w:val="24"/>
        </w:rPr>
        <w:t>. The drawback of this method is the potential contamination by excess permanganate ions, which needs to be removed by H</w:t>
      </w:r>
      <w:r w:rsidRPr="00EA5DA1">
        <w:rPr>
          <w:rFonts w:asciiTheme="majorBidi" w:hAnsiTheme="majorBidi" w:cstheme="majorBidi"/>
          <w:bCs/>
          <w:sz w:val="24"/>
          <w:szCs w:val="24"/>
          <w:vertAlign w:val="subscript"/>
        </w:rPr>
        <w:t>2</w:t>
      </w:r>
      <w:r>
        <w:rPr>
          <w:rFonts w:asciiTheme="majorBidi" w:hAnsiTheme="majorBidi" w:cstheme="majorBidi"/>
          <w:bCs/>
          <w:sz w:val="24"/>
          <w:szCs w:val="24"/>
        </w:rPr>
        <w:t>O</w:t>
      </w:r>
      <w:r w:rsidRPr="00EA5DA1">
        <w:rPr>
          <w:rFonts w:asciiTheme="majorBidi" w:hAnsiTheme="majorBidi" w:cstheme="majorBidi"/>
          <w:bCs/>
          <w:sz w:val="24"/>
          <w:szCs w:val="24"/>
          <w:vertAlign w:val="subscript"/>
        </w:rPr>
        <w:t>2</w:t>
      </w:r>
      <w:r>
        <w:rPr>
          <w:rFonts w:asciiTheme="majorBidi" w:hAnsiTheme="majorBidi" w:cstheme="majorBidi"/>
          <w:bCs/>
          <w:sz w:val="24"/>
          <w:szCs w:val="24"/>
        </w:rPr>
        <w:t xml:space="preserve"> treatment, followed by washing and dialysis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"ITEM-1", "issue" : "6", "issued" : { "date-parts" : [ [ "2010" ] ] }, "page" : "711-723", "title" : "Graphene oxide, highly reduced graphene oxide, and graphene: Versatile building blocks for carbon-based materials", "type" : "article-journal", "volume" : "6" }, "uris" : [ "http://www.mendeley.com/documents/?uuid=90e9afa4-4b34-4e67-8977-31ce6b3dfab0" ] } ], "mendeley" : { "formattedCitation" : "[22]", "plainTextFormattedCitation" : "[22]", "previouslyFormattedCitation" : "[22]"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[22]</w:t>
      </w:r>
      <w:r>
        <w:rPr>
          <w:rFonts w:asciiTheme="majorBidi" w:hAnsiTheme="majorBidi" w:cstheme="majorBidi"/>
          <w:bCs/>
          <w:sz w:val="24"/>
          <w:szCs w:val="24"/>
        </w:rPr>
        <w:fldChar w:fldCharType="end"/>
      </w:r>
      <w:r>
        <w:rPr>
          <w:rFonts w:asciiTheme="majorBidi" w:hAnsiTheme="majorBidi" w:cstheme="majorBidi"/>
          <w:bCs/>
          <w:sz w:val="24"/>
          <w:szCs w:val="24"/>
        </w:rPr>
        <w:t>.</w:t>
      </w:r>
    </w:p>
    <w:p w14:paraId="6964F0E3" w14:textId="77777777" w:rsidR="003C6953" w:rsidRDefault="003C6953" w:rsidP="003C6953">
      <w:pPr>
        <w:pStyle w:val="ListParagraph"/>
        <w:spacing w:after="0" w:line="480" w:lineRule="auto"/>
        <w:jc w:val="center"/>
        <w:rPr>
          <w:rFonts w:asciiTheme="majorBidi" w:hAnsiTheme="majorBidi" w:cstheme="majorBidi"/>
          <w:bCs/>
          <w:sz w:val="24"/>
          <w:szCs w:val="24"/>
        </w:rPr>
      </w:pPr>
      <w:r>
        <w:rPr>
          <w:rFonts w:asciiTheme="majorBidi" w:hAnsiTheme="majorBidi" w:cstheme="majorBidi"/>
          <w:bCs/>
          <w:noProof/>
          <w:sz w:val="24"/>
          <w:szCs w:val="24"/>
          <w:lang w:val="en-GB"/>
        </w:rPr>
        <w:drawing>
          <wp:inline distT="0" distB="0" distL="0" distR="0" wp14:anchorId="29488CF7" wp14:editId="5F5499B9">
            <wp:extent cx="4694400" cy="107194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7279" cy="1077166"/>
                    </a:xfrm>
                    <a:prstGeom prst="rect">
                      <a:avLst/>
                    </a:prstGeom>
                    <a:noFill/>
                  </pic:spPr>
                </pic:pic>
              </a:graphicData>
            </a:graphic>
          </wp:inline>
        </w:drawing>
      </w:r>
    </w:p>
    <w:p w14:paraId="607A3364" w14:textId="6C5C82A8" w:rsidR="003C6953" w:rsidRPr="00237210" w:rsidRDefault="002D03C9" w:rsidP="00237210">
      <w:pPr>
        <w:pStyle w:val="ListParagraph"/>
        <w:spacing w:after="0" w:line="360" w:lineRule="auto"/>
        <w:rPr>
          <w:rFonts w:ascii="Times New Roman" w:hAnsi="Times New Roman" w:cs="Times New Roman"/>
          <w:b/>
          <w:sz w:val="24"/>
          <w:szCs w:val="24"/>
        </w:rPr>
      </w:pPr>
      <w:r>
        <w:rPr>
          <w:rFonts w:ascii="Times New Roman" w:hAnsi="Times New Roman" w:cs="Times New Roman"/>
          <w:b/>
          <w:sz w:val="24"/>
          <w:szCs w:val="24"/>
        </w:rPr>
        <w:t>Scheme 2</w:t>
      </w:r>
      <w:r w:rsidR="003C6953" w:rsidRPr="00237210">
        <w:rPr>
          <w:rFonts w:ascii="Times New Roman" w:hAnsi="Times New Roman" w:cs="Times New Roman"/>
          <w:b/>
          <w:sz w:val="24"/>
          <w:szCs w:val="24"/>
        </w:rPr>
        <w:t>.1. Formation of dimanganese heptoxide (Mn</w:t>
      </w:r>
      <w:r w:rsidR="003C6953" w:rsidRPr="00237210">
        <w:rPr>
          <w:rFonts w:ascii="Times New Roman" w:hAnsi="Times New Roman" w:cs="Times New Roman"/>
          <w:b/>
          <w:sz w:val="24"/>
          <w:szCs w:val="24"/>
          <w:vertAlign w:val="subscript"/>
        </w:rPr>
        <w:t>2</w:t>
      </w:r>
      <w:r w:rsidR="003C6953" w:rsidRPr="00237210">
        <w:rPr>
          <w:rFonts w:ascii="Times New Roman" w:hAnsi="Times New Roman" w:cs="Times New Roman"/>
          <w:b/>
          <w:sz w:val="24"/>
          <w:szCs w:val="24"/>
        </w:rPr>
        <w:t>O</w:t>
      </w:r>
      <w:r w:rsidR="003C6953" w:rsidRPr="00237210">
        <w:rPr>
          <w:rFonts w:ascii="Times New Roman" w:hAnsi="Times New Roman" w:cs="Times New Roman"/>
          <w:b/>
          <w:sz w:val="24"/>
          <w:szCs w:val="24"/>
          <w:vertAlign w:val="subscript"/>
        </w:rPr>
        <w:t>7</w:t>
      </w:r>
      <w:r w:rsidR="003C6953" w:rsidRPr="00237210">
        <w:rPr>
          <w:rFonts w:ascii="Times New Roman" w:hAnsi="Times New Roman" w:cs="Times New Roman"/>
          <w:b/>
          <w:sz w:val="24"/>
          <w:szCs w:val="24"/>
        </w:rPr>
        <w:t>) from KMnO</w:t>
      </w:r>
      <w:r w:rsidR="003C6953" w:rsidRPr="00237210">
        <w:rPr>
          <w:rFonts w:ascii="Times New Roman" w:hAnsi="Times New Roman" w:cs="Times New Roman"/>
          <w:b/>
          <w:sz w:val="24"/>
          <w:szCs w:val="24"/>
          <w:vertAlign w:val="subscript"/>
        </w:rPr>
        <w:t xml:space="preserve">4 </w:t>
      </w:r>
      <w:r w:rsidR="003C6953" w:rsidRPr="00237210">
        <w:rPr>
          <w:rFonts w:ascii="Times New Roman" w:hAnsi="Times New Roman" w:cs="Times New Roman"/>
          <w:b/>
          <w:sz w:val="24"/>
          <w:szCs w:val="24"/>
        </w:rPr>
        <w:t xml:space="preserve">(Reproduced from reference </w:t>
      </w:r>
      <w:r w:rsidR="003C6953" w:rsidRPr="00237210">
        <w:rPr>
          <w:rFonts w:ascii="Times New Roman" w:hAnsi="Times New Roman" w:cs="Times New Roman"/>
          <w:b/>
          <w:sz w:val="24"/>
          <w:szCs w:val="24"/>
        </w:rPr>
        <w:fldChar w:fldCharType="begin" w:fldLock="1"/>
      </w:r>
      <w:r w:rsidR="00D14688">
        <w:rPr>
          <w:rFonts w:ascii="Times New Roman" w:hAnsi="Times New Roman" w:cs="Times New Roman"/>
          <w:b/>
          <w:sz w:val="24"/>
          <w:szCs w:val="24"/>
        </w:rPr>
        <w:instrText>ADDIN CSL_CITATION { "citationItems" : [ { "id" : "ITEM-1", "itemData" : { "DOI" : "10.1007/978-3-319-15500-5_3", "ISBN" : "9783319155005", "ISSN" : "0306-0012", "PMID" : "20023850", "abstract" : "The chemistry of graphene oxide is discussed in this critical review. Particular emphasis is directed toward the synthesis of graphene oxide, as well as its structure. Graphene oxide as a substrate for a variety of chemical transformations, including its reduction to graphene-like materials, is also discussed. This review will be of value to synthetic chemists interested in this emerging field of materials science, as well as those investigating applications of graphene who would find a more thorough treatment of the chemistry of graphene oxide useful in understanding the scope and limitations of current approaches which utilize this material (91 references).", "author" : [ { "dropping-particle" : "", "family" : "Daniel R. Dreyer, Sungjin park, Christopher W. Bielawski", "given" : "and Rodney S. Ruoff", "non-dropping-particle" : "", "parse-names" : false, "suffix" : "" } ], "container-title" : "The royal society of chemistry", "id" : "ITEM-1", "issued" : { "date-parts" : [ [ "2010" ] ] }, "page" : "228-240", "title" : "The chemistry of graphene oxide", "type" : "article-journal" }, "uris" : [ "http://www.mendeley.com/documents/?uuid=9f00cbee-0dbd-4154-8f65-cdc575e4bdf0" ] } ], "mendeley" : { "formattedCitation" : "[46]", "plainTextFormattedCitation" : "[46]", "previouslyFormattedCitation" : "[46]" }, "properties" : {  }, "schema" : "https://github.com/citation-style-language/schema/raw/master/csl-citation.json" }</w:instrText>
      </w:r>
      <w:r w:rsidR="003C6953" w:rsidRPr="00237210">
        <w:rPr>
          <w:rFonts w:ascii="Times New Roman" w:hAnsi="Times New Roman" w:cs="Times New Roman"/>
          <w:b/>
          <w:sz w:val="24"/>
          <w:szCs w:val="24"/>
        </w:rPr>
        <w:fldChar w:fldCharType="separate"/>
      </w:r>
      <w:r w:rsidR="00D973A8" w:rsidRPr="00D973A8">
        <w:rPr>
          <w:rFonts w:ascii="Times New Roman" w:hAnsi="Times New Roman" w:cs="Times New Roman"/>
          <w:noProof/>
          <w:sz w:val="24"/>
          <w:szCs w:val="24"/>
        </w:rPr>
        <w:t>[46]</w:t>
      </w:r>
      <w:r w:rsidR="003C6953" w:rsidRPr="00237210">
        <w:rPr>
          <w:rFonts w:ascii="Times New Roman" w:hAnsi="Times New Roman" w:cs="Times New Roman"/>
          <w:b/>
          <w:sz w:val="24"/>
          <w:szCs w:val="24"/>
        </w:rPr>
        <w:fldChar w:fldCharType="end"/>
      </w:r>
      <w:r w:rsidR="003C6953" w:rsidRPr="00237210">
        <w:rPr>
          <w:rFonts w:ascii="Times New Roman" w:hAnsi="Times New Roman" w:cs="Times New Roman"/>
          <w:b/>
          <w:sz w:val="24"/>
          <w:szCs w:val="24"/>
        </w:rPr>
        <w:t>)</w:t>
      </w:r>
    </w:p>
    <w:p w14:paraId="4B1277FE" w14:textId="77777777" w:rsidR="003C6953" w:rsidRPr="0066742A" w:rsidRDefault="003C6953" w:rsidP="003C6953">
      <w:pPr>
        <w:pStyle w:val="ListParagraph"/>
        <w:spacing w:after="0" w:line="480" w:lineRule="auto"/>
        <w:jc w:val="center"/>
        <w:rPr>
          <w:rFonts w:ascii="Times New Roman" w:hAnsi="Times New Roman" w:cs="Times New Roman"/>
          <w:sz w:val="24"/>
          <w:szCs w:val="24"/>
        </w:rPr>
      </w:pPr>
    </w:p>
    <w:p w14:paraId="1E921DFF" w14:textId="6E25D19A" w:rsidR="003C6953" w:rsidRDefault="002D03C9" w:rsidP="003C6953">
      <w:pPr>
        <w:pStyle w:val="Heading2"/>
        <w:spacing w:before="0"/>
      </w:pPr>
      <w:bookmarkStart w:id="15" w:name="_Toc518823228"/>
      <w:r>
        <w:t xml:space="preserve">2.3.3. </w:t>
      </w:r>
      <w:r w:rsidR="003C6953">
        <w:t>Dispersion of graphene oxide in organic solvents</w:t>
      </w:r>
      <w:bookmarkEnd w:id="15"/>
    </w:p>
    <w:p w14:paraId="6695877E" w14:textId="0A95706F" w:rsidR="003C6953" w:rsidRDefault="003C6953" w:rsidP="003C6953">
      <w:pPr>
        <w:spacing w:after="0" w:line="480" w:lineRule="auto"/>
        <w:jc w:val="both"/>
        <w:rPr>
          <w:rFonts w:asciiTheme="majorBidi" w:hAnsiTheme="majorBidi" w:cstheme="majorBidi"/>
          <w:bCs/>
          <w:sz w:val="24"/>
          <w:szCs w:val="24"/>
        </w:rPr>
      </w:pPr>
      <w:r>
        <w:rPr>
          <w:rFonts w:asciiTheme="majorBidi" w:hAnsiTheme="majorBidi" w:cstheme="majorBidi"/>
          <w:bCs/>
          <w:sz w:val="24"/>
          <w:szCs w:val="24"/>
        </w:rPr>
        <w:t xml:space="preserve">Graphene is hydrophobic which is not soluble in both aqueous and organic solvents. GO can be exfoliated into single or few layers in aqueous and some polar solvents by mechanical shearing and ultrasonication due to its hydrophilic nature. However, the dispersion of GO in polymer matrix and weakly polar organic solvents is quite poor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"10.3144/expresspolymlett.2012.107", "ISBN" : "1788-618X", "ISSN" : "1788618X", "PMID" : "20473982", "abstract" : "Dispersion of nanomaterials in polymeric matrices plays an important role in determining the final properties of the composites. Dispersion in nano scale, and especially in single layers, provides best opportunity for bonding. In this study, we propose that by proper functionalization and mixing strategy of graphene its dispersion, and bonding to the polymeric matrix can be improved. We then apply this strategy to graphene-epoxy system by amino functionalization of graphene oxide (GO). The process included two phase extraction, and resulted in better dispersion and higher loading of graphene in epoxy matrix. Rheological evaluation of different graphene-epoxy dispersions showed a rheological percolation threshold of 0.2 vol% which is an indication of highly dispersed nanosheets. Observation of the samples by optical microscopy, scanning electron microscopy (SEM), and atomic force microscopy (AFM), showed dispersion homogeneity of the sheets at micro and nano scales. Study of graphene-epoxy composites showed good bonding between graphene and epoxy. Mechanical properties of the samples were consistent with theoretical predictions for ideal composites indicating molecular level dispersion and good bonding between nanosheets and epoxy matrix.", "author" : [ { "dropping-particle" : "", "family" : "Gudarzi", "given" : "M. Moazzami", "non-dropping-particle" : "", "parse-names" : false, "suffix" : "" }, { "dropping-particle" : "", "family" : "Sharif", "given" : "F.", "non-dropping-particle" : "", "parse-names" : false, "suffix" : "" } ], "container-title" : "Express Polymer Letters", "id" : "ITEM-1", "issue" : "12", "issued" : { "date-parts" : [ [ "2012" ] ] }, "page" : "1017-1031", "title" : "Enhancement of dispersion and bonding of graphene-polymer through wet transfer of functionalized graphene oxide", "type" : "article-journal", "volume" : "6" }, "uris" : [ "http://www.mendeley.com/documents/?uuid=57f6c8df-1ce7-427c-883e-438e0d493f09" ] }, { "id" : "ITEM-2", "itemData" : { "DOI" : "10.1021/nn100511a", "ISBN" : "1936-0851", "ISSN" : "19360851", "PMID" : "20586422", "abstract" : "Refluxing graphene oxide (GO) in N-methyl-2-pyrrolidinone (NMP) results in deoxygenation and reduction to yield a stable colloidal dispersion. The solvothermal reduction is accompanied by a color change from light brown to black. Atomic force microscopy (AFM) and scanning electron microscopy (SEM) images of the product confirm the presence of single sheets of the solvothermally reduced graphene oxide (SRGO). X-ray photoelectron spectroscopy (XPS) of SRGO indicates a significant increase in intensity of the C=C bond character, while the oxygen content decreases markedly after the reduction is complete. X-ray diffraction analysis of SRGO shows a single broad peak at 26.24 degrees 2theta (3.4 A), confirming the presence of graphitic stacking of reduced sheets. SRGO sheets are redispersible in a variety of organic solvents, which may hold promise as an acceptor material for bulk heterojunction photovoltaic cells, or electromagnetic interference shielding applications.", "author" : [ { "dropping-particle" : "", "family" : "Dubin", "given" : "Sergey", "non-dropping-particle" : "", "parse-names" : false, "suffix" : "" }, { "dropping-particle" : "", "family" : "Gilje", "given" : "Scott", "non-dropping-particle" : "", "parse-names" : false, "suffix" : "" }, { "dropping-particle" : "", "family" : "Wang", "given" : "Kan", "non-dropping-particle" : "", "parse-names" : false, "suffix" : "" }, { "dropping-particle" : "", "family" : "Tung", "given" : "Vincent C.", "non-dropping-particle" : "", "parse-names" : false, "suffix" : "" }, { "dropping-particle" : "", "family" : "Cha", "given" : "Kitty", "non-dropping-particle" : "", "parse-names" : false, "suffix" : "" }, { "dropping-particle" : "", "family" : "Hall", "given" : "Anthony S.", "non-dropping-particle" : "", "parse-names" : false, "suffix" : "" }, { "dropping-particle" : "", "family" : "Farrar", "given" : "Jabari", "non-dropping-particle" : "", "parse-names" : false, "suffix" : "" }, { "dropping-particle" : "", "family" : "Varshneya", "given" : "Rupal", "non-dropping-particle" : "", "parse-names" : false, "suffix" : "" }, { "dropping-particle" : "", "family" : "Yang", "given" : "Yang", "non-dropping-particle" : "", "parse-names" : false, "suffix" : "" }, { "dropping-particle" : "", "family" : "Kaner", "given" : "Richard B.", "non-dropping-particle" : "", "parse-names" : false, "suffix" : "" } ], "container-title" : "ACS Nano", "id" : "ITEM-2", "issue" : "7", "issued" : { "date-parts" : [ [ "2010" ] ] }, "page" : "3845-3852", "title" : "A one-step, solvothermal reduction method for producing reduced graphene oxide dispersions in organic solvents", "type" : "article-journal", "volume" : "4" }, "uris" : [ "http://www.mendeley.com/documents/?uuid=fe19a58a-87ce-4048-b228-7d4009af23d4" ] }, { "id" : "ITEM-3", "itemData" : { "DOI" : "10.1021/la801744a", "ISBN" : "0743-7463 (Print)\\r0743-7463 (Linking)", "ISSN" : "07437463", "PMID" : "18759411", "abstract" : "The dispersion behavior of graphene oxide in different organic solvents has been investigated. As-prepared graphite oxide could be dispersed in N,N-dimethylformamide, N-methyl-2-pyrrolidone, tetrahydrofuran, and ethylene glycol. In all of these solvents, full exfoliation of the graphite oxide material into individual, single-layer graphene oxide sheets was achieved by sonication. The graphene oxide dispersions exhibited long-term stability and were made of sheets between a few hundred nanometers and a few micrometers large, similar to the case of graphene oxide dispersions in water. These results should facilitate the manipulation and processing of graphene-based materials for different applications.", "author" : [ { "dropping-particle" : "", "family" : "Parades", "given" : "J. I.", "non-dropping-particle" : "", "parse-names" : false, "suffix" : "" }, { "dropping-particle" : "", "family" : "Villar-Rodil", "given" : "S.", "non-dropping-particle" : "", "parse-names" : false, "suffix" : "" }, { "dropping-particle" : "", "family" : "Mart\u00ednez-Alonso", "given" : "A.", "non-dropping-particle" : "", "parse-names" : false, "suffix" : "" }, { "dropping-particle" : "", "family" : "Tasc\u00f3n", "given" : "J. M.D.", "non-dropping-particle" : "", "parse-names" : false, "suffix" : "" } ], "container-title" : "Langmuir", "id" : "ITEM-3", "issued" : { "date-parts" : [ [ "2008" ] ] }, "page" : "10560-10564", "title" : "Graphene oxide dispersions in organic solvents", "type" : "article-journal", "volume" : "24" }, "uris" : [ "http://www.mendeley.com/documents/?uuid=581b03ef-278a-482b-9fc2-657bf8f23b68" ] }, { "id" : "ITEM-4", "itemData" : { "author" : [ { "dropping-particle" : "", "family" : "Pan", "given" : "Shuyang", "non-dropping-particle" : "", "parse-names" : false, "suffix" : "" }, { "dropping-particle" : "", "family" : "Asay", "given" : "Llan A", "non-dropping-particle" : "", "parse-names" : false, "suffix" : "" } ], "container-title" : "ACS nano", "id" : "ITEM-4", "issued" : { "date-parts" : [ [ "2011" ] ] }, "page" : "4073\u20134083", "title" : "Factors Controlling the Size of Graphene Oxide Sheets Produced via the Graphite Oxide Route", "type" : "article-journal", "volume" : "5" }, "uris" : [ "http://www.mendeley.com/documents/?uuid=8a064da7-4e5e-48c7-ad3d-51cb21f44a2f" ] } ], "mendeley" : { "formattedCitation" : "[48\u201351]", "plainTextFormattedCitation" : "[48\u201351]", "previouslyFormattedCitation" : "[48\u201351]"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[48–51]</w:t>
      </w:r>
      <w:r>
        <w:rPr>
          <w:rFonts w:asciiTheme="majorBidi" w:hAnsiTheme="majorBidi" w:cstheme="majorBidi"/>
          <w:bCs/>
          <w:sz w:val="24"/>
          <w:szCs w:val="24"/>
        </w:rPr>
        <w:fldChar w:fldCharType="end"/>
      </w:r>
      <w:r>
        <w:rPr>
          <w:rFonts w:asciiTheme="majorBidi" w:hAnsiTheme="majorBidi" w:cstheme="majorBidi"/>
          <w:bCs/>
          <w:sz w:val="24"/>
          <w:szCs w:val="24"/>
        </w:rPr>
        <w:t xml:space="preserve">. For reinforced polymer nanocomposites, the dispersion quality of graphene in polymer matrix is a key for the final properties. To date, GO is an attractive intermedia for polymer nanocomposites. This is because: 1) water soluble polymers like PVA can be reinforced by GO aqueous directly followed by reduction. 2) The interfacial interaction between GO and polymers are stronger compared to that of graphene and polymers. Many efforts have been made to disperse graphene and GO in water and organic solvents by modification, which will be discussed later. Paredes et al. studied the dispersion of GO in water and 13 different organic solvents by bath ultrasonication for 1 h. Figure 2.3 shows the digital pictures of as-prepared GO dispersion after 3 weeks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"10.1021/la801744a", "ISBN" : "0743-7463 (Print)\\r0743-7463 (Linking)", "ISSN" : "07437463", "PMID" : "18759411", "abstract" : "The dispersion behavior of graphene oxide in different organic solvents has been investigated. As-prepared graphite oxide could be dispersed in N,N-dimethylformamide, N-methyl-2-pyrrolidone, tetrahydrofuran, and ethylene glycol. In all of these solvents, full exfoliation of the graphite oxide material into individual, single-layer graphene oxide sheets was achieved by sonication. The graphene oxide dispersions exhibited long-term stability and were made of sheets between a few hundred nanometers and a few micrometers large, similar to the case of graphene oxide dispersions in water. These results should facilitate the manipulation and processing of graphene-based materials for different applications.", "author" : [ { "dropping-particle" : "", "family" : "Parades", "given" : "J. I.", "non-dropping-particle" : "", "parse-names" : false, "suffix" : "" }, { "dropping-particle" : "", "family" : "Villar-Rodil", "given" : "S.", "non-dropping-particle" : "", "parse-names" : false, "suffix" : "" }, { "dropping-particle" : "", "family" : "Mart\u00ednez-Alonso", "given" : "A.", "non-dropping-particle" : "", "parse-names" : false, "suffix" : "" }, { "dropping-particle" : "", "family" : "Tasc\u00f3n", "given" : "J. M.D.", "non-dropping-particle" : "", "parse-names" : false, "suffix" : "" } ], "container-title" : "Langmuir", "id" : "ITEM-1", "issued" : { "date-parts" : [ [ "2008" ] ] }, "page" : "10560-10564", "title" : "Graphene oxide dispersions in organic solvents", "type" : "article-journal", "volume" : "24" }, "uris" : [ "http://www.mendeley.com/documents/?uuid=581b03ef-278a-482b-9fc2-657bf8f23b68" ] } ], "mendeley" : { "formattedCitation" : "[50]", "plainTextFormattedCitation" : "[50]", "previouslyFormattedCitation" : "[50]"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[50]</w:t>
      </w:r>
      <w:r>
        <w:rPr>
          <w:rFonts w:ascii="Times New Roman" w:hAnsi="Times New Roman" w:cs="Times New Roman"/>
          <w:sz w:val="24"/>
          <w:szCs w:val="24"/>
        </w:rPr>
        <w:fldChar w:fldCharType="end"/>
      </w:r>
      <w:r>
        <w:rPr>
          <w:rFonts w:asciiTheme="majorBidi" w:hAnsiTheme="majorBidi" w:cstheme="majorBidi"/>
          <w:bCs/>
          <w:sz w:val="24"/>
          <w:szCs w:val="24"/>
        </w:rPr>
        <w:t xml:space="preserve">. UV-vis and AFM were employed to investigate the dispersion capability and thickness of GO. DMF, THF, NMP, and ethylene glycol displayed similar dispersion as that in water, with an average thickness of 1.0-1.4 nm, indicating that GO was exfoliated into single to few layers in these four organic solvents. However, other solvents shoed a bad dispersion of GO. The mechanism of the dispersion of GO in solvents are not clear, but one possible reason is the polarity of solvent molecules. Solvents with high electrical dipole moment value can offer good GO-solvent interaction, resulting in a good dispersion of GO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"10.1021/nl080649i", "author" : [ { "dropping-particle" : "", "family" : "Blake", "given" : "P", "non-dropping-particle" : "", "parse-names" : false, "suffix" : "" }, { "dropping-particle" : "", "family" : "Brimicombe", "given" : "P D", "non-dropping-particle" : "", "parse-names" : false, "suffix" : "" }, { "dropping-particle" : "", "family" : "Nair", "given" : "R R", "non-dropping-particle" : "", "parse-names" : false, "suffix" : "" }, { "dropping-particle" : "", "family" : "Booth", "given" : "T J", "non-dropping-particle" : "", "parse-names" : false, "suffix" : "" }, { "dropping-particle" : "", "family" : "Jiang", "given" : "D", "non-dropping-particle" : "", "parse-names" : false, "suffix" : "" }, { "dropping-particle" : "", "family" : "Schedin", "given" : "F", "non-dropping-particle" : "", "parse-names" : false, "suffix" : "" }, { "dropping-particle" : "", "family" : "Ponomarenko", "given" : "L A", "non-dropping-particle" : "", "parse-names" : false, "suffix" : "" }, { "dropping-particle" : "V", "family" : "Morozov", "given" : "S", "non-dropping-particle" : "", "parse-names" : false, "suffix" : "" }, { "dropping-particle" : "", "family" : "Gleeson", "given" : "H F", "non-dropping-particle" : "", "parse-names" : false, "suffix" : "" }, { "dropping-particle" : "", "family" : "Hill", "given" : "E W", "non-dropping-particle" : "", "parse-names" : false, "suffix" : "" }, { "dropping-particle" : "", "family" : "Geim", "given" : "A K", "non-dropping-particle" : "", "parse-names" : false, "suffix" : "" }, { "dropping-particle" : "", "family" : "Novoselov", "given" : "K S", "non-dropping-particle" : "", "parse-names" : false, "suffix" : "" } ], "container-title" : "Nano Letter", "id" : "ITEM-1", "issue" : "6", "issued" : { "date-parts" : [ [ "2008" ] ] }, "page" : "1704-1708", "title" : "Graphene-Based Liquid Crystal Device", "type" : "article-journal", "volume" : "8" }, "uris" : [ "http://www.mendeley.com/documents/?uuid=bdd74933-bede-4cd6-b324-6c1c3864d0b8" ] }, { "id" : "ITEM-2", "itemData" : { "DOI" : "10.1021/la801744a", "ISBN" : "0743-7463 (Print)\\r0743-7463 (Linking)", "ISSN" : "07437463", "PMID" : "18759411", "abstract" : "The dispersion behavior of graphene oxide in different organic solvents has been investigated. As-prepared graphite oxide could be dispersed in N,N-dimethylformamide, N-methyl-2-pyrrolidone, tetrahydrofuran, and ethylene glycol. In all of these solvents, full exfoliation of the graphite oxide material into individual, single-layer graphene oxide sheets was achieved by sonication. The graphene oxide dispersions exhibited long-term stability and were made of sheets between a few hundred nanometers and a few micrometers large, similar to the case of graphene oxide dispersions in water. These results should facilitate the manipulation and processing of graphene-based materials for different applications.", "author" : [ { "dropping-particle" : "", "family" : "Parades", "given" : "J. I.", "non-dropping-particle" : "", "parse-names" : false, "suffix" : "" }, { "dropping-particle" : "", "family" : "Villar-Rodil", "given" : "S.", "non-dropping-particle" : "", "parse-names" : false, "suffix" : "" }, { "dropping-particle" : "", "family" : "Mart\u00ednez-Alonso", "given" : "A.", "non-dropping-particle" : "", "parse-names" : false, "suffix" : "" }, { "dropping-particle" : "", "family" : "Tasc\u00f3n", "given" : "J. M.D.", "non-dropping-particle" : "", "parse-names" : false, "suffix" : "" } ], "container-title" : "Langmuir", "id" : "ITEM-2", "issued" : { "date-parts" : [ [ "2008" ] ] }, "page" : "10560-10564", "title" : "Graphene oxide dispersions in organic solvents", "type" : "article-journal", "volume" : "24" }, "uris" : [ "http://www.mendeley.com/documents/?uuid=581b03ef-278a-482b-9fc2-657bf8f23b68" ] } ], "mendeley" : { "formattedCitation" : "[50,52]", "plainTextFormattedCitation" : "[50,52]", "previouslyFormattedCitation" : "[50,52]"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[50,52]</w:t>
      </w:r>
      <w:r>
        <w:rPr>
          <w:rFonts w:ascii="Times New Roman" w:hAnsi="Times New Roman" w:cs="Times New Roman"/>
          <w:sz w:val="24"/>
          <w:szCs w:val="24"/>
        </w:rPr>
        <w:fldChar w:fldCharType="end"/>
      </w:r>
      <w:r>
        <w:rPr>
          <w:rFonts w:asciiTheme="majorBidi" w:hAnsiTheme="majorBidi" w:cstheme="majorBidi"/>
          <w:bCs/>
          <w:sz w:val="24"/>
          <w:szCs w:val="24"/>
        </w:rPr>
        <w:t>.</w:t>
      </w:r>
    </w:p>
    <w:p w14:paraId="559BD9E7" w14:textId="77777777" w:rsidR="003C6953" w:rsidRDefault="003C6953" w:rsidP="003C6953">
      <w:pPr>
        <w:spacing w:after="0" w:line="480" w:lineRule="auto"/>
        <w:jc w:val="both"/>
        <w:rPr>
          <w:rFonts w:asciiTheme="majorBidi" w:hAnsiTheme="majorBidi" w:cstheme="majorBidi"/>
          <w:bCs/>
          <w:sz w:val="24"/>
          <w:szCs w:val="24"/>
        </w:rPr>
      </w:pPr>
      <w:r>
        <w:rPr>
          <w:rFonts w:asciiTheme="majorBidi" w:hAnsiTheme="majorBidi" w:cstheme="majorBidi"/>
          <w:bCs/>
          <w:noProof/>
          <w:sz w:val="24"/>
          <w:szCs w:val="24"/>
          <w:lang w:val="en-GB"/>
        </w:rPr>
        <w:drawing>
          <wp:inline distT="0" distB="0" distL="0" distR="0" wp14:anchorId="4B9A3EAD" wp14:editId="77633EF9">
            <wp:extent cx="5747619" cy="2580016"/>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7978" cy="2584666"/>
                    </a:xfrm>
                    <a:prstGeom prst="rect">
                      <a:avLst/>
                    </a:prstGeom>
                    <a:noFill/>
                  </pic:spPr>
                </pic:pic>
              </a:graphicData>
            </a:graphic>
          </wp:inline>
        </w:drawing>
      </w:r>
    </w:p>
    <w:p w14:paraId="57035A51" w14:textId="49937971" w:rsidR="003C6953" w:rsidRDefault="002D03C9" w:rsidP="00F63BFB">
      <w:pPr>
        <w:pStyle w:val="Caption"/>
        <w:ind w:firstLine="0"/>
        <w:rPr>
          <w:rFonts w:asciiTheme="majorBidi" w:hAnsiTheme="majorBidi" w:cstheme="majorBidi"/>
          <w:bCs/>
          <w:szCs w:val="24"/>
        </w:rPr>
      </w:pPr>
      <w:bookmarkStart w:id="16" w:name="_Toc502661642"/>
      <w:bookmarkStart w:id="17" w:name="_Toc518823380"/>
      <w:r>
        <w:t>Figure 2.</w:t>
      </w:r>
      <w:r w:rsidR="00F63BFB">
        <w:fldChar w:fldCharType="begin"/>
      </w:r>
      <w:r w:rsidR="00F63BFB">
        <w:instrText xml:space="preserve"> SEQ Figure_2. \* ARABIC </w:instrText>
      </w:r>
      <w:r w:rsidR="00F63BFB">
        <w:fldChar w:fldCharType="separate"/>
      </w:r>
      <w:r w:rsidR="00551ED9">
        <w:rPr>
          <w:noProof/>
        </w:rPr>
        <w:t>3</w:t>
      </w:r>
      <w:r w:rsidR="00F63BFB">
        <w:fldChar w:fldCharType="end"/>
      </w:r>
      <w:r w:rsidR="00F63BFB">
        <w:t xml:space="preserve">. </w:t>
      </w:r>
      <w:r w:rsidR="003C6953">
        <w:rPr>
          <w:rFonts w:cs="Times New Roman"/>
          <w:szCs w:val="24"/>
        </w:rPr>
        <w:t xml:space="preserve">Digital images of GO in water and 13 organic solvents after ultra-sonication and after 3 weeks (Reproduced from reference </w:t>
      </w:r>
      <w:r w:rsidR="003C6953">
        <w:rPr>
          <w:rFonts w:cs="Times New Roman"/>
          <w:szCs w:val="24"/>
        </w:rPr>
        <w:fldChar w:fldCharType="begin" w:fldLock="1"/>
      </w:r>
      <w:r w:rsidR="00D14688">
        <w:rPr>
          <w:rFonts w:cs="Times New Roman"/>
          <w:szCs w:val="24"/>
        </w:rPr>
        <w:instrText>ADDIN CSL_CITATION { "citationItems" : [ { "id" : "ITEM-1", "itemData" : { "DOI" : "10.1021/la801744a", "ISBN" : "0743-7463 (Print)\\r0743-7463 (Linking)", "ISSN" : "07437463", "PMID" : "18759411", "abstract" : "The dispersion behavior of graphene oxide in different organic solvents has been investigated. As-prepared graphite oxide could be dispersed in N,N-dimethylformamide, N-methyl-2-pyrrolidone, tetrahydrofuran, and ethylene glycol. In all of these solvents, full exfoliation of the graphite oxide material into individual, single-layer graphene oxide sheets was achieved by sonication. The graphene oxide dispersions exhibited long-term stability and were made of sheets between a few hundred nanometers and a few micrometers large, similar to the case of graphene oxide dispersions in water. These results should facilitate the manipulation and processing of graphene-based materials for different applications.", "author" : [ { "dropping-particle" : "", "family" : "Parades", "given" : "J. I.", "non-dropping-particle" : "", "parse-names" : false, "suffix" : "" }, { "dropping-particle" : "", "family" : "Villar-Rodil", "given" : "S.", "non-dropping-particle" : "", "parse-names" : false, "suffix" : "" }, { "dropping-particle" : "", "family" : "Mart\u00ednez-Alonso", "given" : "A.", "non-dropping-particle" : "", "parse-names" : false, "suffix" : "" }, { "dropping-particle" : "", "family" : "Tasc\u00f3n", "given" : "J. M.D.", "non-dropping-particle" : "", "parse-names" : false, "suffix" : "" } ], "container-title" : "Langmuir", "id" : "ITEM-1", "issued" : { "date-parts" : [ [ "2008" ] ] }, "page" : "10560-10564", "title" : "Graphene oxide dispersions in organic solvents", "type" : "article-journal", "volume" : "24" }, "uris" : [ "http://www.mendeley.com/documents/?uuid=581b03ef-278a-482b-9fc2-657bf8f23b68" ] } ], "mendeley" : { "formattedCitation" : "[50]", "plainTextFormattedCitation" : "[50]", "previouslyFormattedCitation" : "[50]" }, "properties" : {  }, "schema" : "https://github.com/citation-style-language/schema/raw/master/csl-citation.json" }</w:instrText>
      </w:r>
      <w:r w:rsidR="003C6953">
        <w:rPr>
          <w:rFonts w:cs="Times New Roman"/>
          <w:szCs w:val="24"/>
        </w:rPr>
        <w:fldChar w:fldCharType="separate"/>
      </w:r>
      <w:r w:rsidR="00D973A8" w:rsidRPr="00D973A8">
        <w:rPr>
          <w:rFonts w:cs="Times New Roman"/>
          <w:b w:val="0"/>
          <w:noProof/>
          <w:szCs w:val="24"/>
        </w:rPr>
        <w:t>[50]</w:t>
      </w:r>
      <w:r w:rsidR="003C6953">
        <w:rPr>
          <w:rFonts w:cs="Times New Roman"/>
          <w:szCs w:val="24"/>
        </w:rPr>
        <w:fldChar w:fldCharType="end"/>
      </w:r>
      <w:r w:rsidR="003C6953">
        <w:rPr>
          <w:rFonts w:cs="Times New Roman"/>
          <w:szCs w:val="24"/>
        </w:rPr>
        <w:t>).</w:t>
      </w:r>
      <w:bookmarkEnd w:id="16"/>
      <w:bookmarkEnd w:id="17"/>
    </w:p>
    <w:p w14:paraId="1D9DE968" w14:textId="6B698BCB" w:rsidR="003C6953" w:rsidRDefault="002D03C9" w:rsidP="003C6953">
      <w:pPr>
        <w:pStyle w:val="Heading2"/>
        <w:spacing w:before="0"/>
      </w:pPr>
      <w:bookmarkStart w:id="18" w:name="_Toc518823229"/>
      <w:r>
        <w:t>2.</w:t>
      </w:r>
      <w:r w:rsidR="003C6953" w:rsidRPr="00ED043B">
        <w:t>3.4. Modification of Graphene</w:t>
      </w:r>
      <w:bookmarkEnd w:id="18"/>
    </w:p>
    <w:p w14:paraId="4E100017" w14:textId="51590171"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Owing to its hydrophobic nature and tendency to agglomerate, the dispersion of graphene in water, organic solvents and polymeric matrix is a big challenge for fabrication of graphene based composites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"10.1016/j.progpolymsci.2010.07.005", "ISBN" : "0079-6700", "ISSN" : "00796700", "abstract" : "This paper reviews recent advances in the modification of graphene and the fabrication of graphene-based polymer nanocomposites. Recently, graphene has attracted both academic and industrial interest because it can produce a dramatic improvement in properties at very low filler content. The modification of graphene/graphene oxide and the utilization of these materials in the fabrication of nanocomposites with different polymer matrixes have been explored. Different organic polymers have been used to fabricate graphene filled polymer nanocomposites by a range of methods. In the case of modified graphene-based polymer nanocomposites, the percolation threshold can be achieved at a very lower filler loading. Herein, the structure, preparation and properties of polymer/graphene nanocomposites are discussed in general along with detailed examples drawn from the scientific literature. (C) 2010 Elsevier Ltd. All rights reserved.", "author" : [ { "dropping-particle" : "", "family" : "Kuilla", "given" : "T", "non-dropping-particle" : "", "parse-names" : false, "suffix" : "" }, { "dropping-particle" : "", "family" : "Bhadra", "given" : "S", "non-dropping-particle" : "", "parse-names" : false, "suffix" : "" }, { "dropping-particle" : "", "family" : "Yao", "given" : "D H", "non-dropping-particle" : "", "parse-names" : false, "suffix" : "" }, { "dropping-particle" : "", "family" : "Kim", "given" : "N H", "non-dropping-particle" : "", "parse-names" : false, "suffix" : "" }, { "dropping-particle" : "", "family" : "Bose", "given" : "S", "non-dropping-particle" : "", "parse-names" : false, "suffix" : "" }, { "dropping-particle" : "", "family" : "Lee", "given" : "J H", "non-dropping-particle" : "", "parse-names" : false, "suffix" : "" } ], "container-title" : "Progress in Polymer Science", "id" : "ITEM-1", "issued" : { "date-parts" : [ [ "2010" ] ] }, "page" : "1350-1375", "publisher" : "Elsevier Ltd", "title" : "Recent advances in graphene based polymer composites", "type" : "article-journal", "volume" : "35" }, "uris" : [ "http://www.mendeley.com/documents/?uuid=4234a7ea-c35a-411a-a713-f4550a647c2e" ] }, { "id" : "ITEM-2",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"ITEM-2", "issue" : "7", "issued" : { "date-parts" : [ [ "2007" ] ] }, "page" : "1558-1565", "title" : "Synthesis of graphene-based nanosheets via chemical reduction of exfoliated graphite oxide", "type" : "article-journal", "volume" : "45" }, "uris" : [ "http://www.mendeley.com/documents/?uuid=7d96f1a7-d047-463c-8a60-e43142ea0559" ] } ], "mendeley" : { "formattedCitation" : "[34,44]", "plainTextFormattedCitation" : "[34,44]", "previouslyFormattedCitation" : "[34,44]"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[34,44]</w:t>
      </w:r>
      <w:r>
        <w:rPr>
          <w:rFonts w:ascii="Times New Roman" w:hAnsi="Times New Roman" w:cs="Times New Roman"/>
          <w:sz w:val="24"/>
          <w:szCs w:val="24"/>
        </w:rPr>
        <w:fldChar w:fldCharType="end"/>
      </w:r>
      <w:r>
        <w:rPr>
          <w:rFonts w:ascii="Times New Roman" w:hAnsi="Times New Roman" w:cs="Times New Roman"/>
          <w:sz w:val="24"/>
          <w:szCs w:val="24"/>
        </w:rPr>
        <w:t xml:space="preserve">. The surface modification of graphene/GO can facilitate the dispersion of graphene and stabilize graphene in organic solvents and polymer matrix to prevent agglomeration. To date, graphene can be modified by chemical modification, π-π interaction, and electrochemical modification methods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"10.1007/s12274-014-0622-9", "ISBN" : "1998-0124\\r1998-0000", "ISSN" : "19980000", "abstract" : "Graphene has attracted the interest of chemists, physicists, and\\nmaterials scientists due to its extraordinary structural, mechanical,\\nand electronic properties. While pristine graphene is desirable for\\napplications that require a high electrical conductivity, many other\\napplications require modified or functionalized forms of graphene, such\\nas graphene oxide, reduced graphene, or other functionalized forms.\\nStructurally modifying graphene through chemical functionalization\\nreveals the numerous possibilities for tuning its structure; several\\nchemical and physical functionalization methods have been explored to\\nimprove the stabilization and modification of graphene. In this review,\\nwe report recent progress towards the chemical modification of graphene,\\nincluding both covalent and noncovalent methods, for use in various\\napplications.", "author" : [ { "dropping-particle" : "", "family" : "Lonkar", "given" : "Sunil P.", "non-dropping-particle" : "", "parse-names" : false, "suffix" : "" }, { "dropping-particle" : "", "family" : "Deshmukh", "given" : "Yogesh S.", "non-dropping-particle" : "", "parse-names" : false, "suffix" : "" }, { "dropping-particle" : "", "family" : "Abdala", "given" : "Ahmed A.", "non-dropping-particle" : "", "parse-names" : false, "suffix" : "" } ], "container-title" : "Nano Research", "id" : "ITEM-1", "issue" : "4", "issued" : { "date-parts" : [ [ "2015" ] ] }, "page" : "1-38", "publisher" : "Springer", "title" : "Recent advances in chemical modifications of graphene", "type" : "article-journal", "volume" : "8" }, "uris" : [ "http://www.mendeley.com/documents/?uuid=6176864e-6f4c-482c-b899-7df4415ea0f9" ] } ], "mendeley" : { "formattedCitation" : "[53]", "plainTextFormattedCitation" : "[53]", "previouslyFormattedCitation" : "[53]"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[53]</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56E04CDE" w14:textId="77777777" w:rsidR="003C6953" w:rsidRDefault="003C6953" w:rsidP="003C6953">
      <w:pPr>
        <w:spacing w:after="0" w:line="480" w:lineRule="auto"/>
        <w:jc w:val="both"/>
        <w:rPr>
          <w:rFonts w:ascii="Times New Roman" w:hAnsi="Times New Roman" w:cs="Times New Roman"/>
          <w:sz w:val="24"/>
          <w:szCs w:val="24"/>
        </w:rPr>
      </w:pPr>
    </w:p>
    <w:p w14:paraId="75F1CAAB" w14:textId="0D85F0B5" w:rsidR="003C6953" w:rsidRDefault="00B06015" w:rsidP="003C6953">
      <w:pPr>
        <w:pStyle w:val="Heading3"/>
        <w:spacing w:before="0"/>
        <w:ind w:left="720" w:hanging="720"/>
      </w:pPr>
      <w:bookmarkStart w:id="19" w:name="_Toc518823230"/>
      <w:r>
        <w:t>2.</w:t>
      </w:r>
      <w:r w:rsidR="003C6953">
        <w:t>3.4.1. Chemical modification of graphene</w:t>
      </w:r>
      <w:bookmarkEnd w:id="19"/>
    </w:p>
    <w:p w14:paraId="57F90326" w14:textId="77777777"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Chemical modification is normally carried out after the oxidation of graphene. It is an attractive way because it can improve the dispersion of graphene in organic solvents and polymeric matrix, as well as enhance the interfacial interaction with polymers. Lots of work based on chemical modification has been reported including, covalent modification, non-covalent modification, reduction of GO in a stabilization medium, etc.</w:t>
      </w:r>
    </w:p>
    <w:p w14:paraId="06FA9A8E" w14:textId="77777777" w:rsidR="003C6953" w:rsidRDefault="003C6953" w:rsidP="003C6953">
      <w:pPr>
        <w:spacing w:after="0" w:line="480" w:lineRule="auto"/>
        <w:jc w:val="both"/>
        <w:rPr>
          <w:rFonts w:ascii="Times New Roman" w:hAnsi="Times New Roman" w:cs="Times New Roman"/>
          <w:sz w:val="24"/>
          <w:szCs w:val="24"/>
        </w:rPr>
      </w:pPr>
    </w:p>
    <w:p w14:paraId="5707F394" w14:textId="77777777" w:rsidR="003C6953" w:rsidRDefault="003C6953" w:rsidP="0005778C">
      <w:pPr>
        <w:pStyle w:val="Subtitle"/>
      </w:pPr>
      <w:r w:rsidRPr="009D4E2C">
        <w:t>Covalent modification of graphene</w:t>
      </w:r>
      <w:r>
        <w:t xml:space="preserve"> oxide</w:t>
      </w:r>
    </w:p>
    <w:p w14:paraId="6718653B" w14:textId="6F8E1781" w:rsidR="003C6953" w:rsidRDefault="003C6953" w:rsidP="003C6953">
      <w:pPr>
        <w:spacing w:after="0" w:line="480" w:lineRule="auto"/>
        <w:jc w:val="both"/>
        <w:rPr>
          <w:rFonts w:ascii="Times New Roman" w:hAnsi="Times New Roman" w:cs="Times New Roman"/>
          <w:sz w:val="24"/>
          <w:szCs w:val="24"/>
        </w:rPr>
      </w:pPr>
      <w:r w:rsidRPr="00666BBF">
        <w:rPr>
          <w:rFonts w:ascii="Times New Roman" w:hAnsi="Times New Roman" w:cs="Times New Roman"/>
          <w:sz w:val="24"/>
          <w:szCs w:val="24"/>
        </w:rPr>
        <w:t xml:space="preserve">Covalent modification of graphene is </w:t>
      </w:r>
      <w:r>
        <w:rPr>
          <w:rFonts w:ascii="Times New Roman" w:hAnsi="Times New Roman" w:cs="Times New Roman"/>
          <w:sz w:val="24"/>
          <w:szCs w:val="24"/>
        </w:rPr>
        <w:t xml:space="preserve">one of </w:t>
      </w:r>
      <w:r w:rsidRPr="00666BBF">
        <w:rPr>
          <w:rFonts w:ascii="Times New Roman" w:hAnsi="Times New Roman" w:cs="Times New Roman"/>
          <w:sz w:val="24"/>
          <w:szCs w:val="24"/>
        </w:rPr>
        <w:t xml:space="preserve">most common method to modify graphene, including amination, esterification, </w:t>
      </w:r>
      <w:r>
        <w:rPr>
          <w:rFonts w:ascii="Times New Roman" w:hAnsi="Times New Roman" w:cs="Times New Roman"/>
          <w:sz w:val="24"/>
          <w:szCs w:val="24"/>
        </w:rPr>
        <w:t xml:space="preserve">and </w:t>
      </w:r>
      <w:r w:rsidRPr="00666BBF">
        <w:rPr>
          <w:rFonts w:ascii="Times New Roman" w:hAnsi="Times New Roman" w:cs="Times New Roman"/>
          <w:sz w:val="24"/>
          <w:szCs w:val="24"/>
        </w:rPr>
        <w:t>isocyanate</w:t>
      </w:r>
      <w:r>
        <w:rPr>
          <w:rFonts w:ascii="Times New Roman" w:hAnsi="Times New Roman" w:cs="Times New Roman"/>
          <w:sz w:val="24"/>
          <w:szCs w:val="24"/>
        </w:rPr>
        <w:t>/diisocyanate</w:t>
      </w:r>
      <w:r w:rsidRPr="00666BBF">
        <w:rPr>
          <w:rFonts w:ascii="Times New Roman" w:hAnsi="Times New Roman" w:cs="Times New Roman"/>
          <w:sz w:val="24"/>
          <w:szCs w:val="24"/>
        </w:rPr>
        <w:t xml:space="preserve"> modificatio</w:t>
      </w:r>
      <w:r>
        <w:rPr>
          <w:rFonts w:ascii="Times New Roman" w:hAnsi="Times New Roman" w:cs="Times New Roman"/>
          <w:sz w:val="24"/>
          <w:szCs w:val="24"/>
        </w:rPr>
        <w:t xml:space="preserve">n </w:t>
      </w:r>
      <w:r w:rsidRPr="00666BBF">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"10.1016/j.progpolymsci.2010.07.005", "ISBN" : "0079-6700", "ISSN" : "00796700", "abstract" : "This paper reviews recent advances in the modification of graphene and the fabrication of graphene-based polymer nanocomposites. Recently, graphene has attracted both academic and industrial interest because it can produce a dramatic improvement in properties at very low filler content. The modification of graphene/graphene oxide and the utilization of these materials in the fabrication of nanocomposites with different polymer matrixes have been explored. Different organic polymers have been used to fabricate graphene filled polymer nanocomposites by a range of methods. In the case of modified graphene-based polymer nanocomposites, the percolation threshold can be achieved at a very lower filler loading. Herein, the structure, preparation and properties of polymer/graphene nanocomposites are discussed in general along with detailed examples drawn from the scientific literature. (C) 2010 Elsevier Ltd. All rights reserved.", "author" : [ { "dropping-particle" : "", "family" : "Kuilla", "given" : "T", "non-dropping-particle" : "", "parse-names" : false, "suffix" : "" }, { "dropping-particle" : "", "family" : "Bhadra", "given" : "S", "non-dropping-particle" : "", "parse-names" : false, "suffix" : "" }, { "dropping-particle" : "", "family" : "Yao", "given" : "D H", "non-dropping-particle" : "", "parse-names" : false, "suffix" : "" }, { "dropping-particle" : "", "family" : "Kim", "given" : "N H", "non-dropping-particle" : "", "parse-names" : false, "suffix" : "" }, { "dropping-particle" : "", "family" : "Bose", "given" : "S", "non-dropping-particle" : "", "parse-names" : false, "suffix" : "" }, { "dropping-particle" : "", "family" : "Lee", "given" : "J H", "non-dropping-particle" : "", "parse-names" : false, "suffix" : "" } ], "container-title" : "Progress in Polymer Science", "id" : "ITEM-1", "issued" : { "date-parts" : [ [ "2010" ] ] }, "page" : "1350-1375", "publisher" : "Elsevier Ltd", "title" : "Recent advances in graphene based polymer composites", "type" : "article-journal", "volume" : "35" }, "uris" : [ "http://www.mendeley.com/documents/?uuid=4234a7ea-c35a-411a-a713-f4550a647c2e" ] } ], "mendeley" : { "formattedCitation" : "[44]", "plainTextFormattedCitation" : "[44]", "previouslyFormattedCitation" : "[44]" }, "properties" : {  }, "schema" : "https://github.com/citation-style-language/schema/raw/master/csl-citation.json" }</w:instrText>
      </w:r>
      <w:r w:rsidRPr="00666BBF">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[44]</w:t>
      </w:r>
      <w:r w:rsidRPr="00666BBF">
        <w:rPr>
          <w:rFonts w:ascii="Times New Roman" w:hAnsi="Times New Roman" w:cs="Times New Roman"/>
          <w:sz w:val="24"/>
          <w:szCs w:val="24"/>
        </w:rPr>
        <w:fldChar w:fldCharType="end"/>
      </w:r>
      <w:r w:rsidRPr="00666BBF">
        <w:rPr>
          <w:rFonts w:ascii="Times New Roman" w:hAnsi="Times New Roman" w:cs="Times New Roman"/>
          <w:sz w:val="24"/>
          <w:szCs w:val="24"/>
        </w:rPr>
        <w:t xml:space="preserve">. </w:t>
      </w:r>
      <w:r>
        <w:rPr>
          <w:rFonts w:ascii="Times New Roman" w:hAnsi="Times New Roman" w:cs="Times New Roman"/>
          <w:sz w:val="24"/>
          <w:szCs w:val="24"/>
        </w:rPr>
        <w:t xml:space="preserve">Nanocomposites based on the covalently modified GO exhibits better homogeneity, resulting in great mechanical properties and electrical properties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"10.1007/s12274-014-0622-9", "ISBN" : "1998-0124\\r1998-0000", "ISSN" : "19980000", "abstract" : "Graphene has attracted the interest of chemists, physicists, and\\nmaterials scientists due to its extraordinary structural, mechanical,\\nand electronic properties. While pristine graphene is desirable for\\napplications that require a high electrical conductivity, many other\\napplications require modified or functionalized forms of graphene, such\\nas graphene oxide, reduced graphene, or other functionalized forms.\\nStructurally modifying graphene through chemical functionalization\\nreveals the numerous possibilities for tuning its structure; several\\nchemical and physical functionalization methods have been explored to\\nimprove the stabilization and modification of graphene. In this review,\\nwe report recent progress towards the chemical modification of graphene,\\nincluding both covalent and noncovalent methods, for use in various\\napplications.", "author" : [ { "dropping-particle" : "", "family" : "Lonkar", "given" : "Sunil P.", "non-dropping-particle" : "", "parse-names" : false, "suffix" : "" }, { "dropping-particle" : "", "family" : "Deshmukh", "given" : "Yogesh S.", "non-dropping-particle" : "", "parse-names" : false, "suffix" : "" }, { "dropping-particle" : "", "family" : "Abdala", "given" : "Ahmed A.", "non-dropping-particle" : "", "parse-names" : false, "suffix" : "" } ], "container-title" : "Nano Research", "id" : "ITEM-1", "issue" : "4", "issued" : { "date-parts" : [ [ "2015" ] ] }, "page" : "1-38", "publisher" : "Springer", "title" : "Recent advances in chemical modifications of graphene", "type" : "article-journal", "volume" : "8" }, "uris" : [ "http://www.mendeley.com/documents/?uuid=6176864e-6f4c-482c-b899-7df4415ea0f9" ] } ], "mendeley" : { "formattedCitation" : "[53]", "plainTextFormattedCitation" : "[53]", "previouslyFormattedCitation" : "[53]"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[53]</w:t>
      </w:r>
      <w:r>
        <w:rPr>
          <w:rFonts w:ascii="Times New Roman" w:hAnsi="Times New Roman" w:cs="Times New Roman"/>
          <w:sz w:val="24"/>
          <w:szCs w:val="24"/>
        </w:rPr>
        <w:fldChar w:fldCharType="end"/>
      </w:r>
      <w:r>
        <w:rPr>
          <w:rFonts w:ascii="Times New Roman" w:hAnsi="Times New Roman" w:cs="Times New Roman"/>
          <w:sz w:val="24"/>
          <w:szCs w:val="24"/>
        </w:rPr>
        <w:t>. Niyogi et al. synthesized modified GO by amination method, in which octadecylamine (ODA) was used to couple with GO, thionyl chloride (SOCl</w:t>
      </w:r>
      <w:r w:rsidRPr="007F6F0C">
        <w:rPr>
          <w:rFonts w:ascii="Times New Roman" w:hAnsi="Times New Roman" w:cs="Times New Roman"/>
          <w:sz w:val="24"/>
          <w:szCs w:val="24"/>
          <w:vertAlign w:val="subscript"/>
        </w:rPr>
        <w:t>2</w:t>
      </w:r>
      <w:r>
        <w:rPr>
          <w:rFonts w:ascii="Times New Roman" w:hAnsi="Times New Roman" w:cs="Times New Roman"/>
          <w:sz w:val="24"/>
          <w:szCs w:val="24"/>
        </w:rPr>
        <w:t>) was used to active the carboxylic acid groups of GO. This ODA-modified GO was soluble in THF, CCl</w:t>
      </w:r>
      <w:r w:rsidRPr="007F6F0C">
        <w:rPr>
          <w:rFonts w:ascii="Times New Roman" w:hAnsi="Times New Roman" w:cs="Times New Roman"/>
          <w:sz w:val="24"/>
          <w:szCs w:val="24"/>
          <w:vertAlign w:val="subscript"/>
        </w:rPr>
        <w:t>4</w:t>
      </w:r>
      <w:r>
        <w:rPr>
          <w:rFonts w:ascii="Times New Roman" w:hAnsi="Times New Roman" w:cs="Times New Roman"/>
          <w:sz w:val="24"/>
          <w:szCs w:val="24"/>
        </w:rPr>
        <w:t xml:space="preserve">, and 1,2-dichloroethane. Sasha et al. modified GO by isocyanate (iGO) under nitrogen for 24 h and the reaction was quenched by adding methylene chloride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"ITEM-1", "issue" : "7", "issued" : { "date-parts" : [ [ "2007" ] ] }, "page" : "1558-1565", "title" : "Synthesis of graphene-based nanosheets via chemical reduction of exfoliated graphite oxide", "type" : "article-journal", "volume" : "45" }, "uris" : [ "http://www.mendeley.com/documents/?uuid=7d96f1a7-d047-463c-8a60-e43142ea0559" ] } ], "mendeley" : { "formattedCitation" : "[34]", "plainTextFormattedCitation" : "[34]", "previouslyFormattedCitation" : "[34]"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[34]</w:t>
      </w:r>
      <w:r>
        <w:rPr>
          <w:rFonts w:ascii="Times New Roman" w:hAnsi="Times New Roman" w:cs="Times New Roman"/>
          <w:sz w:val="24"/>
          <w:szCs w:val="24"/>
        </w:rPr>
        <w:fldChar w:fldCharType="end"/>
      </w:r>
      <w:r>
        <w:rPr>
          <w:rFonts w:ascii="Times New Roman" w:hAnsi="Times New Roman" w:cs="Times New Roman"/>
          <w:sz w:val="24"/>
          <w:szCs w:val="24"/>
        </w:rPr>
        <w:t>. This iGO can form stable dispersion in most of organic solvents like DMF, THF, NMP, and DMSO.  For amination modification, carboxyl acid groups from GO react with amide groups from amide by formation of carbamate ester and amide groups, as shown in Figure 2.4. Similar to amination, esterification is another important approach for modification of GO by reaction between carboxylic acid groups from GO and -CH</w:t>
      </w:r>
      <w:r w:rsidRPr="007E2D5A">
        <w:rPr>
          <w:rFonts w:ascii="Times New Roman" w:hAnsi="Times New Roman" w:cs="Times New Roman"/>
          <w:sz w:val="24"/>
          <w:szCs w:val="24"/>
          <w:vertAlign w:val="subscript"/>
        </w:rPr>
        <w:t>2</w:t>
      </w:r>
      <w:r>
        <w:rPr>
          <w:rFonts w:ascii="Times New Roman" w:hAnsi="Times New Roman" w:cs="Times New Roman"/>
          <w:sz w:val="24"/>
          <w:szCs w:val="24"/>
        </w:rPr>
        <w:t>OH terminated functional groups from polymers. Yu et al. modified GO by the -CH</w:t>
      </w:r>
      <w:r w:rsidRPr="007E2D5A">
        <w:rPr>
          <w:rFonts w:ascii="Times New Roman" w:hAnsi="Times New Roman" w:cs="Times New Roman"/>
          <w:sz w:val="24"/>
          <w:szCs w:val="24"/>
          <w:vertAlign w:val="subscript"/>
        </w:rPr>
        <w:t>2</w:t>
      </w:r>
      <w:r>
        <w:rPr>
          <w:rFonts w:ascii="Times New Roman" w:hAnsi="Times New Roman" w:cs="Times New Roman"/>
          <w:sz w:val="24"/>
          <w:szCs w:val="24"/>
        </w:rPr>
        <w:t>OH terminated P</w:t>
      </w:r>
      <w:r w:rsidRPr="0016350F">
        <w:rPr>
          <w:rFonts w:ascii="Times New Roman" w:hAnsi="Times New Roman" w:cs="Times New Roman"/>
          <w:sz w:val="24"/>
          <w:szCs w:val="24"/>
          <w:vertAlign w:val="subscript"/>
        </w:rPr>
        <w:t>3</w:t>
      </w:r>
      <w:r>
        <w:rPr>
          <w:rFonts w:ascii="Times New Roman" w:hAnsi="Times New Roman" w:cs="Times New Roman"/>
          <w:sz w:val="24"/>
          <w:szCs w:val="24"/>
        </w:rPr>
        <w:t>HT, and the SOCl</w:t>
      </w:r>
      <w:r w:rsidRPr="00060CD0">
        <w:rPr>
          <w:rFonts w:ascii="Times New Roman" w:hAnsi="Times New Roman" w:cs="Times New Roman"/>
          <w:sz w:val="24"/>
          <w:szCs w:val="24"/>
          <w:vertAlign w:val="subscript"/>
        </w:rPr>
        <w:t>2</w:t>
      </w:r>
      <w:r>
        <w:rPr>
          <w:rFonts w:ascii="Times New Roman" w:hAnsi="Times New Roman" w:cs="Times New Roman"/>
          <w:sz w:val="24"/>
          <w:szCs w:val="24"/>
        </w:rPr>
        <w:t xml:space="preserve"> treated GO was carried out under reflux for 24 h prior to the esterification with P</w:t>
      </w:r>
      <w:r w:rsidRPr="0016350F">
        <w:rPr>
          <w:rFonts w:ascii="Times New Roman" w:hAnsi="Times New Roman" w:cs="Times New Roman"/>
          <w:sz w:val="24"/>
          <w:szCs w:val="24"/>
          <w:vertAlign w:val="subscript"/>
        </w:rPr>
        <w:t>3</w:t>
      </w:r>
      <w:r>
        <w:rPr>
          <w:rFonts w:ascii="Times New Roman" w:hAnsi="Times New Roman" w:cs="Times New Roman"/>
          <w:sz w:val="24"/>
          <w:szCs w:val="24"/>
        </w:rPr>
        <w:t>HT. The GO-P</w:t>
      </w:r>
      <w:r w:rsidRPr="00325639">
        <w:rPr>
          <w:rFonts w:ascii="Times New Roman" w:hAnsi="Times New Roman" w:cs="Times New Roman"/>
          <w:sz w:val="24"/>
          <w:szCs w:val="24"/>
          <w:vertAlign w:val="subscript"/>
        </w:rPr>
        <w:t>3</w:t>
      </w:r>
      <w:r>
        <w:rPr>
          <w:rFonts w:ascii="Times New Roman" w:hAnsi="Times New Roman" w:cs="Times New Roman"/>
          <w:sz w:val="24"/>
          <w:szCs w:val="24"/>
        </w:rPr>
        <w:t xml:space="preserve">HT is soluble in common organic solvents such as THF, DMF, and NMP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"author" : [ { "dropping-particle" : "", "family" : "Yu", "given" : "D.S.", "non-dropping-particle" : "", "parse-names" : false, "suffix" : "" }, { "dropping-particle" : "", "family" : "Yang", "given" : "Y.", "non-dropping-particle" : "", "parse-names" : false, "suffix" : "" }, { "dropping-particle" : "", "family" : "Durstock", "given" : "M.", "non-dropping-particle" : "", "parse-names" : false, "suffix" : "" }, { "dropping-particle" : "", "family" : "Baek", "given" : "J.B.", "non-dropping-particle" : "", "parse-names" : false, "suffix" : "" }, { "dropping-particle" : "", "family" : "Dai", "given" : "L.M.", "non-dropping-particle" : "", "parse-names" : false, "suffix" : "" } ], "container-title" : "Acs Nano", "id" : "ITEM-1", "issued" : { "date-parts" : [ [ "2010" ] ] }, "page" : "5633-5640", "title" : "Soluble P3HT-grafted graphene for efficient bilayer-heterojunction photovoltaic devices", "type" : "article-journal", "volume" : "4" }, "uris" : [ "http://www.mendeley.com/documents/?uuid=95e36ee1-b993-49a3-bd41-e842ba97fc30" ] } ], "mendeley" : { "formattedCitation" : "[54]", "plainTextFormattedCitation" : "[54]", "previouslyFormattedCitation" : "[54]"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[54]</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DF07AED" w14:textId="77777777" w:rsidR="003C6953" w:rsidRPr="009D4E2C" w:rsidRDefault="003C6953" w:rsidP="003C6953">
      <w:pPr>
        <w:spacing w:after="0" w:line="480" w:lineRule="auto"/>
        <w:jc w:val="center"/>
      </w:pPr>
      <w:r>
        <w:rPr>
          <w:noProof/>
          <w:lang w:val="en-GB"/>
        </w:rPr>
        <w:drawing>
          <wp:inline distT="0" distB="0" distL="0" distR="0" wp14:anchorId="3573C547" wp14:editId="55535AF0">
            <wp:extent cx="4947603" cy="2867025"/>
            <wp:effectExtent l="0" t="0" r="571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71735" cy="2881009"/>
                    </a:xfrm>
                    <a:prstGeom prst="rect">
                      <a:avLst/>
                    </a:prstGeom>
                    <a:noFill/>
                  </pic:spPr>
                </pic:pic>
              </a:graphicData>
            </a:graphic>
          </wp:inline>
        </w:drawing>
      </w:r>
    </w:p>
    <w:p w14:paraId="7DA89E8D" w14:textId="36B63153" w:rsidR="003C6953" w:rsidRDefault="00C560D3" w:rsidP="0005778C">
      <w:pPr>
        <w:pStyle w:val="Caption"/>
        <w:ind w:firstLine="0"/>
        <w:rPr>
          <w:rFonts w:cs="Times New Roman"/>
          <w:szCs w:val="24"/>
        </w:rPr>
      </w:pPr>
      <w:bookmarkStart w:id="20" w:name="_Toc502661643"/>
      <w:bookmarkStart w:id="21" w:name="_Toc518823381"/>
      <w:r>
        <w:t>Figure 2.</w:t>
      </w:r>
      <w:r w:rsidR="0005778C">
        <w:fldChar w:fldCharType="begin"/>
      </w:r>
      <w:r w:rsidR="0005778C">
        <w:instrText xml:space="preserve"> SEQ Figure_2. \* ARABIC </w:instrText>
      </w:r>
      <w:r w:rsidR="0005778C">
        <w:fldChar w:fldCharType="separate"/>
      </w:r>
      <w:r w:rsidR="00551ED9">
        <w:rPr>
          <w:noProof/>
        </w:rPr>
        <w:t>4</w:t>
      </w:r>
      <w:r w:rsidR="0005778C">
        <w:fldChar w:fldCharType="end"/>
      </w:r>
      <w:r w:rsidR="0005778C">
        <w:t xml:space="preserve">. </w:t>
      </w:r>
      <w:r w:rsidR="003C6953">
        <w:rPr>
          <w:rFonts w:cs="Times New Roman"/>
          <w:szCs w:val="24"/>
        </w:rPr>
        <w:t xml:space="preserve">Schematic diagram of the formation of carbamate and amide functionalities of iGO (Reproduced from reference </w:t>
      </w:r>
      <w:r w:rsidR="003C6953">
        <w:rPr>
          <w:rFonts w:cs="Times New Roman"/>
          <w:szCs w:val="24"/>
        </w:rPr>
        <w:fldChar w:fldCharType="begin" w:fldLock="1"/>
      </w:r>
      <w:r w:rsidR="00D14688">
        <w:rPr>
          <w:rFonts w:cs="Times New Roman"/>
          <w:szCs w:val="24"/>
        </w:rPr>
        <w:instrText>ADDIN CSL_CITATION { "citationItems" : [ { "id" : "ITEM-1",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"ITEM-1", "issue" : "7", "issued" : { "date-parts" : [ [ "2007" ] ] }, "page" : "1558-1565", "title" : "Synthesis of graphene-based nanosheets via chemical reduction of exfoliated graphite oxide", "type" : "article-journal", "volume" : "45" }, "uris" : [ "http://www.mendeley.com/documents/?uuid=7d96f1a7-d047-463c-8a60-e43142ea0559" ] } ], "mendeley" : { "formattedCitation" : "[34]", "plainTextFormattedCitation" : "[34]", "previouslyFormattedCitation" : "[34]" }, "properties" : {  }, "schema" : "https://github.com/citation-style-language/schema/raw/master/csl-citation.json" }</w:instrText>
      </w:r>
      <w:r w:rsidR="003C6953">
        <w:rPr>
          <w:rFonts w:cs="Times New Roman"/>
          <w:szCs w:val="24"/>
        </w:rPr>
        <w:fldChar w:fldCharType="separate"/>
      </w:r>
      <w:r w:rsidR="00D973A8" w:rsidRPr="00D973A8">
        <w:rPr>
          <w:rFonts w:cs="Times New Roman"/>
          <w:b w:val="0"/>
          <w:noProof/>
          <w:szCs w:val="24"/>
        </w:rPr>
        <w:t>[34]</w:t>
      </w:r>
      <w:r w:rsidR="003C6953">
        <w:rPr>
          <w:rFonts w:cs="Times New Roman"/>
          <w:szCs w:val="24"/>
        </w:rPr>
        <w:fldChar w:fldCharType="end"/>
      </w:r>
      <w:r w:rsidR="003C6953">
        <w:rPr>
          <w:rFonts w:cs="Times New Roman"/>
          <w:szCs w:val="24"/>
        </w:rPr>
        <w:t>).</w:t>
      </w:r>
      <w:bookmarkEnd w:id="20"/>
      <w:bookmarkEnd w:id="21"/>
    </w:p>
    <w:p w14:paraId="48D779DD" w14:textId="77777777" w:rsidR="003C6953" w:rsidRPr="007A34C8" w:rsidRDefault="003C6953" w:rsidP="003C6953">
      <w:pPr>
        <w:pStyle w:val="ListParagraph"/>
        <w:spacing w:after="0" w:line="480" w:lineRule="auto"/>
        <w:jc w:val="center"/>
        <w:rPr>
          <w:rFonts w:ascii="Times New Roman" w:hAnsi="Times New Roman" w:cs="Times New Roman"/>
          <w:sz w:val="24"/>
          <w:szCs w:val="24"/>
        </w:rPr>
      </w:pPr>
    </w:p>
    <w:p w14:paraId="0D6AE9D5" w14:textId="77777777" w:rsidR="003C6953" w:rsidRDefault="003C6953" w:rsidP="0005778C">
      <w:pPr>
        <w:pStyle w:val="Subtitle"/>
      </w:pPr>
      <w:r>
        <w:t>Non-c</w:t>
      </w:r>
      <w:r w:rsidRPr="009D4E2C">
        <w:t>ovalent modification of graphene</w:t>
      </w:r>
      <w:r>
        <w:t xml:space="preserve"> oxide</w:t>
      </w:r>
    </w:p>
    <w:p w14:paraId="5FFBA760" w14:textId="74A40CFE" w:rsidR="0005778C"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For non-covalent modification, graphene is functionalized by wrapping or coating them with surfactants like amphiphilic polymer poly(sodium 4-styrenesulfonate) (PSS), ionic liquids, and macromolecules. Therefore, the structural integrity of graphene can’t be altered, resulting in  outstanding properties of sp</w:t>
      </w:r>
      <w:r w:rsidRPr="00076DCE">
        <w:rPr>
          <w:rFonts w:ascii="Times New Roman" w:hAnsi="Times New Roman" w:cs="Times New Roman"/>
          <w:sz w:val="24"/>
          <w:szCs w:val="24"/>
          <w:vertAlign w:val="superscript"/>
        </w:rPr>
        <w:t>2</w:t>
      </w:r>
      <w:r>
        <w:rPr>
          <w:rFonts w:ascii="Times New Roman" w:hAnsi="Times New Roman" w:cs="Times New Roman"/>
          <w:sz w:val="24"/>
          <w:szCs w:val="24"/>
        </w:rPr>
        <w:t xml:space="preserve">-network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"10.1007/s12274-014-0622-9", "ISBN" : "1998-0124\\r1998-0000", "ISSN" : "19980000", "abstract" : "Graphene has attracted the interest of chemists, physicists, and\\nmaterials scientists due to its extraordinary structural, mechanical,\\nand electronic properties. While pristine graphene is desirable for\\napplications that require a high electrical conductivity, many other\\napplications require modified or functionalized forms of graphene, such\\nas graphene oxide, reduced graphene, or other functionalized forms.\\nStructurally modifying graphene through chemical functionalization\\nreveals the numerous possibilities for tuning its structure; several\\nchemical and physical functionalization methods have been explored to\\nimprove the stabilization and modification of graphene. In this review,\\nwe report recent progress towards the chemical modification of graphene,\\nincluding both covalent and noncovalent methods, for use in various\\napplications.", "author" : [ { "dropping-particle" : "", "family" : "Lonkar", "given" : "Sunil P.", "non-dropping-particle" : "", "parse-names" : false, "suffix" : "" }, { "dropping-particle" : "", "family" : "Deshmukh", "given" : "Yogesh S.", "non-dropping-particle" : "", "parse-names" : false, "suffix" : "" }, { "dropping-particle" : "", "family" : "Abdala", "given" : "Ahmed A.", "non-dropping-particle" : "", "parse-names" : false, "suffix" : "" } ], "container-title" : "Nano Research", "id" : "ITEM-1", "issue" : "4", "issued" : { "date-parts" : [ [ "2015" ] ] }, "page" : "1-38", "publisher" : "Springer", "title" : "Recent advances in chemical modifications of graphene", "type" : "article-journal", "volume" : "8" }, "uris" : [ "http://www.mendeley.com/documents/?uuid=6176864e-6f4c-482c-b899-7df4415ea0f9" ] } ], "mendeley" : { "formattedCitation" : "[53]", "plainTextFormattedCitation" : "[53]", "previouslyFormattedCitation" : "[53]"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[53]</w:t>
      </w:r>
      <w:r>
        <w:rPr>
          <w:rFonts w:ascii="Times New Roman" w:hAnsi="Times New Roman" w:cs="Times New Roman"/>
          <w:sz w:val="24"/>
          <w:szCs w:val="24"/>
        </w:rPr>
        <w:fldChar w:fldCharType="end"/>
      </w:r>
      <w:r>
        <w:rPr>
          <w:rFonts w:ascii="Times New Roman" w:hAnsi="Times New Roman" w:cs="Times New Roman"/>
          <w:sz w:val="24"/>
          <w:szCs w:val="24"/>
        </w:rPr>
        <w:t>. Hao et al. reported TCNQ (</w:t>
      </w:r>
      <w:r w:rsidRPr="00620130">
        <w:rPr>
          <w:rFonts w:ascii="Times New Roman" w:hAnsi="Times New Roman" w:cs="Times New Roman"/>
          <w:sz w:val="24"/>
          <w:szCs w:val="24"/>
        </w:rPr>
        <w:t>7,7,8,8-tetracyanoquinodimethane</w:t>
      </w:r>
      <w:r>
        <w:rPr>
          <w:rFonts w:ascii="Times New Roman" w:hAnsi="Times New Roman" w:cs="Times New Roman"/>
          <w:sz w:val="24"/>
          <w:szCs w:val="24"/>
        </w:rPr>
        <w:t xml:space="preserve">)-anion-stabilized graphene by negative charges from TCNQ anion on graphenes and strong </w:t>
      </w:r>
      <w:r w:rsidRPr="00620130">
        <w:rPr>
          <w:rFonts w:ascii="Times New Roman" w:hAnsi="Times New Roman" w:cs="Times New Roman"/>
          <w:sz w:val="24"/>
          <w:szCs w:val="24"/>
        </w:rPr>
        <w:t xml:space="preserve">π-π </w:t>
      </w:r>
      <w:r>
        <w:rPr>
          <w:rFonts w:ascii="Times New Roman" w:hAnsi="Times New Roman" w:cs="Times New Roman"/>
          <w:sz w:val="24"/>
          <w:szCs w:val="24"/>
        </w:rPr>
        <w:t xml:space="preserve">stacking </w:t>
      </w:r>
      <w:r w:rsidRPr="00620130">
        <w:rPr>
          <w:rFonts w:ascii="Times New Roman" w:hAnsi="Times New Roman" w:cs="Times New Roman"/>
          <w:sz w:val="24"/>
          <w:szCs w:val="24"/>
        </w:rPr>
        <w:t>interaction</w:t>
      </w:r>
      <w:r>
        <w:rPr>
          <w:rFonts w:ascii="Times New Roman" w:hAnsi="Times New Roman" w:cs="Times New Roman"/>
          <w:sz w:val="24"/>
          <w:szCs w:val="24"/>
        </w:rPr>
        <w:t xml:space="preserve"> with graphene, which can be re-dispersed in water, DMF and DMSO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"10.1039/b816971c", "ISBN" : "1082529028", "ISSN" : "1359-7345", "PMID" : "19057784", "abstract" : "Aqueous dispersed graphene was successfully prepared via using 7,7,8,8-tetracyanoquinodimethane (TCNQ) anion as a stabilizer and expanded graphite as a starting material, which could provide a facile route to produce high quality water-soluble and organic solvent-soluble graphene sheets for various applications.", "author" : [ { "dropping-particle" : "", "family" : "Hao", "given" : "Rui", "non-dropping-particle" : "", "parse-names" : false, "suffix" : "" }, { "dropping-particle" : "", "family" : "Qian", "given" : "Wen", "non-dropping-particle" : "", "parse-names" : false, "suffix" : "" }, { "dropping-particle" : "", "family" : "Zhang", "given" : "Luhui", "non-dropping-particle" : "", "parse-names" : false, "suffix" : "" }, { "dropping-particle" : "", "family" : "Hou", "given" : "Yanglong", "non-dropping-particle" : "", "parse-names" : false, "suffix" : "" } ], "container-title" : "Chemical Communications", "id" : "ITEM-1", "issue" : "48", "issued" : { "date-parts" : [ [ "2008" ] ] }, "page" : "6576-6578", "title" : "Aqueous dispersions of TCNQ-anion-stabilized graphene sheets", "type" : "article-journal" }, "uris" : [ "http://www.mendeley.com/documents/?uuid=03a1a148-4130-41ea-bf1b-74e779e4f6ce" ] } ], "mendeley" : { "formattedCitation" : "[55]", "plainTextFormattedCitation" : "[55]", "previouslyFormattedCitation" : "[55]"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[55]</w:t>
      </w:r>
      <w:r>
        <w:rPr>
          <w:rFonts w:ascii="Times New Roman" w:hAnsi="Times New Roman" w:cs="Times New Roman"/>
          <w:sz w:val="24"/>
          <w:szCs w:val="24"/>
        </w:rPr>
        <w:fldChar w:fldCharType="end"/>
      </w:r>
      <w:r>
        <w:rPr>
          <w:rFonts w:ascii="Times New Roman" w:hAnsi="Times New Roman" w:cs="Times New Roman"/>
          <w:sz w:val="24"/>
          <w:szCs w:val="24"/>
        </w:rPr>
        <w:t xml:space="preserve">. Pu et al. prepared well-dispersed graphene in water and organic solvents by different types of surfactants, including tetradecyltrimethylammonium bromide (CTAB), polyoxyethylene (40) nonylphenylether (CO890), sodium dodecyl sulfate (SDS), and polycarboxylate (H14N). The conductive graphene films were made by spray- or drop-coating on substrates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"10.1016/j.jtice.2011.06.012", "ISBN" : "18761070 (ISSN)", "ISSN" : "18761070", "abstract" : "The performances of different kinds of surfactants for dispersing hydrophobic graphene in aqueous solutions were studied. These surfactants included cationic, non-ionic, anionic, and polymer types. The results of UV-vis analysis and sedimentation test suggested that optimum dispersion was achieved with 200-300ppm of polyoxyethylene (40) nonylphenylether (Igepal \u00ae CO890), a non-ionic type surfactant. The aqueous graphene suspensions were used to fabricate graphene films by two economical techniques-spray and drop coating. The graphene films have a significantly lower sheet resistance than the films of commercial nanographite conductive colloid. The graphene films dispersed with CO890 showed higher electrical conductivity than those with SDS, in consistence with the analysis of dispersion performance. Our technique for preparing stable and low viscosity aqueous graphene dispersions combined with a spray coating method can produce conductive graphene films with uniform distribution, large area, and controllable thickness at low cost. \u00a9 2011 Taiwan Institute of Chemical Engineers.", "author" : [ { "dropping-particle" : "", "family" : "Pu", "given" : "Nen Wen", "non-dropping-particle" : "", "parse-names" : false, "suffix" : "" }, { "dropping-particle" : "", "family" : "Wang", "given" : "Chung An", "non-dropping-particle" : "", "parse-names" : false, "suffix" : "" }, { "dropping-particle" : "", "family" : "Liu", "given" : "Yuh Ming", "non-dropping-particle" : "", "parse-names" : false, "suffix" : "" }, { "dropping-particle" : "", "family" : "Sung", "given" : "Yuh", "non-dropping-particle" : "", "parse-names" : false, "suffix" : "" }, { "dropping-particle" : "", "family" : "Wang", "given" : "Ding San", "non-dropping-particle" : "", "parse-names" : false, "suffix" : "" }, { "dropping-particle" : "Der", "family" : "Ger", "given" : "Ming", "non-dropping-particle" : "", "parse-names" : false, "suffix" : "" } ], "container-title" : "Journal of the Taiwan Institute of Chemical Engineers", "id" : "ITEM-1", "issue" : "1", "issued" : { "date-parts" : [ [ "2012" ] ] }, "page" : "140-146", "publisher" : "Taiwan Institute of Chemical Engineers", "title" : "Dispersion of graphene in aqueous solutions with different types of surfactants and the production of graphene films by spray or drop coating", "type" : "article-journal", "volume" : "43" }, "uris" : [ "http://www.mendeley.com/documents/?uuid=a625112d-e2a1-4e0a-a6d5-85cf29b69ca9" ] } ], "mendeley" : { "formattedCitation" : "[56]", "plainTextFormattedCitation" : "[56]", "previouslyFormattedCitation" : "[56]"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[56]</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2A62C197" w14:textId="77777777" w:rsidR="003C6953" w:rsidRDefault="003C6953" w:rsidP="0005778C">
      <w:pPr>
        <w:pStyle w:val="Subtitle"/>
      </w:pPr>
      <w:r>
        <w:t>Reduction of GO in a stabilization medium</w:t>
      </w:r>
    </w:p>
    <w:p w14:paraId="29A97BC0" w14:textId="45E9B16C"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Park et al. prepared a homogeneous aqueous chemical reduced graphene (CRG) under strong basic atmosphere. Prior to reduction, the addition of KOH in GO aqueous offered numerous amount of negative charges by reaction with epoxy, carboxylic acid groups, resulting in extensive coatings on GO sheets with negative charges and K</w:t>
      </w:r>
      <w:r w:rsidRPr="0086404F">
        <w:rPr>
          <w:rFonts w:ascii="Times New Roman" w:hAnsi="Times New Roman" w:cs="Times New Roman"/>
          <w:sz w:val="24"/>
          <w:szCs w:val="24"/>
          <w:vertAlign w:val="superscript"/>
        </w:rPr>
        <w:t>+</w:t>
      </w:r>
      <w:r>
        <w:rPr>
          <w:rFonts w:ascii="Times New Roman" w:hAnsi="Times New Roman" w:cs="Times New Roman"/>
          <w:sz w:val="24"/>
          <w:szCs w:val="24"/>
        </w:rPr>
        <w:t xml:space="preserve">, which can further stabilize the reduced GO by reductant hydrazine monohydrate in water for 4 months. The advantage of this method is to produce bulk graphene aqueous without surfactants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"author" : [ { "dropping-particle" : "", "family" : "S.Park", "given" : "", "non-dropping-particle" : "", "parse-names" : false, "suffix" : "" }, { "dropping-particle" : "", "family" : "An", "given" : "J.", "non-dropping-particle" : "", "parse-names" : false, "suffix" : "" }, { "dropping-particle" : "", "family" : "RD.Piner", "given" : "", "non-dropping-particle" : "", "parse-names" : false, "suffix" : "" }, { "dropping-particle" : "", "family" : "I.Jung", "given" : "", "non-dropping-particle" : "", "parse-names" : false, "suffix" : "" } ], "container-title" : "Chem Mater", "id" : "ITEM-1", "issued" : { "date-parts" : [ [ "2008" ] ] }, "page" : "6592-6594", "title" : "Aqueous suspension and characterization of chemically modified graphene sheets", "type" : "article-journal", "volume" : "20" }, "uris" : [ "http://www.mendeley.com/documents/?uuid=3f8e6bf7-8a54-4996-b3d8-a21146a584e9" ] } ], "mendeley" : { "formattedCitation" : "[57]", "plainTextFormattedCitation" : "[57]", "previouslyFormattedCitation" : "[57]"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[57]</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65FD4093" w14:textId="77777777" w:rsidR="003C6953" w:rsidRPr="000E4FEF" w:rsidRDefault="003C6953" w:rsidP="003C6953">
      <w:pPr>
        <w:spacing w:after="0" w:line="480" w:lineRule="auto"/>
        <w:jc w:val="both"/>
        <w:rPr>
          <w:rFonts w:ascii="Times New Roman" w:hAnsi="Times New Roman" w:cs="Times New Roman"/>
          <w:sz w:val="24"/>
          <w:szCs w:val="24"/>
        </w:rPr>
      </w:pPr>
    </w:p>
    <w:p w14:paraId="3FA340B6" w14:textId="6E95E01F" w:rsidR="003C6953" w:rsidRDefault="00B06015" w:rsidP="003C6953">
      <w:pPr>
        <w:pStyle w:val="Heading3"/>
        <w:spacing w:before="0"/>
      </w:pPr>
      <w:bookmarkStart w:id="22" w:name="_Toc518823231"/>
      <w:r>
        <w:t>2.</w:t>
      </w:r>
      <w:r w:rsidR="003C6953">
        <w:t>3.4.2. π-π interaction of graphene</w:t>
      </w:r>
      <w:bookmarkEnd w:id="22"/>
    </w:p>
    <w:p w14:paraId="74F662E0" w14:textId="289ABAE7" w:rsidR="003C6953" w:rsidRPr="00E7190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Aromatic molecules are frequently used to disperse graphene in aqueous and organic media by </w:t>
      </w:r>
      <w:r w:rsidRPr="00620914">
        <w:rPr>
          <w:rFonts w:ascii="Times New Roman" w:hAnsi="Times New Roman" w:cs="Times New Roman"/>
          <w:sz w:val="24"/>
          <w:szCs w:val="24"/>
        </w:rPr>
        <w:t>π-π</w:t>
      </w:r>
      <w:r>
        <w:rPr>
          <w:rFonts w:ascii="Times New Roman" w:hAnsi="Times New Roman" w:cs="Times New Roman"/>
          <w:sz w:val="24"/>
          <w:szCs w:val="24"/>
        </w:rPr>
        <w:t xml:space="preserve"> stacking</w:t>
      </w:r>
      <w:r w:rsidRPr="00620914">
        <w:rPr>
          <w:rFonts w:ascii="Times New Roman" w:hAnsi="Times New Roman" w:cs="Times New Roman"/>
          <w:sz w:val="24"/>
          <w:szCs w:val="24"/>
        </w:rPr>
        <w:t xml:space="preserve"> interaction</w:t>
      </w:r>
      <w:r>
        <w:rPr>
          <w:rFonts w:ascii="Times New Roman" w:hAnsi="Times New Roman" w:cs="Times New Roman"/>
          <w:sz w:val="24"/>
          <w:szCs w:val="24"/>
        </w:rPr>
        <w:t xml:space="preserve"> with the π orbitals of graphene. For example, pyrene and its derivatives is great for dispersing of graphene due to its large planar aromatic structure, resulting in a strong affinity to graphene basal plane by </w:t>
      </w:r>
      <w:r w:rsidRPr="00620914">
        <w:rPr>
          <w:rFonts w:ascii="Times New Roman" w:hAnsi="Times New Roman" w:cs="Times New Roman"/>
          <w:sz w:val="24"/>
          <w:szCs w:val="24"/>
        </w:rPr>
        <w:t>π-π</w:t>
      </w:r>
      <w:r>
        <w:rPr>
          <w:rFonts w:ascii="Times New Roman" w:hAnsi="Times New Roman" w:cs="Times New Roman"/>
          <w:sz w:val="24"/>
          <w:szCs w:val="24"/>
        </w:rPr>
        <w:t xml:space="preserve"> stacking</w:t>
      </w:r>
      <w:r w:rsidRPr="00620914">
        <w:rPr>
          <w:rFonts w:ascii="Times New Roman" w:hAnsi="Times New Roman" w:cs="Times New Roman"/>
          <w:sz w:val="24"/>
          <w:szCs w:val="24"/>
        </w:rPr>
        <w:t xml:space="preserve"> interaction</w:t>
      </w:r>
      <w:r>
        <w:rPr>
          <w:rFonts w:ascii="Times New Roman" w:hAnsi="Times New Roman" w:cs="Times New Roman"/>
          <w:sz w:val="24"/>
          <w:szCs w:val="24"/>
        </w:rPr>
        <w:t xml:space="preserve">. Some works based on stabilizing of graphene by aromatic molecules have been reported. For instance, Su et al. used pyrene-1-sulfonic acid sodium salt (PyS) and </w:t>
      </w:r>
      <w:r w:rsidRPr="00D5167B">
        <w:rPr>
          <w:rFonts w:ascii="Times New Roman" w:hAnsi="Times New Roman" w:cs="Times New Roman"/>
          <w:sz w:val="24"/>
          <w:szCs w:val="24"/>
        </w:rPr>
        <w:t>diasodium salt of 3,4,9,10-perylenetetracarboxylic diimide bisbenzenesulfonic</w:t>
      </w:r>
      <w:r>
        <w:rPr>
          <w:rFonts w:ascii="Times New Roman" w:hAnsi="Times New Roman" w:cs="Times New Roman"/>
          <w:sz w:val="24"/>
          <w:szCs w:val="24"/>
        </w:rPr>
        <w:t xml:space="preserve"> </w:t>
      </w:r>
      <w:r w:rsidRPr="00D5167B">
        <w:rPr>
          <w:rFonts w:ascii="Times New Roman" w:hAnsi="Times New Roman" w:cs="Times New Roman"/>
          <w:sz w:val="24"/>
          <w:szCs w:val="24"/>
        </w:rPr>
        <w:t>acid (PDI)</w:t>
      </w:r>
      <w:r>
        <w:rPr>
          <w:rFonts w:ascii="Times New Roman" w:hAnsi="Times New Roman" w:cs="Times New Roman"/>
          <w:sz w:val="24"/>
          <w:szCs w:val="24"/>
        </w:rPr>
        <w:t xml:space="preserve"> to prepare stable dispersion of graphene. Briefly, GO aqueous was mixed with sodium hydroxide and hydrazine monohydrate with PyS or PDI under 80 ºC for 24 h. The resulting rgo films exhibit great electrical conductivity, which is 13.9 S cm</w:t>
      </w:r>
      <w:r w:rsidRPr="00D92389">
        <w:rPr>
          <w:rFonts w:ascii="Times New Roman" w:hAnsi="Times New Roman" w:cs="Times New Roman"/>
          <w:sz w:val="24"/>
          <w:szCs w:val="24"/>
          <w:vertAlign w:val="superscript"/>
        </w:rPr>
        <w:t>-1</w:t>
      </w:r>
      <w:r>
        <w:rPr>
          <w:rFonts w:ascii="Times New Roman" w:hAnsi="Times New Roman" w:cs="Times New Roman"/>
          <w:sz w:val="24"/>
          <w:szCs w:val="24"/>
        </w:rPr>
        <w:t xml:space="preserve"> for rGO-PDI, and 1.9 S cm</w:t>
      </w:r>
      <w:r w:rsidRPr="00D92389">
        <w:rPr>
          <w:rFonts w:ascii="Times New Roman" w:hAnsi="Times New Roman" w:cs="Times New Roman"/>
          <w:sz w:val="24"/>
          <w:szCs w:val="24"/>
          <w:vertAlign w:val="superscript"/>
        </w:rPr>
        <w:t>-1</w:t>
      </w:r>
      <w:r>
        <w:rPr>
          <w:rFonts w:ascii="Times New Roman" w:hAnsi="Times New Roman" w:cs="Times New Roman"/>
          <w:sz w:val="24"/>
          <w:szCs w:val="24"/>
        </w:rPr>
        <w:t xml:space="preserve"> for rGO-PyS, respectively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"10.1002/adma.200803808", "ISBN" : "0935-9648", "ISSN" : "09359648", "PMID" : "13088", "abstract" : "A study was conducted to demonstrate an approach to noncovalently functionalize graphene with large aromatic donor and acceptor molecules. It was demonstrated that these molecules produced a new class of graphene composites with tunable electronic properties. Pyrene-1-sulfonic acid sodium salt (PyS) was used as an electron donor and the diasodium salt of 3,4,9,10- perylenetetracarboxylic diimide bisbezenesulfonic acid (PDI) was selected as an electron acceptor for the investigations. Atomic force microscopy (AFS) images provided detailed information on the \u03c0-interactions between graphene sheets and aromatic donor or acceptor molecules at the solid state. All the samples were prepared by dip-coating of corresponding dispersions on freshly-cleaved mica. The significant \u03c0-interactions between donor and acceptor molecules and the graphene basal plane were also assumed to produce charge-transfer effects.", "author" : [ { "dropping-particle" : "", "family" : "Su", "given" : "Qi", "non-dropping-particle" : "", "parse-names" : false, "suffix" : "" }, { "dropping-particle" : "", "family" : "Pang", "given" : "Shuping", "non-dropping-particle" : "", "parse-names" : false, "suffix" : "" }, { "dropping-particle" : "", "family" : "Alijani", "given" : "Vajiheh", "non-dropping-particle" : "", "parse-names" : false, "suffix" : "" }, { "dropping-particle" : "", "family" : "Li", "given" : "Chen", "non-dropping-particle" : "", "parse-names" : false, "suffix" : "" }, { "dropping-particle" : "", "family" : "Feng", "given" : "Xinliang", "non-dropping-particle" : "", "parse-names" : false, "suffix" : "" }, { "dropping-particle" : "", "family" : "M??llen", "given" : "Klaus", "non-dropping-particle" : "", "parse-names" : false, "suffix" : "" } ], "container-title" : "Advanced Materials", "id" : "ITEM-1", "issue" : "31", "issued" : { "date-parts" : [ [ "2009" ] ] }, "page" : "3191-3195", "title" : "Composites of craphene with large aromatic molecules", "type" : "article-journal", "volume" : "21" }, "uris" : [ "http://www.mendeley.com/documents/?uuid=6c436bbb-7df4-45f9-b5ab-18e951bc78c8" ] } ], "mendeley" : { "formattedCitation" : "[58]", "plainTextFormattedCitation" : "[58]", "previouslyFormattedCitation" : "[58]"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[58]</w:t>
      </w:r>
      <w:r>
        <w:rPr>
          <w:rFonts w:ascii="Times New Roman" w:hAnsi="Times New Roman" w:cs="Times New Roman"/>
          <w:sz w:val="24"/>
          <w:szCs w:val="24"/>
        </w:rPr>
        <w:fldChar w:fldCharType="end"/>
      </w:r>
      <w:r>
        <w:rPr>
          <w:rFonts w:ascii="Times New Roman" w:hAnsi="Times New Roman" w:cs="Times New Roman"/>
          <w:sz w:val="24"/>
          <w:szCs w:val="24"/>
        </w:rPr>
        <w:t xml:space="preserve">. The excellent stabilization efficiency of PDI and PyS is contributed to two reasons: First, the strong </w:t>
      </w:r>
      <w:r w:rsidRPr="00E71903">
        <w:rPr>
          <w:rFonts w:ascii="Times New Roman" w:hAnsi="Times New Roman" w:cs="Times New Roman"/>
          <w:sz w:val="24"/>
          <w:szCs w:val="24"/>
        </w:rPr>
        <w:t>π-π</w:t>
      </w:r>
      <w:r>
        <w:rPr>
          <w:rFonts w:ascii="Times New Roman" w:hAnsi="Times New Roman" w:cs="Times New Roman"/>
          <w:sz w:val="24"/>
          <w:szCs w:val="24"/>
        </w:rPr>
        <w:t xml:space="preserve"> stacking between large planer aromatic structures of stabilizers and graphene. Secondly, the negative charges on stablilizers’ planes react with carboxylic acid of GO, resulting in negative charges on GO sheets. Therefore, the dispersion of graphene in aqueous can be further enhanced by static repulsion force, as shown in Figure 2.5.</w:t>
      </w:r>
    </w:p>
    <w:p w14:paraId="2B3C26A2" w14:textId="77777777" w:rsidR="003C6953" w:rsidRDefault="003C6953" w:rsidP="003C6953">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588CC5CD" wp14:editId="6120FA41">
            <wp:extent cx="4238625" cy="4355790"/>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51902" cy="4369434"/>
                    </a:xfrm>
                    <a:prstGeom prst="rect">
                      <a:avLst/>
                    </a:prstGeom>
                    <a:noFill/>
                  </pic:spPr>
                </pic:pic>
              </a:graphicData>
            </a:graphic>
          </wp:inline>
        </w:drawing>
      </w:r>
    </w:p>
    <w:p w14:paraId="3DA2E70C" w14:textId="42C91356" w:rsidR="003C6953" w:rsidRDefault="00C560D3" w:rsidP="0005778C">
      <w:pPr>
        <w:pStyle w:val="Caption"/>
        <w:ind w:firstLine="0"/>
        <w:rPr>
          <w:rFonts w:cs="Times New Roman"/>
          <w:szCs w:val="24"/>
        </w:rPr>
      </w:pPr>
      <w:bookmarkStart w:id="23" w:name="_Toc502661644"/>
      <w:bookmarkStart w:id="24" w:name="_Toc518823382"/>
      <w:r>
        <w:t>Figure 2.</w:t>
      </w:r>
      <w:r w:rsidR="0005778C">
        <w:fldChar w:fldCharType="begin"/>
      </w:r>
      <w:r w:rsidR="0005778C">
        <w:instrText xml:space="preserve"> SEQ Figure_2. \* ARABIC </w:instrText>
      </w:r>
      <w:r w:rsidR="0005778C">
        <w:fldChar w:fldCharType="separate"/>
      </w:r>
      <w:r w:rsidR="00551ED9">
        <w:rPr>
          <w:noProof/>
        </w:rPr>
        <w:t>5</w:t>
      </w:r>
      <w:r w:rsidR="0005778C">
        <w:fldChar w:fldCharType="end"/>
      </w:r>
      <w:r w:rsidR="0005778C">
        <w:t xml:space="preserve">. </w:t>
      </w:r>
      <w:r w:rsidR="003C6953">
        <w:rPr>
          <w:rFonts w:cs="Times New Roman"/>
          <w:szCs w:val="24"/>
        </w:rPr>
        <w:t>Schematic illustration of graphene aqueous (0.25 mg ml</w:t>
      </w:r>
      <w:r w:rsidR="003C6953" w:rsidRPr="00D5167B">
        <w:rPr>
          <w:rFonts w:cs="Times New Roman"/>
          <w:szCs w:val="24"/>
          <w:vertAlign w:val="superscript"/>
        </w:rPr>
        <w:t>-1</w:t>
      </w:r>
      <w:r w:rsidR="003C6953">
        <w:rPr>
          <w:rFonts w:cs="Times New Roman"/>
          <w:szCs w:val="24"/>
        </w:rPr>
        <w:t xml:space="preserve">): (a) reduced GO aqueous, (b) rGO-PDI aqueous, and (c) rGO-PyS aqueous (Reproduced from reference </w:t>
      </w:r>
      <w:r w:rsidR="003C6953">
        <w:rPr>
          <w:rFonts w:cs="Times New Roman"/>
          <w:szCs w:val="24"/>
        </w:rPr>
        <w:fldChar w:fldCharType="begin" w:fldLock="1"/>
      </w:r>
      <w:r w:rsidR="00D14688">
        <w:rPr>
          <w:rFonts w:cs="Times New Roman"/>
          <w:szCs w:val="24"/>
        </w:rPr>
        <w:instrText>ADDIN CSL_CITATION { "citationItems" : [ { "id" : "ITEM-1", "itemData" : { "DOI" : "10.1002/adma.200803808", "ISBN" : "0935-9648", "ISSN" : "09359648", "PMID" : "13088", "abstract" : "A study was conducted to demonstrate an approach to noncovalently functionalize graphene with large aromatic donor and acceptor molecules. It was demonstrated that these molecules produced a new class of graphene composites with tunable electronic properties. Pyrene-1-sulfonic acid sodium salt (PyS) was used as an electron donor and the diasodium salt of 3,4,9,10- perylenetetracarboxylic diimide bisbezenesulfonic acid (PDI) was selected as an electron acceptor for the investigations. Atomic force microscopy (AFS) images provided detailed information on the \u03c0-interactions between graphene sheets and aromatic donor or acceptor molecules at the solid state. All the samples were prepared by dip-coating of corresponding dispersions on freshly-cleaved mica. The significant \u03c0-interactions between donor and acceptor molecules and the graphene basal plane were also assumed to produce charge-transfer effects.", "author" : [ { "dropping-particle" : "", "family" : "Su", "given" : "Qi", "non-dropping-particle" : "", "parse-names" : false, "suffix" : "" }, { "dropping-particle" : "", "family" : "Pang", "given" : "Shuping", "non-dropping-particle" : "", "parse-names" : false, "suffix" : "" }, { "dropping-particle" : "", "family" : "Alijani", "given" : "Vajiheh", "non-dropping-particle" : "", "parse-names" : false, "suffix" : "" }, { "dropping-particle" : "", "family" : "Li", "given" : "Chen", "non-dropping-particle" : "", "parse-names" : false, "suffix" : "" }, { "dropping-particle" : "", "family" : "Feng", "given" : "Xinliang", "non-dropping-particle" : "", "parse-names" : false, "suffix" : "" }, { "dropping-particle" : "", "family" : "M??llen", "given" : "Klaus", "non-dropping-particle" : "", "parse-names" : false, "suffix" : "" } ], "container-title" : "Advanced Materials", "id" : "ITEM-1", "issue" : "31", "issued" : { "date-parts" : [ [ "2009" ] ] }, "page" : "3191-3195", "title" : "Composites of craphene with large aromatic molecules", "type" : "article-journal", "volume" : "21" }, "uris" : [ "http://www.mendeley.com/documents/?uuid=6c436bbb-7df4-45f9-b5ab-18e951bc78c8" ] } ], "mendeley" : { "formattedCitation" : "[58]", "plainTextFormattedCitation" : "[58]", "previouslyFormattedCitation" : "[58]" }, "properties" : {  }, "schema" : "https://github.com/citation-style-language/schema/raw/master/csl-citation.json" }</w:instrText>
      </w:r>
      <w:r w:rsidR="003C6953">
        <w:rPr>
          <w:rFonts w:cs="Times New Roman"/>
          <w:szCs w:val="24"/>
        </w:rPr>
        <w:fldChar w:fldCharType="separate"/>
      </w:r>
      <w:r w:rsidR="00D973A8" w:rsidRPr="00D973A8">
        <w:rPr>
          <w:rFonts w:cs="Times New Roman"/>
          <w:b w:val="0"/>
          <w:noProof/>
          <w:szCs w:val="24"/>
        </w:rPr>
        <w:t>[58]</w:t>
      </w:r>
      <w:r w:rsidR="003C6953">
        <w:rPr>
          <w:rFonts w:cs="Times New Roman"/>
          <w:szCs w:val="24"/>
        </w:rPr>
        <w:fldChar w:fldCharType="end"/>
      </w:r>
      <w:r w:rsidR="003C6953">
        <w:rPr>
          <w:rFonts w:cs="Times New Roman"/>
          <w:szCs w:val="24"/>
        </w:rPr>
        <w:t>).</w:t>
      </w:r>
      <w:bookmarkEnd w:id="23"/>
      <w:bookmarkEnd w:id="24"/>
    </w:p>
    <w:p w14:paraId="2D869B2A" w14:textId="77777777" w:rsidR="003C6953" w:rsidRPr="00620914" w:rsidRDefault="003C6953" w:rsidP="003C6953">
      <w:pPr>
        <w:spacing w:after="0" w:line="360" w:lineRule="auto"/>
        <w:jc w:val="both"/>
        <w:rPr>
          <w:rFonts w:ascii="Times New Roman" w:hAnsi="Times New Roman" w:cs="Times New Roman"/>
          <w:sz w:val="24"/>
          <w:szCs w:val="24"/>
        </w:rPr>
      </w:pPr>
    </w:p>
    <w:p w14:paraId="1FFB7200" w14:textId="7F9B7CE9" w:rsidR="003C6953" w:rsidRPr="0070350C" w:rsidRDefault="00B06015" w:rsidP="003C6953">
      <w:pPr>
        <w:pStyle w:val="Heading3"/>
        <w:spacing w:before="0"/>
      </w:pPr>
      <w:bookmarkStart w:id="25" w:name="_Toc518823232"/>
      <w:r>
        <w:t>2.</w:t>
      </w:r>
      <w:r w:rsidR="003C6953">
        <w:t>3.4.3. Electrochemical modification of graphene</w:t>
      </w:r>
      <w:bookmarkEnd w:id="25"/>
    </w:p>
    <w:p w14:paraId="0C513861" w14:textId="70D10DFD" w:rsidR="003C6953" w:rsidRDefault="003C6953" w:rsidP="003C6953">
      <w:pPr>
        <w:spacing w:after="0" w:line="480" w:lineRule="auto"/>
        <w:jc w:val="both"/>
        <w:rPr>
          <w:rFonts w:ascii="Times New Roman" w:hAnsi="Times New Roman" w:cs="Times New Roman"/>
          <w:sz w:val="24"/>
          <w:szCs w:val="24"/>
        </w:rPr>
      </w:pPr>
      <w:r w:rsidRPr="00E11706">
        <w:rPr>
          <w:rFonts w:ascii="Times New Roman" w:hAnsi="Times New Roman" w:cs="Times New Roman"/>
          <w:sz w:val="24"/>
          <w:szCs w:val="24"/>
        </w:rPr>
        <w:t>Graphene</w:t>
      </w:r>
      <w:r>
        <w:rPr>
          <w:rFonts w:ascii="Times New Roman" w:hAnsi="Times New Roman" w:cs="Times New Roman"/>
          <w:sz w:val="24"/>
          <w:szCs w:val="24"/>
        </w:rPr>
        <w:t xml:space="preserve"> was produced by electrochemical functionalized of graphite, which is a low toxicity, negligible vapor methods. This is a new area for graphene, rare works has been reported in literature. Liu et al. produced graphene nano sheets (GNS) by electrochemical modification, the schematic diagram is shown in Figure 2.6. Commercial graphite electrodes were immersed in a mixture of water and imidazolium-based ionic liquid (ILs). A static potential of 15 V was applied between the two graphite electrodes, and the black precipitate was obtained at the bottom of the reactor, which is GNS</w:t>
      </w:r>
      <w:r w:rsidRPr="003E178C">
        <w:rPr>
          <w:rFonts w:ascii="Times New Roman" w:hAnsi="Times New Roman" w:cs="Times New Roman"/>
          <w:sz w:val="24"/>
          <w:szCs w:val="24"/>
          <w:vertAlign w:val="superscript"/>
        </w:rPr>
        <w:t>IL</w:t>
      </w:r>
      <w:r>
        <w:rPr>
          <w:rFonts w:ascii="Times New Roman" w:hAnsi="Times New Roman" w:cs="Times New Roman"/>
          <w:sz w:val="24"/>
          <w:szCs w:val="24"/>
        </w:rPr>
        <w:t>. As-prepared GNS</w:t>
      </w:r>
      <w:r w:rsidRPr="00D40D4F">
        <w:rPr>
          <w:rFonts w:ascii="Times New Roman" w:hAnsi="Times New Roman" w:cs="Times New Roman"/>
          <w:sz w:val="24"/>
          <w:szCs w:val="24"/>
          <w:vertAlign w:val="superscript"/>
        </w:rPr>
        <w:t>IL</w:t>
      </w:r>
      <w:r>
        <w:rPr>
          <w:rFonts w:ascii="Times New Roman" w:hAnsi="Times New Roman" w:cs="Times New Roman"/>
          <w:sz w:val="24"/>
          <w:szCs w:val="24"/>
        </w:rPr>
        <w:t xml:space="preserve"> showed a thickness of 1.1 nm, and  can be re-dispersed in DMF (1 mg ml-1) by ultrasonication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"10.1002/adfm.200700797", "ISBN" : "1616-3028", "ISSN" : "1616301X", "PMID" : "21309565", "abstract" : "Graphite, inexpensive and available in large quantities, unfortunately does not readily exfoliate to yield individual graphene sheets. Here a mild, one-step electrochemical approach for the preparation of ionic-liquid-functionalized graphite sheets with the assistance of an ionic liquid and water is presented. These ionic-liquid-treated graphite sheets can be exfoliated into functionalized graphene nanosheets that can not only be individuated and homogeneously distributed into polar aprotic solvents, but also need not be further deoxidized. Different types of ionic liquids and different ratios of the ionic liquid to water can influence the properties of the graphene nanosheets. Graphene nanosheet/polystyrene composites synthesized by a liquid-phase blend route exhibit a percolation threshold of 0.1 vol % for room temperature electrical conductivity, and, at only 4.19 vol %, this composite has a conductivity of 13.84 S m\u22121, which is 3\u201315 times that of polystyrene composites filled with single-walled carbon nanotubes.", "author" : [ { "dropping-particle" : "", "family" : "Liu", "given" : "Na", "non-dropping-particle" : "", "parse-names" : false, "suffix" : "" }, { "dropping-particle" : "", "family" : "Luo", "given" : "Fang", "non-dropping-particle" : "", "parse-names" : false, "suffix" : "" }, { "dropping-particle" : "", "family" : "Wu", "given" : "Haoxi", "non-dropping-particle" : "", "parse-names" : false, "suffix" : "" }, { "dropping-particle" : "", "family" : "Liu", "given" : "Yinghui", "non-dropping-particle" : "", "parse-names" : false, "suffix" : "" }, { "dropping-particle" : "", "family" : "Zhang", "given" : "Chao", "non-dropping-particle" : "", "parse-names" : false, "suffix" : "" }, { "dropping-particle" : "", "family" : "Chen", "given" : "Ji", "non-dropping-particle" : "", "parse-names" : false, "suffix" : "" } ], "container-title" : "Advanced Functional Materials", "id" : "ITEM-1", "issue" : "10", "issued" : { "date-parts" : [ [ "2008" ] ] }, "page" : "1518-1525", "title" : "One-step ionic-liquid-assisted electrochemical synthesis of ionic-liquid-functionalized graphene sheets directly from graphite", "type" : "article-journal", "volume" : "18" }, "uris" : [ "http://www.mendeley.com/documents/?uuid=d17c8e0f-82f6-4246-a6ba-e0762d7147e4" ] } ], "mendeley" : { "formattedCitation" : "[59]", "plainTextFormattedCitation" : "[59]", "previouslyFormattedCitation" : "[59]"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[59]</w:t>
      </w:r>
      <w:r>
        <w:rPr>
          <w:rFonts w:ascii="Times New Roman" w:hAnsi="Times New Roman" w:cs="Times New Roman"/>
          <w:sz w:val="24"/>
          <w:szCs w:val="24"/>
        </w:rPr>
        <w:fldChar w:fldCharType="end"/>
      </w:r>
      <w:r>
        <w:rPr>
          <w:rFonts w:ascii="Times New Roman" w:hAnsi="Times New Roman" w:cs="Times New Roman"/>
          <w:sz w:val="24"/>
          <w:szCs w:val="24"/>
        </w:rPr>
        <w:t>.</w:t>
      </w:r>
    </w:p>
    <w:p w14:paraId="22EC9491" w14:textId="77777777" w:rsidR="003C6953" w:rsidRPr="00E11706" w:rsidRDefault="003C6953" w:rsidP="003C6953">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626DB044" wp14:editId="2510008A">
            <wp:extent cx="4767385" cy="339262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72390" cy="3396183"/>
                    </a:xfrm>
                    <a:prstGeom prst="rect">
                      <a:avLst/>
                    </a:prstGeom>
                    <a:noFill/>
                  </pic:spPr>
                </pic:pic>
              </a:graphicData>
            </a:graphic>
          </wp:inline>
        </w:drawing>
      </w:r>
    </w:p>
    <w:p w14:paraId="690C4269" w14:textId="136BB992" w:rsidR="003C6953" w:rsidRDefault="00C560D3" w:rsidP="0005778C">
      <w:pPr>
        <w:pStyle w:val="Caption"/>
        <w:ind w:firstLine="0"/>
        <w:rPr>
          <w:rFonts w:cs="Times New Roman"/>
          <w:szCs w:val="24"/>
        </w:rPr>
      </w:pPr>
      <w:bookmarkStart w:id="26" w:name="_Toc502661645"/>
      <w:bookmarkStart w:id="27" w:name="_Toc518823383"/>
      <w:r>
        <w:t>Figure 2.</w:t>
      </w:r>
      <w:r w:rsidR="0005778C">
        <w:fldChar w:fldCharType="begin"/>
      </w:r>
      <w:r w:rsidR="0005778C">
        <w:instrText xml:space="preserve"> SEQ Figure_2. \* ARABIC </w:instrText>
      </w:r>
      <w:r w:rsidR="0005778C">
        <w:fldChar w:fldCharType="separate"/>
      </w:r>
      <w:r w:rsidR="00551ED9">
        <w:rPr>
          <w:noProof/>
        </w:rPr>
        <w:t>6</w:t>
      </w:r>
      <w:r w:rsidR="0005778C">
        <w:fldChar w:fldCharType="end"/>
      </w:r>
      <w:r w:rsidR="0005778C">
        <w:t xml:space="preserve">. </w:t>
      </w:r>
      <w:r w:rsidR="003C6953" w:rsidRPr="00D40D4F">
        <w:rPr>
          <w:rFonts w:cs="Times New Roman"/>
          <w:szCs w:val="24"/>
        </w:rPr>
        <w:t>Experimental set-up diagram (left) and the exfoliation of the</w:t>
      </w:r>
      <w:r w:rsidR="003C6953">
        <w:rPr>
          <w:rFonts w:cs="Times New Roman"/>
          <w:szCs w:val="24"/>
        </w:rPr>
        <w:t xml:space="preserve"> </w:t>
      </w:r>
      <w:r w:rsidR="003C6953" w:rsidRPr="00D40D4F">
        <w:rPr>
          <w:rFonts w:cs="Times New Roman"/>
          <w:szCs w:val="24"/>
        </w:rPr>
        <w:t>graphite anode (right)</w:t>
      </w:r>
      <w:r w:rsidR="003C6953">
        <w:rPr>
          <w:rFonts w:cs="Times New Roman"/>
          <w:szCs w:val="24"/>
        </w:rPr>
        <w:t xml:space="preserve"> (Reproduced from reference </w:t>
      </w:r>
      <w:r w:rsidR="003C6953">
        <w:rPr>
          <w:rFonts w:cs="Times New Roman"/>
          <w:szCs w:val="24"/>
        </w:rPr>
        <w:fldChar w:fldCharType="begin" w:fldLock="1"/>
      </w:r>
      <w:r w:rsidR="00D14688">
        <w:rPr>
          <w:rFonts w:cs="Times New Roman"/>
          <w:szCs w:val="24"/>
        </w:rPr>
        <w:instrText>ADDIN CSL_CITATION { "citationItems" : [ { "id" : "ITEM-1", "itemData" : { "DOI" : "10.1002/adfm.200700797", "ISBN" : "1616-3028", "ISSN" : "1616301X", "PMID" : "21309565", "abstract" : "Graphite, inexpensive and available in large quantities, unfortunately does not readily exfoliate to yield individual graphene sheets. Here a mild, one-step electrochemical approach for the preparation of ionic-liquid-functionalized graphite sheets with the assistance of an ionic liquid and water is presented. These ionic-liquid-treated graphite sheets can be exfoliated into functionalized graphene nanosheets that can not only be individuated and homogeneously distributed into polar aprotic solvents, but also need not be further deoxidized. Different types of ionic liquids and different ratios of the ionic liquid to water can influence the properties of the graphene nanosheets. Graphene nanosheet/polystyrene composites synthesized by a liquid-phase blend route exhibit a percolation threshold of 0.1 vol % for room temperature electrical conductivity, and, at only 4.19 vol %, this composite has a conductivity of 13.84 S m\u22121, which is 3\u201315 times that of polystyrene composites filled with single-walled carbon nanotubes.", "author" : [ { "dropping-particle" : "", "family" : "Liu", "given" : "Na", "non-dropping-particle" : "", "parse-names" : false, "suffix" : "" }, { "dropping-particle" : "", "family" : "Luo", "given" : "Fang", "non-dropping-particle" : "", "parse-names" : false, "suffix" : "" }, { "dropping-particle" : "", "family" : "Wu", "given" : "Haoxi", "non-dropping-particle" : "", "parse-names" : false, "suffix" : "" }, { "dropping-particle" : "", "family" : "Liu", "given" : "Yinghui", "non-dropping-particle" : "", "parse-names" : false, "suffix" : "" }, { "dropping-particle" : "", "family" : "Zhang", "given" : "Chao", "non-dropping-particle" : "", "parse-names" : false, "suffix" : "" }, { "dropping-particle" : "", "family" : "Chen", "given" : "Ji", "non-dropping-particle" : "", "parse-names" : false, "suffix" : "" } ], "container-title" : "Advanced Functional Materials", "id" : "ITEM-1", "issue" : "10", "issued" : { "date-parts" : [ [ "2008" ] ] }, "page" : "1518-1525", "title" : "One-step ionic-liquid-assisted electrochemical synthesis of ionic-liquid-functionalized graphene sheets directly from graphite", "type" : "article-journal", "volume" : "18" }, "uris" : [ "http://www.mendeley.com/documents/?uuid=d17c8e0f-82f6-4246-a6ba-e0762d7147e4" ] } ], "mendeley" : { "formattedCitation" : "[59]", "plainTextFormattedCitation" : "[59]", "previouslyFormattedCitation" : "[59]" }, "properties" : {  }, "schema" : "https://github.com/citation-style-language/schema/raw/master/csl-citation.json" }</w:instrText>
      </w:r>
      <w:r w:rsidR="003C6953">
        <w:rPr>
          <w:rFonts w:cs="Times New Roman"/>
          <w:szCs w:val="24"/>
        </w:rPr>
        <w:fldChar w:fldCharType="separate"/>
      </w:r>
      <w:r w:rsidR="00D973A8" w:rsidRPr="00D973A8">
        <w:rPr>
          <w:rFonts w:cs="Times New Roman"/>
          <w:b w:val="0"/>
          <w:noProof/>
          <w:szCs w:val="24"/>
        </w:rPr>
        <w:t>[59]</w:t>
      </w:r>
      <w:r w:rsidR="003C6953">
        <w:rPr>
          <w:rFonts w:cs="Times New Roman"/>
          <w:szCs w:val="24"/>
        </w:rPr>
        <w:fldChar w:fldCharType="end"/>
      </w:r>
      <w:r w:rsidR="003C6953">
        <w:rPr>
          <w:rFonts w:cs="Times New Roman"/>
          <w:szCs w:val="24"/>
        </w:rPr>
        <w:t>).</w:t>
      </w:r>
      <w:bookmarkEnd w:id="26"/>
      <w:bookmarkEnd w:id="27"/>
    </w:p>
    <w:p w14:paraId="165C97C7" w14:textId="77777777" w:rsidR="003C6953" w:rsidRPr="00D40D4F" w:rsidRDefault="003C6953" w:rsidP="003C6953">
      <w:pPr>
        <w:spacing w:after="0" w:line="360" w:lineRule="auto"/>
        <w:rPr>
          <w:rFonts w:ascii="Times New Roman" w:hAnsi="Times New Roman" w:cs="Times New Roman"/>
          <w:sz w:val="24"/>
          <w:szCs w:val="24"/>
        </w:rPr>
      </w:pPr>
    </w:p>
    <w:p w14:paraId="606DAA5C" w14:textId="6D1710F6" w:rsidR="003C6953" w:rsidRPr="008245C1" w:rsidRDefault="00B06015" w:rsidP="003C6953">
      <w:pPr>
        <w:pStyle w:val="Heading1"/>
        <w:spacing w:before="0"/>
        <w:rPr>
          <w:color w:val="auto"/>
        </w:rPr>
      </w:pPr>
      <w:bookmarkStart w:id="28" w:name="_Toc518823233"/>
      <w:r>
        <w:rPr>
          <w:color w:val="auto"/>
        </w:rPr>
        <w:t>2.</w:t>
      </w:r>
      <w:r w:rsidR="003C6953" w:rsidRPr="008245C1">
        <w:rPr>
          <w:color w:val="auto"/>
        </w:rPr>
        <w:t>4. Polymer matrix materials</w:t>
      </w:r>
      <w:bookmarkEnd w:id="28"/>
    </w:p>
    <w:p w14:paraId="6A2D80AF" w14:textId="5BCFA9BC" w:rsidR="003C6953" w:rsidRDefault="00B06015" w:rsidP="003C6953">
      <w:pPr>
        <w:pStyle w:val="Heading2"/>
        <w:spacing w:before="0"/>
      </w:pPr>
      <w:bookmarkStart w:id="29" w:name="_Toc518823234"/>
      <w:r>
        <w:t>2.</w:t>
      </w:r>
      <w:r w:rsidR="003C6953">
        <w:t>4.1. Common polymeric matrix</w:t>
      </w:r>
      <w:bookmarkEnd w:id="29"/>
    </w:p>
    <w:p w14:paraId="6EAE9DAD" w14:textId="127A61BB" w:rsidR="003C6953" w:rsidRDefault="003C6953" w:rsidP="003C6953">
      <w:pPr>
        <w:spacing w:after="0" w:line="480" w:lineRule="auto"/>
        <w:jc w:val="both"/>
        <w:rPr>
          <w:rFonts w:ascii="Times New Roman" w:hAnsi="Times New Roman" w:cs="Times New Roman"/>
          <w:sz w:val="24"/>
          <w:szCs w:val="24"/>
        </w:rPr>
      </w:pPr>
      <w:r w:rsidRPr="000356D0">
        <w:rPr>
          <w:rFonts w:ascii="Times New Roman" w:hAnsi="Times New Roman" w:cs="Times New Roman"/>
          <w:sz w:val="24"/>
          <w:szCs w:val="24"/>
        </w:rPr>
        <w:t>Polymers are large molecules or macromolecules, which are composed of huge number of repeated subunits. They are classified into two categories: natural polymers (DNA, RNA) and synthesis polymers such as polystyrene, polyester [3].</w:t>
      </w:r>
      <w:r>
        <w:rPr>
          <w:rFonts w:ascii="Times New Roman" w:hAnsi="Times New Roman" w:cs="Times New Roman"/>
          <w:sz w:val="24"/>
          <w:szCs w:val="24"/>
        </w:rPr>
        <w:t xml:space="preserve"> Generally, polymer is classified into two categories: thermoplastics and thermosetting. Thermoplastic is a polymer that can be soften or melt under heating. The curing process is reversible as no chemical bonding takes place. It can be reshaped, remolded and recycled without any negative effects on the physical properties. However, the disadvantage of this polymer is the high price and poor thermal stability. Thermosetting is a plastic that in cured from a soft solid or viscous liquid prepolymer or resin. Unlike thermoplastics, thermosetting polymer cannot be melt or reshaped because the chemical network is formed during the curing process. The most common used thermoplastics are polypropylene (PP), polyethylene (PE), and poly vinyl chloride (PVC). Thermosetting polymers possess high chemical and temperature resistance, strong mechanical properties, and high dimensional stability. However, the disadvantage is that they can’t be recycled, reshaped and remolded. Epoxy, unsaturated polyester are the most common thermosetting polymers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"10.1016/j.compositesb.2011.01.010", "ISBN" : "1359-8368", "ISSN" : "13598368", "PMID" : "24274556", "abstract" : "This paper is a review on the tensile properties of natural fiber reinforced polymer composites. Natural fibers have recently become attractive to researchers, engineers and scientists as an alternative reinforcement for fiber reinforced polymer (FRP) composites. Due to their low cost, fairly good mechanical properties, high specific strength, non-abrasive, eco-friendly and bio-degradability characteristics, they are exploited as a replacement for the conventional fiber, such as glass, aramid and carbon. The tensile properties of natural fiber reinforce polymers (both thermoplastics and thermosets) are mainly influenced by the interfacial adhesion between the matrix and the fibers. Several chemical modifications are employed to improve the interfacial matrix-fiber bonding resulting in the enhancement of tensile properties of the composites. In general, the tensile strengths of the natural fiber reinforced polymer composites increase with fiber content, up to a maximum or optimum value, the value will then drop. However, the Young's modulus of the natural fiber reinforced polymer composites increase with increasing fiber loading. Khoathane et al. [1] found that the tensile strength and Young's modulus of composites reinforced with bleached hemp fibers increased incredibly with increasing fiber loading. Mathematical modelling was also mentioned. It was discovered that the rule of mixture (ROM) predicted and experimental tensile strength of different natural fibers reinforced HDPE composites were very close to each other. Halpin-Tsai equation was found to be the most effective equation in predicting the Young's modulus of composites containing different types of natural fibers. \u00a9 2011 Elsevier Ltd. All rights reserved.", "author" : [ { "dropping-particle" : "", "family" : "Ku", "given" : "H.", "non-dropping-particle" : "", "parse-names" : false, "suffix" : "" }, { "dropping-particle" : "", "family" : "Wang", "given" : "H.", "non-dropping-particle" : "", "parse-names" : false, "suffix" : "" }, { "dropping-particle" : "", "family" : "Pattarachaiyakoop", "given" : "N.", "non-dropping-particle" : "", "parse-names" : false, "suffix" : "" }, { "dropping-particle" : "", "family" : "Trada", "given" : "M.", "non-dropping-particle" : "", "parse-names" : false, "suffix" : "" } ], "container-title" : "Composites Part B: Engineering", "id" : "ITEM-1", "issue" : "4", "issued" : { "date-parts" : [ [ "2011" ] ] }, "page" : "856-873", "title" : "A review on the tensile properties of natural fiber reinforced polymer composites", "type" : "article-journal", "volume" : "42" }, "uris" : [ "http://www.mendeley.com/documents/?uuid=2cbe6d0d-742f-46d7-b3ab-ff8926f8d55f" ] }, { "id" : "ITEM-2",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"ITEM-2", "issue" : "1", "issued" : { "date-parts" : [ [ "2011" ] ] }, "page" : "5-25", "publisher" : "Elsevier Ltd", "title" : "Graphene-based polymer nanocomposites", "type" : "article-journal", "volume" : "52" }, "uris" : [ "http://www.mendeley.com/documents/?uuid=747b954f-b2e9-4215-ac98-66d6ee79cfb3" ] }, { "id" : "ITEM-3", "itemData" : { "DOI" : "10.1016/j.progpolymsci.2010.07.005", "ISBN" : "0079-6700", "ISSN" : "00796700", "abstract" : "This paper reviews recent advances in the modification of graphene and the fabrication of graphene-based polymer nanocomposites. Recently, graphene has attracted both academic and industrial interest because it can produce a dramatic improvement in properties at very low filler content. The modification of graphene/graphene oxide and the utilization of these materials in the fabrication of nanocomposites with different polymer matrixes have been explored. Different organic polymers have been used to fabricate graphene filled polymer nanocomposites by a range of methods. In the case of modified graphene-based polymer nanocomposites, the percolation threshold can be achieved at a very lower filler loading. Herein, the structure, preparation and properties of polymer/graphene nanocomposites are discussed in general along with detailed examples drawn from the scientific literature.", "author" : [ { "dropping-particle" : "", "family" : "Kuilla", "given" : "Tapas", "non-dropping-particle" : "", "parse-names" : false, "suffix" : "" }, { "dropping-particle" : "", "family" : "Bhadra", "given" : "Sambhu", "non-dropping-particle" : "", "parse-names" : false, "suffix" : "" }, { "dropping-particle" : "", "family" : "Yao", "given" : "Dahu H", "non-dropping-particle" : "", "parse-names" : false, "suffix" : "" }, { "dropping-particle" : "", "family" : "Kim", "given" : "Nam Hoon", "non-dropping-particle" : "", "parse-names" : false, "suffix" : "" }, { "dropping-particle" : "", "family" : "Bose", "given" : "Saswata", "non-dropping-particle" : "", "parse-names" : false, "suffix" : "" }, { "dropping-particle" : "", "family" : "Lee", "given" : "Joong Hee", "non-dropping-particle" : "", "parse-names" : false, "suffix" : "" } ], "container-title" : "Progress in Polymer Science", "id" : "ITEM-3", "issue" : "11", "issued" : { "date-parts" : [ [ "2010" ] ] }, "page" : "1350-1375", "publisher" : "Elsevier Ltd", "title" : "Recent advances in graphene based polymer composites", "type" : "article-journal", "volume" : "35" }, "uris" : [ "http://www.mendeley.com/documents/?uuid=36b48c7c-817c-40b0-872c-d6b742a7f431" ] }, { "id" : "ITEM-4", "itemData" : { "DOI" : "10.1039/c0jm02708a", "author" : [ { "dropping-particle" : "", "family" : "Verdejo", "given" : "Raquel", "non-dropping-particle" : "", "parse-names" : false, "suffix" : "" }, { "dropping-particle" : "", "family" : "Bernal", "given" : "M Mar", "non-dropping-particle" : "", "parse-names" : false, "suffix" : "" }, { "dropping-particle" : "", "family" : "Romasanta", "given" : "Laura J", "non-dropping-particle" : "", "parse-names" : false, "suffix" : "" }, { "dropping-particle" : "", "family" : "Lopez-manchado", "given" : "Miguel A", "non-dropping-particle" : "", "parse-names" : false, "suffix" : "" } ], "container-title" : "Journal of Materials Chemistry", "id" : "ITEM-4", "issued" : { "date-parts" : [ [ "2011" ] ] }, "page" : "3301-3310", "title" : "Graphene filled polymer nanocomposites \u2020", "type" : "article-journal", "volume" : "21" }, "uris" : [ "http://www.mendeley.com/documents/?uuid=77486f81-42f9-4e54-ac06-8d420fa26610" ] } ], "mendeley" : { "formattedCitation" : "[19,60\u201362]", "plainTextFormattedCitation" : "[19,60\u201362]", "previouslyFormattedCitation" : "[19,60\u201362]"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[19,60–62]</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3BE3E976" w14:textId="77777777" w:rsidR="003C6953" w:rsidRPr="000356D0" w:rsidRDefault="003C6953" w:rsidP="003C6953">
      <w:pPr>
        <w:spacing w:after="0" w:line="480" w:lineRule="auto"/>
        <w:jc w:val="both"/>
        <w:rPr>
          <w:rFonts w:ascii="Times New Roman" w:hAnsi="Times New Roman" w:cs="Times New Roman"/>
          <w:sz w:val="24"/>
          <w:szCs w:val="24"/>
        </w:rPr>
      </w:pPr>
    </w:p>
    <w:p w14:paraId="31803833" w14:textId="28A7C4F8" w:rsidR="003C6953" w:rsidRDefault="00B06015" w:rsidP="003C6953">
      <w:pPr>
        <w:pStyle w:val="Heading2"/>
        <w:spacing w:before="0"/>
      </w:pPr>
      <w:bookmarkStart w:id="30" w:name="_Toc518823235"/>
      <w:r>
        <w:t>2.</w:t>
      </w:r>
      <w:r w:rsidR="003C6953">
        <w:t>4.2. Polyester and unsaturated polyester</w:t>
      </w:r>
      <w:bookmarkEnd w:id="30"/>
      <w:r w:rsidR="003C6953">
        <w:t xml:space="preserve"> </w:t>
      </w:r>
    </w:p>
    <w:p w14:paraId="1EF8B853" w14:textId="30B20336" w:rsidR="003C6953" w:rsidRPr="0039041A" w:rsidRDefault="003C6953" w:rsidP="003C6953">
      <w:pPr>
        <w:spacing w:after="0" w:line="480" w:lineRule="auto"/>
        <w:jc w:val="both"/>
        <w:rPr>
          <w:rFonts w:asciiTheme="majorBidi" w:hAnsiTheme="majorBidi" w:cstheme="majorBidi"/>
          <w:bCs/>
          <w:sz w:val="24"/>
          <w:szCs w:val="24"/>
        </w:rPr>
      </w:pPr>
      <w:r>
        <w:rPr>
          <w:rFonts w:ascii="Times New Roman" w:hAnsi="Times New Roman" w:cs="Times New Roman"/>
          <w:sz w:val="24"/>
          <w:szCs w:val="24"/>
        </w:rPr>
        <w:t xml:space="preserve">Polyesters are one of the most versatile synthetic copolymers which contain ester groups in its main chain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"author" : [ { "dropping-particle" : "", "family" : "Reinhold", "given" : "", "non-dropping-particle" : "", "parse-names" : false, "suffix" : "" } ], "id" : "ITEM-1", "issued" : { "date-parts" : [ [ "1956" ] ] }, "publisher" : "Bjorksten research laboratories", "title" : "Polyesters and their applications", "type" : "book" }, "uris" : [ "http://www.mendeley.com/documents/?uuid=83a84741-dde4-4cfd-a4ea-cfc13f5913df" ] }, { "id" : "ITEM-2", "itemData" : { "DOI" : "http://dx.doi.org/10.5772/48479", "ISBN" : "978-953-51-0770-5", "ISSN" : "9789533070865", "abstract" : "Electrical resistant polyester resins can be prepared by using dibasic acids e.g. isophthalic acid, maleic anhydride and neopentyl glycol [53] or tetrabromobisphenol-A [51] in place of phthalic anhydride or propylene glycol. Electrical resistance of polyester resins can be further improved by blending with various additives such as antimony trioxide [54], kaolin [55], mica [56] and calcium carbonate [57]. Such types of resins are generally used in printed circuit board, electrical appliances and electronic equipments.", "author" : [ { "dropping-particle" : "", "family" : "Dholakiya", "given" : "Bharat", "non-dropping-particle" : "", "parse-names" : false, "suffix" : "" } ], "container-title" : "Polyester", "editor" : [ { "dropping-particle" : "", "family" : "M.Saleh", "given" : "Hosam El-Din", "non-dropping-particle" : "", "parse-names" : false, "suffix" : "" } ], "id" : "ITEM-2", "issued" : { "date-parts" : [ [ "2012" ] ] }, "page" : "167-202", "publisher" : "Intech", "title" : "Unsaturated Polyester Resin for Specialty Applications", "type" : "chapter" }, "uris" : [ "http://www.mendeley.com/documents/?uuid=7f160425-d74c-40a0-a2ba-a090521083f2" ] } ], "mendeley" : { "formattedCitation" : "[63,64]", "plainTextFormattedCitation" : "[63,64]", "previouslyFormattedCitation" : "[63,64]"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[63,64]</w:t>
      </w:r>
      <w:r>
        <w:rPr>
          <w:rFonts w:ascii="Times New Roman" w:hAnsi="Times New Roman" w:cs="Times New Roman"/>
          <w:sz w:val="24"/>
          <w:szCs w:val="24"/>
        </w:rPr>
        <w:fldChar w:fldCharType="end"/>
      </w:r>
      <w:r>
        <w:rPr>
          <w:rFonts w:ascii="Times New Roman" w:hAnsi="Times New Roman" w:cs="Times New Roman"/>
          <w:sz w:val="24"/>
          <w:szCs w:val="24"/>
        </w:rPr>
        <w:t xml:space="preserve">. They are widely used as fibres, plastics, composites and coatings. Common polyesters include saturated polyester resin, unsaturated polyester resin, alkyd resin, and vinyl ester resin, etc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"http://dx.doi.org/10.5772/48479", "ISBN" : "978-953-51-0770-5", "ISSN" : "9789533070865", "abstract" : "Electrical resistant polyester resins can be prepared by using dibasic acids e.g. isophthalic acid, maleic anhydride and neopentyl glycol [53] or tetrabromobisphenol-A [51] in place of phthalic anhydride or propylene glycol. Electrical resistance of polyester resins can be further improved by blending with various additives such as antimony trioxide [54], kaolin [55], mica [56] and calcium carbonate [57]. Such types of resins are generally used in printed circuit board, electrical appliances and electronic equipments.", "author" : [ { "dropping-particle" : "", "family" : "Dholakiya", "given" : "Bharat", "non-dropping-particle" : "", "parse-names" : false, "suffix" : "" } ], "container-title" : "Polyester", "editor" : [ { "dropping-particle" : "", "family" : "M.Saleh", "given" : "Hosam El-Din", "non-dropping-particle" : "", "parse-names" : false, "suffix" : "" } ], "id" : "ITEM-1", "issued" : { "date-parts" : [ [ "2012" ] ] }, "page" : "167-202", "publisher" : "Intech", "title" : "Unsaturated Polyester Resin for Specialty Applications", "type" : "chapter" }, "uris" : [ "http://www.mendeley.com/documents/?uuid=7f160425-d74c-40a0-a2ba-a090521083f2" ] } ], "mendeley" : { "formattedCitation" : "[64]", "plainTextFormattedCitation" : "[64]", "previouslyFormattedCitation" : "[64]"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[64]</w:t>
      </w:r>
      <w:r>
        <w:rPr>
          <w:rFonts w:ascii="Times New Roman" w:hAnsi="Times New Roman" w:cs="Times New Roman"/>
          <w:sz w:val="24"/>
          <w:szCs w:val="24"/>
        </w:rPr>
        <w:fldChar w:fldCharType="end"/>
      </w:r>
      <w:r>
        <w:rPr>
          <w:rFonts w:ascii="Times New Roman" w:hAnsi="Times New Roman" w:cs="Times New Roman"/>
          <w:sz w:val="24"/>
          <w:szCs w:val="24"/>
        </w:rPr>
        <w:t>. Unsaturated polyester resins (</w:t>
      </w:r>
      <w:r>
        <w:rPr>
          <w:rFonts w:asciiTheme="majorBidi" w:hAnsiTheme="majorBidi" w:cstheme="majorBidi" w:hint="eastAsia"/>
          <w:bCs/>
          <w:sz w:val="24"/>
          <w:szCs w:val="24"/>
        </w:rPr>
        <w:t>UPR</w:t>
      </w:r>
      <w:r>
        <w:rPr>
          <w:rFonts w:asciiTheme="majorBidi" w:hAnsiTheme="majorBidi" w:cstheme="majorBidi"/>
          <w:bCs/>
          <w:sz w:val="24"/>
          <w:szCs w:val="24"/>
        </w:rPr>
        <w:t>)</w:t>
      </w:r>
      <w:r w:rsidRPr="00D13A1E">
        <w:rPr>
          <w:rFonts w:asciiTheme="majorBidi" w:hAnsiTheme="majorBidi" w:cstheme="majorBidi" w:hint="eastAsia"/>
          <w:bCs/>
          <w:sz w:val="24"/>
          <w:szCs w:val="24"/>
        </w:rPr>
        <w:t xml:space="preserve"> </w:t>
      </w:r>
      <w:r>
        <w:rPr>
          <w:rFonts w:asciiTheme="majorBidi" w:hAnsiTheme="majorBidi" w:cstheme="majorBidi"/>
          <w:bCs/>
          <w:sz w:val="24"/>
          <w:szCs w:val="24"/>
        </w:rPr>
        <w:t>are</w:t>
      </w:r>
      <w:r w:rsidRPr="00D13A1E">
        <w:rPr>
          <w:rFonts w:asciiTheme="majorBidi" w:hAnsiTheme="majorBidi" w:cstheme="majorBidi" w:hint="eastAsia"/>
          <w:bCs/>
          <w:sz w:val="24"/>
          <w:szCs w:val="24"/>
        </w:rPr>
        <w:t xml:space="preserve"> thermosetting </w:t>
      </w:r>
      <w:r w:rsidRPr="00D13A1E">
        <w:rPr>
          <w:rFonts w:asciiTheme="majorBidi" w:hAnsiTheme="majorBidi" w:cstheme="majorBidi"/>
          <w:bCs/>
          <w:sz w:val="24"/>
          <w:szCs w:val="24"/>
        </w:rPr>
        <w:t>polymer</w:t>
      </w:r>
      <w:r>
        <w:rPr>
          <w:rFonts w:asciiTheme="majorBidi" w:hAnsiTheme="majorBidi" w:cstheme="majorBidi"/>
          <w:bCs/>
          <w:sz w:val="24"/>
          <w:szCs w:val="24"/>
        </w:rPr>
        <w:t>s</w:t>
      </w:r>
      <w:r w:rsidRPr="00D13A1E">
        <w:rPr>
          <w:rFonts w:asciiTheme="majorBidi" w:hAnsiTheme="majorBidi" w:cstheme="majorBidi"/>
          <w:bCs/>
          <w:sz w:val="24"/>
          <w:szCs w:val="24"/>
        </w:rPr>
        <w:t>, which</w:t>
      </w:r>
      <w:r w:rsidRPr="00D13A1E">
        <w:rPr>
          <w:rFonts w:asciiTheme="majorBidi" w:hAnsiTheme="majorBidi" w:cstheme="majorBidi" w:hint="eastAsia"/>
          <w:bCs/>
          <w:sz w:val="24"/>
          <w:szCs w:val="24"/>
        </w:rPr>
        <w:t xml:space="preserve"> is </w:t>
      </w:r>
      <w:r>
        <w:rPr>
          <w:rFonts w:asciiTheme="majorBidi" w:hAnsiTheme="majorBidi" w:cstheme="majorBidi"/>
          <w:bCs/>
          <w:sz w:val="24"/>
          <w:szCs w:val="24"/>
        </w:rPr>
        <w:t xml:space="preserve">condensed from unsaturated acids or anhydrides and diols. The vinyl groups (C=C bond) in polyester chains provides active sites for crosslinking under proper condition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"10.1016/B978-081551421-3.50007-2", "ISBN" : "978-1-4615-6389-1", "ISSN" : "07230192", "abstract" : "2.1 INTRODUCTION AND HISTORY sored production of styrene-butadiene rubber. Organic polymers are divided into two types, reinforced-thermoplastic and thermoset. With thermoset polymers such as unsaturated poly-esters and vinyl esters, a chemical reaction cross links the material so that it cannot be returned to liquid form. Other common ther-mosetting polymers include epoxy and phenolic resins. Thermoset plastics made with polyester and vinyl ester resins represent the major portion of the reinforced plastic com-posites industry today. Early workers on unsaturated polyesters soon learned that despite the possession of reactive double bonds, these resins were slug-gish in reacting with themselves. Even with effective catalysts, they still required high tem-peratures and lengthy cure times to complete the cross linking reaction. The key to modern day application of unsaturated polyesters was the discovery by Carlton Ellis in 1937l that the addition of reactive monomers, such as styrene, gave mixtures that would copolymerize many times faster than homopolymerization. The styrene addition produced the added benefit of an easily handled liquid material that could be pumped, transported and fabricated into a fin-ished plastic by a myriad of molding processes. Developments during the 1940s accelerated the commercial applicability of unsaturated polyesters to the position they hold today. Styrene became readily available and lower in cost as a result of the US Government's spon-Handbook of Composites. Edited by S.T. Peters. Published in 1998 by Chapman &amp; Hall, London. ISBN 0 412 54020 7 At the same time, scientists found that styre-nated polyesters could yield high strength, light weight structures when reinforced with glass fibers. They also learned that fiberglass-reinforced polyesters had excellent electrical properties and that large structures could be molded at low pressures with low cost tooling. As a result, commercial development pro-ceeded rapidly after World War I1 with materials and molding research moving in many directions. In the 20 years that followed, polyester and vinyl ester resins matured rapidly and by the mid-l970s, the composites fabricator and end user had numerous options with these matrix systems to achieve the desired properties in the finished part. 2.2 POLYESTER RESINS", "author" : [ { "dropping-particle" : "", "family" : "Zaske", "given" : "Oscar C.", "non-dropping-particle" : "", "parse-names" : false, "suffix" : "" }, { "dropping-particle" : "", "family" : "Goodman", "given" : "Sidney H.", "non-dropping-particle" : "", "parse-names" : false, "suffix" : "" } ], "container-title" : "Handbook of Thermoset Plastics", "id" : "ITEM-1", "issued" : { "date-parts" : [ [ "1998" ] ] }, "page" : "97-168", "title" : "Unsaturated Polyester and Vinyl Ester Resins", "type" : "chapter" }, "uris" : [ "http://www.mendeley.com/documents/?uuid=c47ac9a8-c2ed-4e7f-8b71-92b4916ffb23" ] }, { "id" : "ITEM-2", "itemData" : { "author" : [ { "dropping-particle" : "", "family" : "Reinhold", "given" : "", "non-dropping-particle" : "", "parse-names" : false, "suffix" : "" } ], "id" : "ITEM-2", "issued" : { "date-parts" : [ [ "1956" ] ] }, "publisher" : "Bjorksten research laboratories", "title" : "Polyesters and their applications", "type" : "book" }, "uris" : [ "http://www.mendeley.com/documents/?uuid=83a84741-dde4-4cfd-a4ea-cfc13f5913df" ] } ], "mendeley" : { "formattedCitation" : "[63,65]", "plainTextFormattedCitation" : "[63,65]", "previouslyFormattedCitation" : "[63,65]"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[63,65]</w:t>
      </w:r>
      <w:r>
        <w:rPr>
          <w:rFonts w:asciiTheme="majorBidi" w:hAnsiTheme="majorBidi" w:cstheme="majorBidi"/>
          <w:bCs/>
          <w:sz w:val="24"/>
          <w:szCs w:val="24"/>
        </w:rPr>
        <w:fldChar w:fldCharType="end"/>
      </w:r>
      <w:r>
        <w:rPr>
          <w:rFonts w:asciiTheme="majorBidi" w:hAnsiTheme="majorBidi" w:cstheme="majorBidi"/>
          <w:bCs/>
          <w:sz w:val="24"/>
          <w:szCs w:val="24"/>
        </w:rPr>
        <w:t xml:space="preserve">. Owing to its feasibility, high chemical resistance, and good mechanical properties, UPR has been widely used in many applications such as </w:t>
      </w:r>
      <w:r w:rsidRPr="00D13A1E">
        <w:rPr>
          <w:rFonts w:asciiTheme="majorBidi" w:hAnsiTheme="majorBidi" w:cstheme="majorBidi" w:hint="eastAsia"/>
          <w:bCs/>
          <w:sz w:val="24"/>
          <w:szCs w:val="24"/>
        </w:rPr>
        <w:t>sanitary-ware, pipes, tanks, gratings, and high performance components for boats, buses and automotive industry</w:t>
      </w:r>
      <w:r>
        <w:rPr>
          <w:rFonts w:asciiTheme="majorBidi" w:hAnsiTheme="majorBidi" w:cstheme="majorBidi"/>
          <w:bCs/>
          <w:sz w:val="24"/>
          <w:szCs w:val="24"/>
        </w:rPr>
        <w:t xml:space="preserve">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"abstract" : "In this paper the curing behaviour of unsaturated polyester containing different concentration of styrene monomer has been investigated via measuring viscosity, gel time, and maximum exotherm temperature. In addition the effect of styrene concentrations on the tensile and modulus properties of unsaturated polyester is studied. The MEKP with different concentrations was used as initiator for curing the unsaturated polyester and DMA curing accelerator with different ratios started with 0.1, 0.2 and 0.3. The effect of varying the level of water content on the exotherm behaviour was investigated. The results show that the water affects the action of initiator and accelerator system. The results also show that the density and viscosity of unsaturated polyester decline with the increase of styrene concentration. The viscosity is 219.3 cP at 26 \u00baC for the (60%up-40%st), 98.4 cP at 26 \u00baC for the (50%up-50%st), and 39 cP at 26 \u00baC for the (40%up-60%st). The increasing styrene concentration for certain concentration of MEKP decreases the maximum tensile strength and tensile modulus. Besides, variation of MEKP and DMA ratio does not have any significant effect on the mechanical properties of the material such as, maximum strength and tensile modulus. Maximum strength and tensile modulus have the same trend for various concentration ratios of styrene.", "author" : [ { "dropping-particle" : "", "family" : "A", "given" : "Osman E", "non-dropping-particle" : "", "parse-names" : false, "suffix" : "" } ], "container-title" : "Malaysian Polymer Journal", "id" : "ITEM-1", "issue" : "2", "issued" : { "date-parts" : [ [ "2012" ] ] }, "page" : "46-55", "title" : "Curing Behaviour and Tensile Properties of Unsaturated Polyester Containing Various Styrene Concentrations", "type" : "article-journal", "volume" : "7" }, "uris" : [ "http://www.mendeley.com/documents/?uuid=a42081ae-7654-456b-8a58-855c254a4b24" ] }, { "id" : "ITEM-2", "itemData" : { "DOI" : "10.1016/S0032-3861(03)00014-4", "author" : [ { "dropping-particle" : "", "family" : "Cao", "given" : "Xia", "non-dropping-particle" : "", "parse-names" : false, "suffix" : "" }, { "dropping-particle" : "", "family" : "Lee", "given" : "L James", "non-dropping-particle" : "", "parse-names" : false, "suffix" : "" } ], "container-title" : "Polymer", "id" : "ITEM-2", "issued" : { "date-parts" : [ [ "2003" ] ] }, "page" : "1893-1902", "title" : "Control of shrinkage and residual styrene of unsaturated polyester resins cured at low temperatures : I . Effect of curing agents", "type" : "article-journal", "volume" : "44" }, "uris" : [ "http://www.mendeley.com/documents/?uuid=75bb2ae6-ac87-4200-965d-f7e010b2a703" ] } ], "mendeley" : { "formattedCitation" : "[66,67]", "plainTextFormattedCitation" : "[66,67]", "previouslyFormattedCitation" : "[66,67]"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[66,67]</w:t>
      </w:r>
      <w:r>
        <w:rPr>
          <w:rFonts w:asciiTheme="majorBidi" w:hAnsiTheme="majorBidi" w:cstheme="majorBidi"/>
          <w:bCs/>
          <w:sz w:val="24"/>
          <w:szCs w:val="24"/>
        </w:rPr>
        <w:fldChar w:fldCharType="end"/>
      </w:r>
      <w:r>
        <w:rPr>
          <w:rFonts w:asciiTheme="majorBidi" w:hAnsiTheme="majorBidi" w:cstheme="majorBidi"/>
          <w:bCs/>
          <w:sz w:val="24"/>
          <w:szCs w:val="24"/>
        </w:rPr>
        <w:t xml:space="preserve">. Compared to epoxy, the mechanical properties of UPR is inferior. However, this can be solved by combing various reinforcements for specific requirements. </w:t>
      </w:r>
      <w:r w:rsidRPr="00D13A1E">
        <w:rPr>
          <w:rFonts w:asciiTheme="majorBidi" w:hAnsiTheme="majorBidi" w:cstheme="majorBidi"/>
          <w:bCs/>
          <w:sz w:val="24"/>
          <w:szCs w:val="24"/>
        </w:rPr>
        <w:t>There thr</w:t>
      </w:r>
      <w:r>
        <w:rPr>
          <w:rFonts w:asciiTheme="majorBidi" w:hAnsiTheme="majorBidi" w:cstheme="majorBidi"/>
          <w:bCs/>
          <w:sz w:val="24"/>
          <w:szCs w:val="24"/>
        </w:rPr>
        <w:t>ee categories of UPR, which is ortho-phthalic polyester resin, i</w:t>
      </w:r>
      <w:r w:rsidRPr="00D13A1E">
        <w:rPr>
          <w:rFonts w:asciiTheme="majorBidi" w:hAnsiTheme="majorBidi" w:cstheme="majorBidi"/>
          <w:bCs/>
          <w:sz w:val="24"/>
          <w:szCs w:val="24"/>
        </w:rPr>
        <w:t>so</w:t>
      </w:r>
      <w:r>
        <w:rPr>
          <w:rFonts w:asciiTheme="majorBidi" w:hAnsiTheme="majorBidi" w:cstheme="majorBidi"/>
          <w:bCs/>
          <w:sz w:val="24"/>
          <w:szCs w:val="24"/>
        </w:rPr>
        <w:t>-phthalic polyester resin, and tere-</w:t>
      </w:r>
      <w:r w:rsidRPr="00D13A1E">
        <w:rPr>
          <w:rFonts w:asciiTheme="majorBidi" w:hAnsiTheme="majorBidi" w:cstheme="majorBidi"/>
          <w:bCs/>
          <w:sz w:val="24"/>
          <w:szCs w:val="24"/>
        </w:rPr>
        <w:t>hthalic polyester resin</w:t>
      </w:r>
      <w:r>
        <w:rPr>
          <w:rFonts w:asciiTheme="majorBidi" w:hAnsiTheme="majorBidi" w:cstheme="majorBidi"/>
          <w:bCs/>
          <w:sz w:val="24"/>
          <w:szCs w:val="24"/>
        </w:rPr>
        <w:t xml:space="preserve">. </w:t>
      </w:r>
      <w:r w:rsidRPr="00D13A1E">
        <w:rPr>
          <w:rFonts w:asciiTheme="majorBidi" w:hAnsiTheme="majorBidi" w:cstheme="majorBidi"/>
          <w:bCs/>
          <w:sz w:val="24"/>
          <w:szCs w:val="24"/>
        </w:rPr>
        <w:t xml:space="preserve">. Ortho-phthalic polyester resin is a basic economic </w:t>
      </w:r>
      <w:r>
        <w:rPr>
          <w:rFonts w:asciiTheme="majorBidi" w:hAnsiTheme="majorBidi" w:cstheme="majorBidi"/>
          <w:bCs/>
          <w:sz w:val="24"/>
          <w:szCs w:val="24"/>
        </w:rPr>
        <w:t xml:space="preserve">resin for many manufacture with general purpose. It is much cheaper compared to other resins, but the properties such as strength, chemical resistance is relatively inferior. </w:t>
      </w:r>
      <w:r w:rsidRPr="00D13A1E">
        <w:rPr>
          <w:rFonts w:asciiTheme="majorBidi" w:hAnsiTheme="majorBidi" w:cstheme="majorBidi"/>
          <w:bCs/>
          <w:sz w:val="24"/>
          <w:szCs w:val="24"/>
        </w:rPr>
        <w:t>Iso-phthalic polyester exhibits higher-grade performance of strength, chemical resistance</w:t>
      </w:r>
      <w:r>
        <w:rPr>
          <w:rFonts w:asciiTheme="majorBidi" w:hAnsiTheme="majorBidi" w:cstheme="majorBidi"/>
          <w:bCs/>
          <w:sz w:val="24"/>
          <w:szCs w:val="24"/>
        </w:rPr>
        <w:t>, water resistance,</w:t>
      </w:r>
      <w:r w:rsidRPr="00D13A1E">
        <w:rPr>
          <w:rFonts w:asciiTheme="majorBidi" w:hAnsiTheme="majorBidi" w:cstheme="majorBidi"/>
          <w:bCs/>
          <w:sz w:val="24"/>
          <w:szCs w:val="24"/>
        </w:rPr>
        <w:t xml:space="preserve"> and flexibility. However, it is only utilized in demanding applications.</w:t>
      </w:r>
      <w:r>
        <w:rPr>
          <w:rFonts w:asciiTheme="majorBidi" w:hAnsiTheme="majorBidi" w:cstheme="majorBidi"/>
          <w:bCs/>
          <w:sz w:val="24"/>
          <w:szCs w:val="24"/>
        </w:rPr>
        <w:t xml:space="preserve"> </w:t>
      </w:r>
      <w:r w:rsidRPr="00D13A1E">
        <w:rPr>
          <w:rFonts w:asciiTheme="majorBidi" w:hAnsiTheme="majorBidi" w:cstheme="majorBidi"/>
          <w:bCs/>
          <w:sz w:val="24"/>
          <w:szCs w:val="24"/>
        </w:rPr>
        <w:t xml:space="preserve">Tere-phthelic polyester resin is currently manufactured in a very limited volume and applied as a specific resin. That is because it is difficult for making it from tere-phthelic acid and glycol. </w:t>
      </w:r>
    </w:p>
    <w:p w14:paraId="46C3F9AE" w14:textId="77777777" w:rsidR="003C6953" w:rsidRDefault="003C6953" w:rsidP="003C6953">
      <w:pPr>
        <w:spacing w:after="0" w:line="480" w:lineRule="auto"/>
        <w:ind w:firstLine="360"/>
        <w:jc w:val="both"/>
        <w:rPr>
          <w:rFonts w:asciiTheme="majorBidi" w:hAnsiTheme="majorBidi" w:cstheme="majorBidi"/>
          <w:bCs/>
          <w:sz w:val="24"/>
          <w:szCs w:val="24"/>
        </w:rPr>
      </w:pPr>
      <w:r w:rsidRPr="007111B8">
        <w:rPr>
          <w:rFonts w:asciiTheme="majorBidi" w:hAnsiTheme="majorBidi" w:cstheme="majorBidi"/>
          <w:bCs/>
          <w:sz w:val="24"/>
          <w:szCs w:val="24"/>
        </w:rPr>
        <w:t>Most of unsaturated polyester resin</w:t>
      </w:r>
      <w:r>
        <w:rPr>
          <w:rFonts w:asciiTheme="majorBidi" w:hAnsiTheme="majorBidi" w:cstheme="majorBidi"/>
          <w:bCs/>
          <w:sz w:val="24"/>
          <w:szCs w:val="24"/>
        </w:rPr>
        <w:t>s</w:t>
      </w:r>
      <w:r w:rsidRPr="007111B8">
        <w:rPr>
          <w:rFonts w:asciiTheme="majorBidi" w:hAnsiTheme="majorBidi" w:cstheme="majorBidi"/>
          <w:bCs/>
          <w:sz w:val="24"/>
          <w:szCs w:val="24"/>
        </w:rPr>
        <w:t xml:space="preserve"> </w:t>
      </w:r>
      <w:r>
        <w:rPr>
          <w:rFonts w:asciiTheme="majorBidi" w:hAnsiTheme="majorBidi" w:cstheme="majorBidi"/>
          <w:bCs/>
          <w:sz w:val="24"/>
          <w:szCs w:val="24"/>
        </w:rPr>
        <w:t xml:space="preserve">are </w:t>
      </w:r>
      <w:r w:rsidRPr="007111B8">
        <w:rPr>
          <w:rFonts w:asciiTheme="majorBidi" w:hAnsiTheme="majorBidi" w:cstheme="majorBidi"/>
          <w:bCs/>
          <w:sz w:val="24"/>
          <w:szCs w:val="24"/>
        </w:rPr>
        <w:t>viscous, pale coloured liquid in low-molar-mass solvent, which is usually styrene (normally 33-35</w:t>
      </w:r>
      <w:r>
        <w:rPr>
          <w:rFonts w:asciiTheme="majorBidi" w:hAnsiTheme="majorBidi" w:cstheme="majorBidi"/>
          <w:bCs/>
          <w:sz w:val="24"/>
          <w:szCs w:val="24"/>
        </w:rPr>
        <w:t xml:space="preserve"> wt.</w:t>
      </w:r>
      <w:r w:rsidRPr="007111B8">
        <w:rPr>
          <w:rFonts w:asciiTheme="majorBidi" w:hAnsiTheme="majorBidi" w:cstheme="majorBidi"/>
          <w:bCs/>
          <w:sz w:val="24"/>
          <w:szCs w:val="24"/>
        </w:rPr>
        <w:t>%, up to 50%). The presence of styrene is to make the UPR easier to be handled at room temperature by reducing the viscosity</w:t>
      </w:r>
      <w:r>
        <w:rPr>
          <w:rFonts w:asciiTheme="majorBidi" w:hAnsiTheme="majorBidi" w:cstheme="majorBidi"/>
          <w:bCs/>
          <w:sz w:val="24"/>
          <w:szCs w:val="24"/>
        </w:rPr>
        <w:t xml:space="preserve">. Moreover, it acts </w:t>
      </w:r>
      <w:r w:rsidRPr="007111B8">
        <w:rPr>
          <w:rFonts w:asciiTheme="majorBidi" w:hAnsiTheme="majorBidi" w:cstheme="majorBidi"/>
          <w:bCs/>
          <w:sz w:val="24"/>
          <w:szCs w:val="24"/>
        </w:rPr>
        <w:t xml:space="preserve">as an agent for linking the adjacent polyester molecules [1]. </w:t>
      </w:r>
      <w:r>
        <w:rPr>
          <w:rFonts w:ascii="Times New Roman" w:hAnsi="Times New Roman" w:cs="Times New Roman"/>
          <w:sz w:val="24"/>
          <w:szCs w:val="24"/>
        </w:rPr>
        <w:t xml:space="preserve">During the curing process, organic peroxide (i.e. Methyl ethyl ketone peroxide (MEKP)) is usually used as catalysts or initiators, cobalt salts used as accelerators or promoters [13]. In the UPR/styrene system, styrene links polymer chains by free radical reactions, which is initiated by organic peroxide. Figure 2.7 illustrates the mechanism of the crosslinking reaction of UPR, in which it shows four possible polymerization: </w:t>
      </w:r>
      <w:r w:rsidRPr="007111B8">
        <w:rPr>
          <w:rFonts w:asciiTheme="majorBidi" w:hAnsiTheme="majorBidi" w:cstheme="majorBidi"/>
          <w:bCs/>
          <w:sz w:val="24"/>
          <w:szCs w:val="24"/>
        </w:rPr>
        <w:t>(1) Intermolecular crosslinking with or without linking through styrene monomers (microscopic network formation). (2) Intramolecular crosslinking with or without linking through styrene monomers (cyclization) which occur among pendant C=C bonds. (3) Branching on the polyester molecules by styrene monomers, which do little effect on the formation of network. (4) Styrene homopolymerization. However, the first two reactions contribute the ST-UPS system. There is a trend for these long chains to coil up to spherical structures because of the intramolecular crosslinking among pend</w:t>
      </w:r>
      <w:r w:rsidRPr="007111B8">
        <w:rPr>
          <w:rFonts w:asciiTheme="majorBidi" w:hAnsiTheme="majorBidi" w:cstheme="majorBidi" w:hint="eastAsia"/>
          <w:bCs/>
          <w:sz w:val="24"/>
          <w:szCs w:val="24"/>
        </w:rPr>
        <w:t>a</w:t>
      </w:r>
      <w:r w:rsidRPr="007111B8">
        <w:rPr>
          <w:rFonts w:asciiTheme="majorBidi" w:hAnsiTheme="majorBidi" w:cstheme="majorBidi"/>
          <w:bCs/>
          <w:sz w:val="24"/>
          <w:szCs w:val="24"/>
        </w:rPr>
        <w:t>nt C=C bonds. This spherical-type structure also called “micro gel particles” [7].</w:t>
      </w:r>
    </w:p>
    <w:p w14:paraId="674E6485" w14:textId="77777777" w:rsidR="003C6953" w:rsidRDefault="003C6953" w:rsidP="003C6953">
      <w:pPr>
        <w:spacing w:after="0" w:line="480" w:lineRule="auto"/>
        <w:jc w:val="both"/>
        <w:rPr>
          <w:rFonts w:asciiTheme="majorBidi" w:hAnsiTheme="majorBidi" w:cstheme="majorBidi"/>
          <w:bCs/>
          <w:sz w:val="24"/>
          <w:szCs w:val="24"/>
        </w:rPr>
      </w:pPr>
    </w:p>
    <w:p w14:paraId="57F5C6E6" w14:textId="77777777" w:rsidR="003C6953" w:rsidRDefault="003C6953" w:rsidP="003C6953">
      <w:pPr>
        <w:spacing w:after="0" w:line="480" w:lineRule="auto"/>
        <w:ind w:firstLine="540"/>
        <w:jc w:val="center"/>
        <w:rPr>
          <w:rFonts w:ascii="Times New Roman" w:hAnsi="Times New Roman" w:cs="Times New Roman"/>
          <w:sz w:val="24"/>
          <w:szCs w:val="24"/>
        </w:rPr>
      </w:pPr>
      <w:r w:rsidRPr="00A610A0">
        <w:rPr>
          <w:rFonts w:asciiTheme="majorBidi" w:hAnsiTheme="majorBidi" w:cstheme="majorBidi"/>
          <w:bCs/>
          <w:noProof/>
          <w:sz w:val="24"/>
          <w:szCs w:val="24"/>
          <w:lang w:val="en-GB"/>
        </w:rPr>
        <w:drawing>
          <wp:inline distT="0" distB="0" distL="0" distR="0" wp14:anchorId="71F16DD2" wp14:editId="4721594E">
            <wp:extent cx="3638550" cy="282747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png"/>
                    <pic:cNvPicPr/>
                  </pic:nvPicPr>
                  <pic:blipFill>
                    <a:blip r:embed="rId18">
                      <a:extLst>
                        <a:ext uri="{28A0092B-C50C-407E-A947-70E740481C1C}">
                          <a14:useLocalDpi xmlns:a14="http://schemas.microsoft.com/office/drawing/2010/main" val="0"/>
                        </a:ext>
                      </a:extLst>
                    </a:blip>
                    <a:stretch>
                      <a:fillRect/>
                    </a:stretch>
                  </pic:blipFill>
                  <pic:spPr>
                    <a:xfrm>
                      <a:off x="0" y="0"/>
                      <a:ext cx="3697357" cy="2873174"/>
                    </a:xfrm>
                    <a:prstGeom prst="rect">
                      <a:avLst/>
                    </a:prstGeom>
                  </pic:spPr>
                </pic:pic>
              </a:graphicData>
            </a:graphic>
          </wp:inline>
        </w:drawing>
      </w:r>
    </w:p>
    <w:p w14:paraId="0ADC3A61" w14:textId="77777777" w:rsidR="003C6953" w:rsidRDefault="003C6953" w:rsidP="003C6953">
      <w:pPr>
        <w:spacing w:after="0" w:line="480" w:lineRule="auto"/>
        <w:ind w:firstLine="360"/>
        <w:jc w:val="both"/>
        <w:rPr>
          <w:rFonts w:asciiTheme="majorBidi" w:hAnsiTheme="majorBidi" w:cstheme="majorBidi"/>
          <w:bCs/>
          <w:sz w:val="24"/>
          <w:szCs w:val="24"/>
        </w:rPr>
      </w:pPr>
    </w:p>
    <w:p w14:paraId="3DB84007" w14:textId="796472AF" w:rsidR="003C6953" w:rsidRPr="00A610A0" w:rsidRDefault="00C560D3" w:rsidP="0005778C">
      <w:pPr>
        <w:pStyle w:val="Caption"/>
        <w:ind w:firstLine="0"/>
        <w:rPr>
          <w:rFonts w:asciiTheme="majorBidi" w:hAnsiTheme="majorBidi" w:cstheme="majorBidi"/>
          <w:bCs/>
          <w:szCs w:val="24"/>
        </w:rPr>
      </w:pPr>
      <w:bookmarkStart w:id="31" w:name="_Toc502661646"/>
      <w:bookmarkStart w:id="32" w:name="_Toc518823384"/>
      <w:r>
        <w:t>Figure 2.</w:t>
      </w:r>
      <w:r w:rsidR="0005778C">
        <w:fldChar w:fldCharType="begin"/>
      </w:r>
      <w:r w:rsidR="0005778C">
        <w:instrText xml:space="preserve"> SEQ Figure_2. \* ARABIC </w:instrText>
      </w:r>
      <w:r w:rsidR="0005778C">
        <w:fldChar w:fldCharType="separate"/>
      </w:r>
      <w:r w:rsidR="00551ED9">
        <w:rPr>
          <w:noProof/>
        </w:rPr>
        <w:t>7</w:t>
      </w:r>
      <w:r w:rsidR="0005778C">
        <w:fldChar w:fldCharType="end"/>
      </w:r>
      <w:r w:rsidR="0005778C">
        <w:t xml:space="preserve">. </w:t>
      </w:r>
      <w:r w:rsidR="003C6953" w:rsidRPr="00A610A0">
        <w:rPr>
          <w:rFonts w:asciiTheme="majorBidi" w:hAnsiTheme="majorBidi" w:cstheme="majorBidi"/>
          <w:bCs/>
          <w:szCs w:val="24"/>
        </w:rPr>
        <w:t>Schematic diagram for 4 possible reaction</w:t>
      </w:r>
      <w:r w:rsidR="003C6953">
        <w:rPr>
          <w:rFonts w:asciiTheme="majorBidi" w:hAnsiTheme="majorBidi" w:cstheme="majorBidi"/>
          <w:bCs/>
          <w:szCs w:val="24"/>
        </w:rPr>
        <w:t>s</w:t>
      </w:r>
      <w:r w:rsidR="003C6953" w:rsidRPr="00A610A0">
        <w:rPr>
          <w:rFonts w:asciiTheme="majorBidi" w:hAnsiTheme="majorBidi" w:cstheme="majorBidi"/>
          <w:bCs/>
          <w:szCs w:val="24"/>
        </w:rPr>
        <w:t xml:space="preserve"> in UPR</w:t>
      </w:r>
      <w:r w:rsidR="003C6953">
        <w:rPr>
          <w:rFonts w:asciiTheme="majorBidi" w:hAnsiTheme="majorBidi" w:cstheme="majorBidi"/>
          <w:bCs/>
          <w:szCs w:val="24"/>
        </w:rPr>
        <w:t>/styrene</w:t>
      </w:r>
      <w:r w:rsidR="003C6953" w:rsidRPr="00A610A0">
        <w:rPr>
          <w:rFonts w:asciiTheme="majorBidi" w:hAnsiTheme="majorBidi" w:cstheme="majorBidi"/>
          <w:bCs/>
          <w:szCs w:val="24"/>
        </w:rPr>
        <w:t xml:space="preserve"> system: (a) intermolec</w:t>
      </w:r>
      <w:r w:rsidR="003C6953">
        <w:rPr>
          <w:rFonts w:asciiTheme="majorBidi" w:hAnsiTheme="majorBidi" w:cstheme="majorBidi"/>
          <w:bCs/>
          <w:szCs w:val="24"/>
        </w:rPr>
        <w:t>ular crosslinking E-(Sn)-E, (b) intermolecular crosslinking E-E,</w:t>
      </w:r>
      <w:r w:rsidR="003C6953" w:rsidRPr="00A610A0">
        <w:rPr>
          <w:rFonts w:asciiTheme="majorBidi" w:hAnsiTheme="majorBidi" w:cstheme="majorBidi"/>
          <w:bCs/>
          <w:szCs w:val="24"/>
        </w:rPr>
        <w:t xml:space="preserve"> (c) intram</w:t>
      </w:r>
      <w:r w:rsidR="003C6953">
        <w:rPr>
          <w:rFonts w:asciiTheme="majorBidi" w:hAnsiTheme="majorBidi" w:cstheme="majorBidi"/>
          <w:bCs/>
          <w:szCs w:val="24"/>
        </w:rPr>
        <w:t xml:space="preserve">olecular crosslinking E-(Sn)-E, </w:t>
      </w:r>
      <w:r w:rsidR="003C6953" w:rsidRPr="00A610A0">
        <w:rPr>
          <w:rFonts w:asciiTheme="majorBidi" w:hAnsiTheme="majorBidi" w:cstheme="majorBidi"/>
          <w:bCs/>
          <w:szCs w:val="24"/>
        </w:rPr>
        <w:t xml:space="preserve">(d) </w:t>
      </w:r>
      <w:r w:rsidR="003C6953">
        <w:rPr>
          <w:rFonts w:asciiTheme="majorBidi" w:hAnsiTheme="majorBidi" w:cstheme="majorBidi"/>
          <w:bCs/>
          <w:szCs w:val="24"/>
        </w:rPr>
        <w:t>intramolecular crosslinking E-E,</w:t>
      </w:r>
      <w:r w:rsidR="003C6953" w:rsidRPr="00A610A0">
        <w:rPr>
          <w:rFonts w:asciiTheme="majorBidi" w:hAnsiTheme="majorBidi" w:cstheme="majorBidi"/>
          <w:bCs/>
          <w:szCs w:val="24"/>
        </w:rPr>
        <w:t xml:space="preserve"> (e) branching growth E-(Sn); (f) styrene homopolymerization Sn-Sn [1]</w:t>
      </w:r>
      <w:r w:rsidR="0005778C">
        <w:rPr>
          <w:rFonts w:asciiTheme="majorBidi" w:hAnsiTheme="majorBidi" w:cstheme="majorBidi"/>
          <w:bCs/>
          <w:szCs w:val="24"/>
        </w:rPr>
        <w:t>.</w:t>
      </w:r>
      <w:bookmarkEnd w:id="31"/>
      <w:bookmarkEnd w:id="32"/>
    </w:p>
    <w:p w14:paraId="607D2D80" w14:textId="77777777" w:rsidR="003C6953" w:rsidRPr="00A610A0" w:rsidRDefault="003C6953" w:rsidP="003C6953">
      <w:pPr>
        <w:pStyle w:val="ListParagraph"/>
        <w:spacing w:after="0" w:line="480" w:lineRule="auto"/>
        <w:jc w:val="both"/>
        <w:rPr>
          <w:rFonts w:asciiTheme="majorBidi" w:hAnsiTheme="majorBidi" w:cstheme="majorBidi"/>
          <w:bCs/>
          <w:sz w:val="24"/>
          <w:szCs w:val="24"/>
        </w:rPr>
      </w:pPr>
    </w:p>
    <w:p w14:paraId="3D4762FD" w14:textId="00939B7D" w:rsidR="003C6953" w:rsidRDefault="00B06015" w:rsidP="003C6953">
      <w:pPr>
        <w:pStyle w:val="Heading1"/>
        <w:spacing w:before="0"/>
      </w:pPr>
      <w:bookmarkStart w:id="33" w:name="_Toc518823236"/>
      <w:r>
        <w:t>2.</w:t>
      </w:r>
      <w:r w:rsidR="003C6953">
        <w:t>5. Polymer/graphene nanocomposites</w:t>
      </w:r>
      <w:bookmarkEnd w:id="33"/>
    </w:p>
    <w:p w14:paraId="72B34EC6" w14:textId="38F23983" w:rsidR="003C6953" w:rsidRPr="00C928F5"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Owing to its large specific surface area, and strong mechanical properties, graphene and its derivatives, such as graphene oxide, reduced graphene oxide, and expanded graphite etc.,  are considered as a potential candidate to reinforce polymer materials for widely applications. To date, many studies based on graphene-based polymers have been reported, such as epoxy/graphene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"10.1016/j.polymer.2011.02.003", "ISBN" : "00323861", "ISSN" : "00323861", "abstract" : "Graphene platelets (GP) are a novel class of nanofillers due to its good compatibility with most polymers, high aspect ratio, high absolute strength and cost-effectiveness. We in this study synthesised two types of epoxy/GP nanocomposites with different interface strength using the combination of sonication and chemical modification. Although the surface-modified graphene platelets (m-GP) formed clusters, a higher degree of dispersion and exfoliation of graphene was observed in each cluster owning to the improved interface by modification. The scrolling of graphene was found predominantly in the interface-modified nanocomposite. At 4 wt%, the modified nanocomposite shows fracture energy release rate G1c613.4 J m-2, while the unmodified nanocomposite indicates 417.3 J m-2, in comparison with neat epoxy G1c204.2 J m-2. The interface modification enhanced the glass transition temperature of neat epoxy from 94.7 to 108.6 \u00b0C, 14.7% increment. Toughening mechanisms are attributed to the voiding, microcracking and breakage of GP, while matrix may not consume as much fracture energy as m-GP do. \u00a9 2011 Elsevier Ltd.", "author" : [ { "dropping-particle" : "", "family" : "Zaman", "given" : "Izzuddin", "non-dropping-particle" : "", "parse-names" : false, "suffix" : "" }, { "dropping-particle" : "", "family" : "Phan", "given" : "Tam Thanh", "non-dropping-particle" : "", "parse-names" : false, "suffix" : "" }, { "dropping-particle" : "", "family" : "Kuan", "given" : "Hsu Chiang", "non-dropping-particle" : "", "parse-names" : false, "suffix" : "" }, { "dropping-particle" : "", "family" : "Meng", "given" : "Qingshi", "non-dropping-particle" : "", "parse-names" : false, "suffix" : "" }, { "dropping-particle" : "", "family" : "Bao La", "given" : "Ly Truc", "non-dropping-particle" : "", "parse-names" : false, "suffix" : "" }, { "dropping-particle" : "", "family" : "Luong", "given" : "Lee", "non-dropping-particle" : "", "parse-names" : false, "suffix" : "" }, { "dropping-particle" : "", "family" : "Youssf", "given" : "Osama", "non-dropping-particle" : "", "parse-names" : false, "suffix" : "" }, { "dropping-particle" : "", "family" : "Ma", "given" : "Jun", "non-dropping-particle" : "", "parse-names" : false, "suffix" : "" } ], "container-title" : "Polymer", "id" : "ITEM-1", "issue" : "7", "issued" : { "date-parts" : [ [ "2011" ] ] }, "page" : "1603-1611", "publisher" : "Elsevier Ltd", "title" : "Epoxy/graphene platelets nanocomposites with two levels of interface strength", "type" : "article-journal", "volume" : "52" }, "uris" : [ "http://www.mendeley.com/documents/?uuid=37b64eb4-389e-4617-a057-b0ecf8f37473" ] } ], "mendeley" : { "formattedCitation" : "[68]", "plainTextFormattedCitation" : "[68]", "previouslyFormattedCitation" : "[68]"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[68]</w:t>
      </w:r>
      <w:r>
        <w:rPr>
          <w:rFonts w:ascii="Times New Roman" w:hAnsi="Times New Roman" w:cs="Times New Roman"/>
          <w:sz w:val="24"/>
          <w:szCs w:val="24"/>
        </w:rPr>
        <w:fldChar w:fldCharType="end"/>
      </w:r>
      <w:r>
        <w:rPr>
          <w:rFonts w:ascii="Times New Roman" w:hAnsi="Times New Roman" w:cs="Times New Roman"/>
          <w:sz w:val="24"/>
          <w:szCs w:val="24"/>
        </w:rPr>
        <w:t xml:space="preserve">, PMMA/graphene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"10.1038/nnano.2008.96", "ISBN" : "1748-3387", "ISSN" : "17483395", "PMID" : "18654541", "abstract" : "Polymer-based composites were heralded in the 1960s as a new paradigm for materials. By dispersing strong, highly stiff fibres in a polymer matrix, high-performance lightweight composites could be developed and tailored to individual applications. Today we stand at a similar threshold in the realm of polymer nanocomposites with the promise of strong, durable, multifunctional materials with low nanofiller content. However, the cost of nanoparticles, their availability and the challenges that remain to achieve good dispersion pose significant obstacles to these goals. Here, we report the creation of polymer nanocomposites with functionalized graphene sheets, which overcome these obstacles and provide superb polymer-particle interactions. An unprecedented shift in glass transition temperature of over 40 degrees C is obtained for poly(acrylonitrile) at 1 wt% functionalized graphene sheet, and with only 0.05 wt% functionalized graphene sheet in poly(methyl methacrylate) there is an improvement of nearly 30 degrees C. Modulus, ultimate strength and thermal stability follow a similar trend, with values for functionalized graphene sheet- poly(methyl methacrylate) rivaling those for single-walled carbon nanotube-poly(methyl methacrylate) composites.", "author" : [ { "dropping-particle" : "", "family" : "Ramanathan", "given" : "T.", "non-dropping-particle" : "", "parse-names" : false, "suffix" : "" }, { "dropping-particle" : "", "family" : "Abdala", "given" : "A. A.", "non-dropping-particle" : "", "parse-names" : false, "suffix" : "" }, { "dropping-particle" : "", "family" : "Stankovich", "given" : "S.", "non-dropping-particle" : "", "parse-names" : false, "suffix" : "" }, { "dropping-particle" : "", "family" : "Dikin", "given" : "D. A.", "non-dropping-particle" : "", "parse-names" : false, "suffix" : "" }, { "dropping-particle" : "", "family" : "Herrera-Alonso", "given" : "M.", "non-dropping-particle" : "", "parse-names" : false, "suffix" : "" }, { "dropping-particle" : "", "family" : "Piner", "given" : "R. D.", "non-dropping-particle" : "", "parse-names" : false, "suffix" : "" }, { "dropping-particle" : "", "family" : "Adamson", "given" : "D. H.", "non-dropping-particle" : "", "parse-names" : false, "suffix" : "" }, { "dropping-particle" : "", "family" : "Schniepp", "given" : "H. C.", "non-dropping-particle" : "", "parse-names" : false, "suffix" : "" }, { "dropping-particle" : "", "family" : "Chen", "given" : "X.", "non-dropping-particle" : "", "parse-names" : false, "suffix" : "" }, { "dropping-particle" : "", "family" : "Ruoff", "given" : "R. S.", "non-dropping-particle" : "", "parse-names" : false, "suffix" : "" }, { "dropping-particle" : "", "family" : "Nguyen", "given" : "S. T.", "non-dropping-particle" : "", "parse-names" : false, "suffix" : "" }, { "dropping-particle" : "", "family" : "Aksay", "given" : "I. A.", "non-dropping-particle" : "", "parse-names" : false, "suffix" : "" }, { "dropping-particle" : "", "family" : "Prud'Homme", "given" : "R. K.", "non-dropping-particle" : "", "parse-names" : false, "suffix" : "" }, { "dropping-particle" : "", "family" : "Brinson", "given" : "L. C.", "non-dropping-particle" : "", "parse-names" : false, "suffix" : "" } ], "container-title" : "Nature Nanotechnology", "id" : "ITEM-1", "issue" : "6", "issued" : { "date-parts" : [ [ "2008" ] ] }, "page" : "327-331", "title" : "Functionalized graphene sheets for polymer nanocomposites", "type" : "article-journal", "volume" : "3" }, "uris" : [ "http://www.mendeley.com/documents/?uuid=a0bc4375-80f6-492a-b111-7a0636e3c6be" ] } ], "mendeley" : { "formattedCitation" : "[69]", "plainTextFormattedCitation" : "[69]", "previouslyFormattedCitation" : "[69]"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[69]</w:t>
      </w:r>
      <w:r>
        <w:rPr>
          <w:rFonts w:ascii="Times New Roman" w:hAnsi="Times New Roman" w:cs="Times New Roman"/>
          <w:sz w:val="24"/>
          <w:szCs w:val="24"/>
        </w:rPr>
        <w:fldChar w:fldCharType="end"/>
      </w:r>
      <w:r>
        <w:rPr>
          <w:rFonts w:ascii="Times New Roman" w:hAnsi="Times New Roman" w:cs="Times New Roman"/>
          <w:sz w:val="24"/>
          <w:szCs w:val="24"/>
        </w:rPr>
        <w:t xml:space="preserve">, polypropylene/graphene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"10.1002/pen.20109", "ISSN" : "00323888", "author" : [ { "dropping-particle" : "", "family" : "Gopakumar", "given" : "T. G.", "non-dropping-particle" : "", "parse-names" : false, "suffix" : "" }, { "dropping-particle" : "", "family" : "Pag\u00e9", "given" : "D. J.Y.S.", "non-dropping-particle" : "", "parse-names" : false, "suffix" : "" } ], "container-title" : "Polymer Engineering and Science", "id" : "ITEM-1", "issue" : "6", "issued" : { "date-parts" : [ [ "2004" ] ] }, "page" : "1162-1169", "title" : "Polypropylene/graphite nanocomposites by thermo-kinetic mixing", "type" : "article-journal", "volume" : "44" }, "uris" : [ "http://www.mendeley.com/documents/?uuid=4aa8b878-f529-456c-b8a8-ae420e5132e1" ] } ], "mendeley" : { "formattedCitation" : "[70]", "plainTextFormattedCitation" : "[70]", "previouslyFormattedCitation" : "[70]"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[70]</w:t>
      </w:r>
      <w:r>
        <w:rPr>
          <w:rFonts w:ascii="Times New Roman" w:hAnsi="Times New Roman" w:cs="Times New Roman"/>
          <w:sz w:val="24"/>
          <w:szCs w:val="24"/>
        </w:rPr>
        <w:fldChar w:fldCharType="end"/>
      </w:r>
      <w:r>
        <w:rPr>
          <w:rFonts w:ascii="Times New Roman" w:hAnsi="Times New Roman" w:cs="Times New Roman"/>
          <w:sz w:val="24"/>
          <w:szCs w:val="24"/>
        </w:rPr>
        <w:t xml:space="preserve">, and polysyrene/graphene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"10.1021/am200628c", "ISBN" : "19448244", "ISSN" : "19448244", "PMID" : "21744832", "abstract" : "We compared the electrical conductivity of multiwalled-carbon-nano- tube/polystyrene and graphene/polystyrene composites. The conductivity of polystyr- ene increases from \u223c6.7 ? 10?14 to \u223c3.49 S/m, with an increase in graphene content from \u223c0.11 to \u223c1.1 vol %. This is \u223c2?4 orders of magnitude higher than for multiwalled-carbon-nanotube/polystyrene composites. Furthermore, we show that the conductivity of the graphene/polystyrene system can be significantly enhanced by incorporation of polylactic acid. The volume-exclusion principle forces graphene into the polystyrene-rich regions (selective localization) and generates \u223c4.5-fold decrease in its percolation threshold from \u223c0.33 to \u223c0.075 vol %", "author" : [ { "dropping-particle" : "", "family" : "Qi", "given" : "Xian Yong", "non-dropping-particle" : "", "parse-names" : false, "suffix" : "" }, { "dropping-particle" : "", "family" : "Yan", "given" : "Dong", "non-dropping-particle" : "", "parse-names" : false, "suffix" : "" }, { "dropping-particle" : "", "family" : "Jiang", "given" : "Zhiguo", "non-dropping-particle" : "", "parse-names" : false, "suffix" : "" }, { "dropping-particle" : "", "family" : "Cao", "given" : "Ya-Kun", "non-dropping-particle" : "", "parse-names" : false, "suffix" : "" }, { "dropping-particle" : "", "family" : "Yu", "given" : "Zhong Zhen", "non-dropping-particle" : "", "parse-names" : false, "suffix" : "" }, { "dropping-particle" : "", "family" : "Yavari", "given" : "Fazel", "non-dropping-particle" : "", "parse-names" : false, "suffix" : "" }, { "dropping-particle" : "", "family" : "Koratkar", "given" : "Nikhil", "non-dropping-particle" : "", "parse-names" : false, "suffix" : "" } ], "container-title" : "ACS applied materials &amp; interfaces", "id" : "ITEM-1", "issued" : { "date-parts" : [ [ "2011" ] ] }, "page" : "3130-3133", "title" : "Enhanced Electrical Conductivity in Polystyrene Nanocomposites at ultra-low graphene content", "type" : "article-journal", "volume" : "3" }, "uris" : [ "http://www.mendeley.com/documents/?uuid=66e42d16-e2ea-408b-9cae-e796e71dd77d" ] } ], "mendeley" : { "formattedCitation" : "[71]", "plainTextFormattedCitation" : "[71]", "previouslyFormattedCitation" : "[71]"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[71]</w:t>
      </w:r>
      <w:r>
        <w:rPr>
          <w:rFonts w:ascii="Times New Roman" w:hAnsi="Times New Roman" w:cs="Times New Roman"/>
          <w:sz w:val="24"/>
          <w:szCs w:val="24"/>
        </w:rPr>
        <w:fldChar w:fldCharType="end"/>
      </w:r>
      <w:r>
        <w:rPr>
          <w:rFonts w:ascii="Times New Roman" w:hAnsi="Times New Roman" w:cs="Times New Roman"/>
          <w:sz w:val="24"/>
          <w:szCs w:val="24"/>
        </w:rPr>
        <w:t xml:space="preserve">, etc. Graphene-based polymer nanocomposites are normally processed by three main methods: </w:t>
      </w:r>
      <w:r>
        <w:rPr>
          <w:rFonts w:ascii="Times New Roman" w:hAnsi="Times New Roman" w:cs="Times New Roman"/>
          <w:i/>
          <w:sz w:val="24"/>
          <w:szCs w:val="24"/>
        </w:rPr>
        <w:t xml:space="preserve">in </w:t>
      </w:r>
      <w:r w:rsidRPr="00993BFD">
        <w:rPr>
          <w:rFonts w:ascii="Times New Roman" w:hAnsi="Times New Roman" w:cs="Times New Roman"/>
          <w:i/>
          <w:sz w:val="24"/>
          <w:szCs w:val="24"/>
        </w:rPr>
        <w:t>situ</w:t>
      </w:r>
      <w:r>
        <w:rPr>
          <w:rFonts w:ascii="Times New Roman" w:hAnsi="Times New Roman" w:cs="Times New Roman"/>
          <w:sz w:val="24"/>
          <w:szCs w:val="24"/>
        </w:rPr>
        <w:t xml:space="preserve"> polymerization, solution intercalation, and melt blending. Moreover, a combination of these three methods is also used for some study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"id" : "ITEM-2",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"ITEM-2", "issue" : "6", "issued" : { "date-parts" : [ [ "2010" ] ] }, "page" : "711-723", "title" : "Graphene oxide, highly reduced graphene oxide, and graphene: Versatile building blocks for carbon-based materials", "type" : "article-journal", "volume" : "6" }, "uris" : [ "http://www.mendeley.com/documents/?uuid=90e9afa4-4b34-4e67-8977-31ce6b3dfab0" ] }, { "id" : "ITEM-3", "itemData" : { "DOI" : "10.1007/s12274-014-0622-9", "ISBN" : "1998-0124\\r1998-0000", "ISSN" : "19980000", "abstract" : "Graphene has attracted the interest of chemists, physicists, and\\nmaterials scientists due to its extraordinary structural, mechanical,\\nand electronic properties. While pristine graphene is desirable for\\napplications that require a high electrical conductivity, many other\\napplications require modified or functionalized forms of graphene, such\\nas graphene oxide, reduced graphene, or other functionalized forms.\\nStructurally modifying graphene through chemical functionalization\\nreveals the numerous possibilities for tuning its structure; several\\nchemical and physical functionalization methods have been explored to\\nimprove the stabilization and modification of graphene. In this review,\\nwe report recent progress towards the chemical modification of graphene,\\nincluding both covalent and noncovalent methods, for use in various\\napplications.", "author" : [ { "dropping-particle" : "", "family" : "Lonkar", "given" : "Sunil P.", "non-dropping-particle" : "", "parse-names" : false, "suffix" : "" }, { "dropping-particle" : "", "family" : "Deshmukh", "given" : "Yogesh S.", "non-dropping-particle" : "", "parse-names" : false, "suffix" : "" }, { "dropping-particle" : "", "family" : "Abdala", "given" : "Ahmed A.", "non-dropping-particle" : "", "parse-names" : false, "suffix" : "" } ], "container-title" : "Nano Research", "id" : "ITEM-3", "issue" : "4", "issued" : { "date-parts" : [ [ "2015" ] ] }, "page" : "1-38", "publisher" : "Springer", "title" : "Recent advances in chemical modifications of graphene", "type" : "article-journal", "volume" : "8" }, "uris" : [ "http://www.mendeley.com/documents/?uuid=6176864e-6f4c-482c-b899-7df4415ea0f9" ] } ], "mendeley" : { "formattedCitation" : "[22,53,61]", "plainTextFormattedCitation" : "[22,53,61]", "previouslyFormattedCitation" : "[22,53,61]"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[22,53,61]</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63E1FED5" w14:textId="04391B9D" w:rsidR="003C6953" w:rsidRDefault="00B06015" w:rsidP="003C6953">
      <w:pPr>
        <w:pStyle w:val="Heading2"/>
        <w:spacing w:before="0"/>
      </w:pPr>
      <w:bookmarkStart w:id="34" w:name="_Toc518823237"/>
      <w:r>
        <w:t>2.</w:t>
      </w:r>
      <w:r w:rsidR="003C6953">
        <w:t>5.1. Preparation of polymer/graphene nanocomposites</w:t>
      </w:r>
      <w:bookmarkEnd w:id="34"/>
    </w:p>
    <w:p w14:paraId="6FFA29C9" w14:textId="77777777" w:rsidR="003C6953" w:rsidRDefault="003C6953" w:rsidP="003C6953">
      <w:pPr>
        <w:spacing w:after="0" w:line="480" w:lineRule="auto"/>
        <w:jc w:val="both"/>
        <w:rPr>
          <w:rFonts w:asciiTheme="majorBidi" w:hAnsiTheme="majorBidi" w:cstheme="majorBidi"/>
          <w:bCs/>
          <w:i/>
          <w:sz w:val="24"/>
          <w:szCs w:val="24"/>
        </w:rPr>
      </w:pPr>
      <w:r>
        <w:rPr>
          <w:rFonts w:asciiTheme="majorBidi" w:hAnsiTheme="majorBidi" w:cstheme="majorBidi"/>
          <w:bCs/>
          <w:i/>
          <w:sz w:val="24"/>
          <w:szCs w:val="24"/>
        </w:rPr>
        <w:t xml:space="preserve">In </w:t>
      </w:r>
      <w:r w:rsidRPr="007111B8">
        <w:rPr>
          <w:rFonts w:asciiTheme="majorBidi" w:hAnsiTheme="majorBidi" w:cstheme="majorBidi"/>
          <w:bCs/>
          <w:i/>
          <w:sz w:val="24"/>
          <w:szCs w:val="24"/>
        </w:rPr>
        <w:t>situ polymerization</w:t>
      </w:r>
    </w:p>
    <w:p w14:paraId="6B220040" w14:textId="07E85439" w:rsidR="003C6953" w:rsidRDefault="003C6953" w:rsidP="003C6953">
      <w:pPr>
        <w:spacing w:after="0" w:line="480" w:lineRule="auto"/>
        <w:jc w:val="both"/>
        <w:rPr>
          <w:rFonts w:asciiTheme="majorBidi" w:hAnsiTheme="majorBidi" w:cstheme="majorBidi"/>
          <w:bCs/>
          <w:sz w:val="24"/>
          <w:szCs w:val="24"/>
        </w:rPr>
      </w:pPr>
      <w:r>
        <w:rPr>
          <w:rFonts w:asciiTheme="majorBidi" w:hAnsiTheme="majorBidi" w:cstheme="majorBidi"/>
          <w:bCs/>
          <w:i/>
          <w:sz w:val="24"/>
          <w:szCs w:val="24"/>
        </w:rPr>
        <w:t xml:space="preserve">In </w:t>
      </w:r>
      <w:r w:rsidRPr="00161DE3">
        <w:rPr>
          <w:rFonts w:asciiTheme="majorBidi" w:hAnsiTheme="majorBidi" w:cstheme="majorBidi"/>
          <w:bCs/>
          <w:i/>
          <w:sz w:val="24"/>
          <w:szCs w:val="24"/>
        </w:rPr>
        <w:t>situ</w:t>
      </w:r>
      <w:r w:rsidRPr="00262F99">
        <w:rPr>
          <w:rFonts w:asciiTheme="majorBidi" w:hAnsiTheme="majorBidi" w:cstheme="majorBidi"/>
          <w:bCs/>
          <w:sz w:val="24"/>
          <w:szCs w:val="24"/>
        </w:rPr>
        <w:t xml:space="preserve"> polymerization is </w:t>
      </w:r>
      <w:r>
        <w:rPr>
          <w:rFonts w:asciiTheme="majorBidi" w:hAnsiTheme="majorBidi" w:cstheme="majorBidi"/>
          <w:bCs/>
          <w:sz w:val="24"/>
          <w:szCs w:val="24"/>
        </w:rPr>
        <w:t xml:space="preserve">an effective method to improve the dispersion of graphitic fillers in polymeric matrix. In this method, the polymerization of polymers is carried out at the presence of fillers, leading to a stronger interfacial interaction between reinforcing fillers and matrix. Therefore, graphene-based polymer composites exhibit better mechanical and thermal properties, as well as lower percolation threshold compared to composites prepared from melting method and solution method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"10.1016/j.progpolymsci.2010.11.003", "ISBN" : "0079-6700", "ISSN" : "00796700", "abstract" : "Carbon materials particularly in the form of sparkling diamonds have held mankind spellbound for centuries, and in its other forms, like coal and coke continue to serve mankind as a fuel material, like carbon black, carbon fibers, carbon nanofibers and carbon nanotubes meet requirements of reinforcing filler in several applications. All these various forms of carbon are possible because of the element's unique hybridization ability. Graphene (a single two-dimensional layer of carbon atoms bonded together in the hexagonal graphite lattice), the basic building block of graphite, is at the epicenter of present-day materials research because of its high values of Young's modulus, fracture strength, thermal conductivity, specific surface area and fascinating transport phenomena leading to its use in multifarious applications like energy storage materials, liquid crystal devices, mechanical resonators and polymer composites. In this review, we focus on graphite and describe its various modifications for use as modified fillers in polymer matrices for creating polymer-carbon nanocomposites. ?? 2010 Elsevier Ltd.", "author" : [ { "dropping-particle" : "", "family" : "Sengupta", "given" : "Rajatendu", "non-dropping-particle" : "", "parse-names" : false, "suffix" : "" }, { "dropping-particle" : "", "family" : "Bhattacharya", "given" : "Mithun", "non-dropping-particle" : "", "parse-names" : false, "suffix" : "" }, { "dropping-particle" : "", "family" : "Bandyopadhyay", "given" : "S.", "non-dropping-particle" : "", "parse-names" : false, "suffix" : "" }, { "dropping-particle" : "", "family" : "Bhowmick", "given" : "Anil K.", "non-dropping-particle" : "", "parse-names" : false, "suffix" : "" } ], "container-title" : "Progress in Polymer Science", "id" : "ITEM-1", "issue" : "5", "issued" : { "date-parts" : [ [ "2011", "5" ] ] }, "page" : "638-670", "publisher" : "Elsevier Ltd", "title" : "A review on the mechanical and electrical properties of graphite and modified graphite reinforced polymer composites", "type" : "article-journal", "volume" : "36" }, "uris" : [ "http://www.mendeley.com/documents/?uuid=df5ed079-98a2-4012-94ed-32ad865665bc" ] }, { "id" : "ITEM-2", "itemData" : { "DOI" : "10.1016/j.progpolymsci.2010.07.005", "ISBN" : "0079-6700", "ISSN" : "00796700", "abstract" : "This paper reviews recent advances in the modification of graphene and the fabrication of graphene-based polymer nanocomposites. Recently, graphene has attracted both academic and industrial interest because it can produce a dramatic improvement in properties at very low filler content. The modification of graphene/graphene oxide and the utilization of these materials in the fabrication of nanocomposites with different polymer matrixes have been explored. Different organic polymers have been used to fabricate graphene filled polymer nanocomposites by a range of methods. In the case of modified graphene-based polymer nanocomposites, the percolation threshold can be achieved at a very lower filler loading. Herein, the structure, preparation and properties of polymer/graphene nanocomposites are discussed in general along with detailed examples drawn from the scientific literature. (C) 2010 Elsevier Ltd. All rights reserved.", "author" : [ { "dropping-particle" : "", "family" : "Kuilla", "given" : "T", "non-dropping-particle" : "", "parse-names" : false, "suffix" : "" }, { "dropping-particle" : "", "family" : "Bhadra", "given" : "S", "non-dropping-particle" : "", "parse-names" : false, "suffix" : "" }, { "dropping-particle" : "", "family" : "Yao", "given" : "D H", "non-dropping-particle" : "", "parse-names" : false, "suffix" : "" }, { "dropping-particle" : "", "family" : "Kim", "given" : "N H", "non-dropping-particle" : "", "parse-names" : false, "suffix" : "" }, { "dropping-particle" : "", "family" : "Bose", "given" : "S", "non-dropping-particle" : "", "parse-names" : false, "suffix" : "" }, { "dropping-particle" : "", "family" : "Lee", "given" : "J H", "non-dropping-particle" : "", "parse-names" : false, "suffix" : "" } ], "container-title" : "Progress in Polymer Science", "id" : "ITEM-2", "issued" : { "date-parts" : [ [ "2010" ] ] }, "page" : "1350-1375", "publisher" : "Elsevier Ltd", "title" : "Recent advances in graphene based polymer composites", "type" : "article-journal", "volume" : "35" }, "uris" : [ "http://www.mendeley.com/documents/?uuid=4234a7ea-c35a-411a-a713-f4550a647c2e" ] } ], "mendeley" : { "formattedCitation" : "[21,44]", "plainTextFormattedCitation" : "[21,44]", "previouslyFormattedCitation" : "[21,44]"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[21,44]</w:t>
      </w:r>
      <w:r>
        <w:rPr>
          <w:rFonts w:asciiTheme="majorBidi" w:hAnsiTheme="majorBidi" w:cstheme="majorBidi"/>
          <w:bCs/>
          <w:sz w:val="24"/>
          <w:szCs w:val="24"/>
        </w:rPr>
        <w:fldChar w:fldCharType="end"/>
      </w:r>
      <w:r>
        <w:rPr>
          <w:rFonts w:asciiTheme="majorBidi" w:hAnsiTheme="majorBidi" w:cstheme="majorBidi"/>
          <w:bCs/>
          <w:sz w:val="24"/>
          <w:szCs w:val="24"/>
        </w:rPr>
        <w:t xml:space="preserve">. A variety of polymer nanocomposites have been prepared by this method, such as polystyrene/graphene </w:t>
      </w:r>
      <w:r>
        <w:rPr>
          <w:rFonts w:asciiTheme="majorBidi" w:hAnsiTheme="majorBidi" w:cstheme="majorBidi"/>
          <w:bCs/>
          <w:sz w:val="24"/>
          <w:szCs w:val="24"/>
        </w:rPr>
        <w:fldChar w:fldCharType="begin" w:fldLock="1"/>
      </w:r>
      <w:r w:rsidR="00D973A8">
        <w:rPr>
          <w:rFonts w:asciiTheme="majorBidi" w:hAnsiTheme="majorBidi" w:cstheme="majorBidi"/>
          <w:bCs/>
          <w:sz w:val="24"/>
          <w:szCs w:val="24"/>
        </w:rPr>
        <w:instrText>ADDIN CSL_CITATION { "citationItems" : [ { "id" : "ITEM-1", "itemData" : { "DOI" : "10.1039/b908220d", "ISBN" : "0959-9428", "ISSN" : "0959-9428", "PMID" : "20668871", "abstract" : "For developing high performance graphene-based nanocomposites, dispersal of graphene nanosheets in polymer hosts and precise interface control are challenging due to their strong interlayer cohesive energy and surface inertia. Here we report an efficient method to functionalize graphene nanosheets. The initiator molecules were covalently bonded to the graphene surface via a diazonium addition and the succeeding atom transfer radical polymerization linked polystyrene chains (82 wt% grafting efficiency) to the graphene nanosheets. The prominent confinement effect arising from nanosheets resulted in a 15 [degree]C increase in the glass transition temperature of polystyrene compared to the pure polymer. The resulting polystyrene nanocomposites with 0.9 wt% graphene nanosheets revealed around 70% and 57% increases in tensile strength and Young's modulus. The protocol is believed to offer possibilities for optimizing the processing properties and interface structure of graphene-polymer nanocomposites.", "author" : [ { "dropping-particle" : "", "family" : "Fang", "given" : "Ming", "non-dropping-particle" : "", "parse-names" : false, "suffix" : "" }, { "dropping-particle" : "", "family" : "Wang", "given" : "Kaigang", "non-dropping-particle" : "", "parse-names" : false, "suffix" : "" }, { "dropping-particle" : "", "family" : "Lu", "given" : "Hongbin", "non-dropping-particle" : "", "parse-names" : false, "suffix" : "" }, { "dropping-particle" : "", "family" : "Yang", "given" : "Yuliang", "non-dropping-particle" : "", "parse-names" : false, "suffix" : "" }, { "dropping-particle" : "", "family" : "Nutt", "given" : "Steven", "non-dropping-particle" : "", "parse-names" : false, "suffix" : "" } ], "container-title" : "Journal of Materials Chemistry", "id" : "ITEM-1", "issue" : "38", "issued" : { "date-parts" : [ [ "2009" ] ] }, "page" : "7098", "title" : "Covalent polymer functionalization of graphene nanosheets and mechanical properties of composites", "type" : "article-journal", "volume" : "19" }, "uris" : [ "http://www.mendeley.com/documents/?uuid=c8c5719d-96f2-4d5d-9b03-93f39b828b30" ] } ], "mendeley" : { "formattedCitation" : "[72]", "plainTextFormattedCitation" : "[72]", "previouslyFormattedCitation" : "[72]" }, "properties" : {  }, "schema" : "https://github.com/citation-style-language/schema/raw/master/csl-citation.json" }</w:instrText>
      </w:r>
      <w:r>
        <w:rPr>
          <w:rFonts w:asciiTheme="majorBidi" w:hAnsiTheme="majorBidi" w:cstheme="majorBidi"/>
          <w:bCs/>
          <w:sz w:val="24"/>
          <w:szCs w:val="24"/>
        </w:rPr>
        <w:fldChar w:fldCharType="separate"/>
      </w:r>
      <w:r w:rsidRPr="0080714B">
        <w:rPr>
          <w:rFonts w:asciiTheme="majorBidi" w:hAnsiTheme="majorBidi" w:cstheme="majorBidi"/>
          <w:bCs/>
          <w:noProof/>
          <w:sz w:val="24"/>
          <w:szCs w:val="24"/>
        </w:rPr>
        <w:t>[72]</w:t>
      </w:r>
      <w:r>
        <w:rPr>
          <w:rFonts w:asciiTheme="majorBidi" w:hAnsiTheme="majorBidi" w:cstheme="majorBidi"/>
          <w:bCs/>
          <w:sz w:val="24"/>
          <w:szCs w:val="24"/>
        </w:rPr>
        <w:fldChar w:fldCharType="end"/>
      </w:r>
      <w:r>
        <w:rPr>
          <w:rFonts w:asciiTheme="majorBidi" w:hAnsiTheme="majorBidi" w:cstheme="majorBidi"/>
          <w:bCs/>
          <w:sz w:val="24"/>
          <w:szCs w:val="24"/>
        </w:rPr>
        <w:t xml:space="preserve">, poly(methyl methacrylate)/EG </w:t>
      </w:r>
      <w:r>
        <w:rPr>
          <w:rFonts w:asciiTheme="majorBidi" w:hAnsiTheme="majorBidi" w:cstheme="majorBidi"/>
          <w:bCs/>
          <w:sz w:val="24"/>
          <w:szCs w:val="24"/>
        </w:rPr>
        <w:fldChar w:fldCharType="begin" w:fldLock="1"/>
      </w:r>
      <w:r w:rsidR="00D973A8">
        <w:rPr>
          <w:rFonts w:asciiTheme="majorBidi" w:hAnsiTheme="majorBidi" w:cstheme="majorBidi"/>
          <w:bCs/>
          <w:sz w:val="24"/>
          <w:szCs w:val="24"/>
        </w:rPr>
        <w:instrText>ADDIN CSL_CITATION { "citationItems" : [ { "id" : "ITEM-1", "itemData" : { "author" : [ { "dropping-particle" : "", "family" : "Chen", "given" : "G.", "non-dropping-particle" : "", "parse-names" : false, "suffix" : "" }, { "dropping-particle" : "", "family" : "Wu", "given" : "D.", "non-dropping-particle" : "", "parse-names" : false, "suffix" : "" }, { "dropping-particle" : "", "family" : "Weng", "given" : "W.", "non-dropping-particle" : "", "parse-names" : false, "suffix" : "" } ], "container-title" : "Carbon", "id" : "ITEM-1", "issued" : { "date-parts" : [ [ "2003" ] ] }, "page" : "619-621", "title" : "Exfoliation of graphite flakes and its nanocomposites", "type" : "article-journal", "volume" : "41" }, "uris" : [ "http://www.mendeley.com/documents/?uuid=4b9c2cfd-0d8d-4c11-ba2b-6fcbe68baa75" ] } ], "mendeley" : { "formattedCitation" : "[73]", "plainTextFormattedCitation" : "[73]", "previouslyFormattedCitation" : "[73]" }, "properties" : {  }, "schema" : "https://github.com/citation-style-language/schema/raw/master/csl-citation.json" }</w:instrText>
      </w:r>
      <w:r>
        <w:rPr>
          <w:rFonts w:asciiTheme="majorBidi" w:hAnsiTheme="majorBidi" w:cstheme="majorBidi"/>
          <w:bCs/>
          <w:sz w:val="24"/>
          <w:szCs w:val="24"/>
        </w:rPr>
        <w:fldChar w:fldCharType="separate"/>
      </w:r>
      <w:r w:rsidRPr="0080714B">
        <w:rPr>
          <w:rFonts w:asciiTheme="majorBidi" w:hAnsiTheme="majorBidi" w:cstheme="majorBidi"/>
          <w:bCs/>
          <w:noProof/>
          <w:sz w:val="24"/>
          <w:szCs w:val="24"/>
        </w:rPr>
        <w:t>[73]</w:t>
      </w:r>
      <w:r>
        <w:rPr>
          <w:rFonts w:asciiTheme="majorBidi" w:hAnsiTheme="majorBidi" w:cstheme="majorBidi"/>
          <w:bCs/>
          <w:sz w:val="24"/>
          <w:szCs w:val="24"/>
        </w:rPr>
        <w:fldChar w:fldCharType="end"/>
      </w:r>
      <w:r>
        <w:rPr>
          <w:rFonts w:asciiTheme="majorBidi" w:hAnsiTheme="majorBidi" w:cstheme="majorBidi"/>
          <w:bCs/>
          <w:sz w:val="24"/>
          <w:szCs w:val="24"/>
        </w:rPr>
        <w:t xml:space="preserve"> . </w:t>
      </w:r>
      <w:r w:rsidRPr="00262F99">
        <w:rPr>
          <w:rFonts w:asciiTheme="majorBidi" w:hAnsiTheme="majorBidi" w:cstheme="majorBidi"/>
          <w:bCs/>
          <w:sz w:val="24"/>
          <w:szCs w:val="24"/>
        </w:rPr>
        <w:t xml:space="preserve">However, the disadvantage of this method is </w:t>
      </w:r>
      <w:r>
        <w:rPr>
          <w:rFonts w:asciiTheme="majorBidi" w:hAnsiTheme="majorBidi" w:cstheme="majorBidi"/>
          <w:bCs/>
          <w:sz w:val="24"/>
          <w:szCs w:val="24"/>
        </w:rPr>
        <w:t xml:space="preserve">that it is not suitable for bulk synthesis due to the abundant amount of electric energy is needed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"10.1016/j.progpolymsci.2010.11.003", "ISBN" : "0079-6700", "ISSN" : "00796700", "abstract" : "Carbon materials particularly in the form of sparkling diamonds have held mankind spellbound for centuries, and in its other forms, like coal and coke continue to serve mankind as a fuel material, like carbon black, carbon fibers, carbon nanofibers and carbon nanotubes meet requirements of reinforcing filler in several applications. All these various forms of carbon are possible because of the element's unique hybridization ability. Graphene (a single two-dimensional layer of carbon atoms bonded together in the hexagonal graphite lattice), the basic building block of graphite, is at the epicenter of present-day materials research because of its high values of Young's modulus, fracture strength, thermal conductivity, specific surface area and fascinating transport phenomena leading to its use in multifarious applications like energy storage materials, liquid crystal devices, mechanical resonators and polymer composites. In this review, we focus on graphite and describe its various modifications for use as modified fillers in polymer matrices for creating polymer-carbon nanocomposites. ?? 2010 Elsevier Ltd.", "author" : [ { "dropping-particle" : "", "family" : "Sengupta", "given" : "Rajatendu", "non-dropping-particle" : "", "parse-names" : false, "suffix" : "" }, { "dropping-particle" : "", "family" : "Bhattacharya", "given" : "Mithun", "non-dropping-particle" : "", "parse-names" : false, "suffix" : "" }, { "dropping-particle" : "", "family" : "Bandyopadhyay", "given" : "S.", "non-dropping-particle" : "", "parse-names" : false, "suffix" : "" }, { "dropping-particle" : "", "family" : "Bhowmick", "given" : "Anil K.", "non-dropping-particle" : "", "parse-names" : false, "suffix" : "" } ], "container-title" : "Progress in Polymer Science", "id" : "ITEM-1", "issue" : "5", "issued" : { "date-parts" : [ [ "2011", "5" ] ] }, "page" : "638-670", "publisher" : "Elsevier Ltd", "title" : "A review on the mechanical and electrical properties of graphite and modified graphite reinforced polymer composites", "type" : "article-journal", "volume" : "36" }, "uris" : [ "http://www.mendeley.com/documents/?uuid=df5ed079-98a2-4012-94ed-32ad865665bc" ] } ], "mendeley" : { "formattedCitation" : "[21]", "plainTextFormattedCitation" : "[21]", "previouslyFormattedCitation" : "[21]"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[21]</w:t>
      </w:r>
      <w:r>
        <w:rPr>
          <w:rFonts w:asciiTheme="majorBidi" w:hAnsiTheme="majorBidi" w:cstheme="majorBidi"/>
          <w:bCs/>
          <w:sz w:val="24"/>
          <w:szCs w:val="24"/>
        </w:rPr>
        <w:fldChar w:fldCharType="end"/>
      </w:r>
      <w:r>
        <w:rPr>
          <w:rFonts w:asciiTheme="majorBidi" w:hAnsiTheme="majorBidi" w:cstheme="majorBidi"/>
          <w:bCs/>
          <w:sz w:val="24"/>
          <w:szCs w:val="24"/>
        </w:rPr>
        <w:t>.</w:t>
      </w:r>
    </w:p>
    <w:p w14:paraId="12707763" w14:textId="77777777" w:rsidR="003C6953" w:rsidRDefault="003C6953" w:rsidP="003C6953">
      <w:pPr>
        <w:spacing w:after="0" w:line="480" w:lineRule="auto"/>
        <w:jc w:val="both"/>
        <w:rPr>
          <w:rFonts w:asciiTheme="majorBidi" w:hAnsiTheme="majorBidi" w:cstheme="majorBidi"/>
          <w:bCs/>
          <w:sz w:val="24"/>
          <w:szCs w:val="24"/>
        </w:rPr>
      </w:pPr>
    </w:p>
    <w:p w14:paraId="7FA0C63C" w14:textId="77777777" w:rsidR="003C6953" w:rsidRDefault="003C6953" w:rsidP="003C6953">
      <w:pPr>
        <w:spacing w:after="0" w:line="480" w:lineRule="auto"/>
        <w:jc w:val="both"/>
        <w:rPr>
          <w:rFonts w:asciiTheme="majorBidi" w:hAnsiTheme="majorBidi" w:cstheme="majorBidi"/>
          <w:bCs/>
          <w:i/>
          <w:sz w:val="24"/>
          <w:szCs w:val="24"/>
        </w:rPr>
      </w:pPr>
      <w:r w:rsidRPr="007111B8">
        <w:rPr>
          <w:rFonts w:asciiTheme="majorBidi" w:hAnsiTheme="majorBidi" w:cstheme="majorBidi"/>
          <w:bCs/>
          <w:i/>
          <w:sz w:val="24"/>
          <w:szCs w:val="24"/>
        </w:rPr>
        <w:t xml:space="preserve">Solution </w:t>
      </w:r>
      <w:r>
        <w:rPr>
          <w:rFonts w:asciiTheme="majorBidi" w:hAnsiTheme="majorBidi" w:cstheme="majorBidi"/>
          <w:bCs/>
          <w:i/>
          <w:sz w:val="24"/>
          <w:szCs w:val="24"/>
        </w:rPr>
        <w:t>intercalation</w:t>
      </w:r>
    </w:p>
    <w:p w14:paraId="55E1F19E" w14:textId="54EFF26A" w:rsidR="003C6953" w:rsidRDefault="003C6953" w:rsidP="003C6953">
      <w:pPr>
        <w:spacing w:after="0" w:line="480" w:lineRule="auto"/>
        <w:jc w:val="both"/>
        <w:rPr>
          <w:rFonts w:asciiTheme="majorBidi" w:hAnsiTheme="majorBidi" w:cstheme="majorBidi"/>
          <w:bCs/>
          <w:sz w:val="24"/>
          <w:szCs w:val="24"/>
        </w:rPr>
      </w:pPr>
      <w:r>
        <w:rPr>
          <w:rFonts w:asciiTheme="majorBidi" w:hAnsiTheme="majorBidi" w:cstheme="majorBidi"/>
          <w:bCs/>
          <w:sz w:val="24"/>
          <w:szCs w:val="24"/>
        </w:rPr>
        <w:t>S</w:t>
      </w:r>
      <w:r>
        <w:rPr>
          <w:rFonts w:asciiTheme="majorBidi" w:hAnsiTheme="majorBidi" w:cstheme="majorBidi" w:hint="eastAsia"/>
          <w:bCs/>
          <w:sz w:val="24"/>
          <w:szCs w:val="24"/>
        </w:rPr>
        <w:t>olu</w:t>
      </w:r>
      <w:r>
        <w:rPr>
          <w:rFonts w:asciiTheme="majorBidi" w:hAnsiTheme="majorBidi" w:cstheme="majorBidi"/>
          <w:bCs/>
          <w:sz w:val="24"/>
          <w:szCs w:val="24"/>
        </w:rPr>
        <w:t xml:space="preserve">tion intercalation is based on a solvent system in which polymer is dissolved in a solvent, followed by the addition of given amount of graphitic fillers. Solvent needs to be removed before casting. The good dispersion of graphitic fillers in a solvent can be achieved by modification. However, the removal of solvent is a big issue for this technique which causes environmental problem. Therefore, this method is not suitable for bulk fabrication for graphene-based composites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"10.1016/j.progpolymsci.2010.11.003", "ISBN" : "0079-6700", "ISSN" : "00796700", "abstract" : "Carbon materials particularly in the form of sparkling diamonds have held mankind spellbound for centuries, and in its other forms, like coal and coke continue to serve mankind as a fuel material, like carbon black, carbon fibers, carbon nanofibers and carbon nanotubes meet requirements of reinforcing filler in several applications. All these various forms of carbon are possible because of the element's unique hybridization ability. Graphene (a single two-dimensional layer of carbon atoms bonded together in the hexagonal graphite lattice), the basic building block of graphite, is at the epicenter of present-day materials research because of its high values of Young's modulus, fracture strength, thermal conductivity, specific surface area and fascinating transport phenomena leading to its use in multifarious applications like energy storage materials, liquid crystal devices, mechanical resonators and polymer composites. In this review, we focus on graphite and describe its various modifications for use as modified fillers in polymer matrices for creating polymer-carbon nanocomposites. ?? 2010 Elsevier Ltd.", "author" : [ { "dropping-particle" : "", "family" : "Sengupta", "given" : "Rajatendu", "non-dropping-particle" : "", "parse-names" : false, "suffix" : "" }, { "dropping-particle" : "", "family" : "Bhattacharya", "given" : "Mithun", "non-dropping-particle" : "", "parse-names" : false, "suffix" : "" }, { "dropping-particle" : "", "family" : "Bandyopadhyay", "given" : "S.", "non-dropping-particle" : "", "parse-names" : false, "suffix" : "" }, { "dropping-particle" : "", "family" : "Bhowmick", "given" : "Anil K.", "non-dropping-particle" : "", "parse-names" : false, "suffix" : "" } ], "container-title" : "Progress in Polymer Science", "id" : "ITEM-1", "issue" : "5", "issued" : { "date-parts" : [ [ "2011", "5" ] ] }, "page" : "638-670", "publisher" : "Elsevier Ltd", "title" : "A review on the mechanical and electrical properties of graphite and modified graphite reinforced polymer composites", "type" : "article-journal", "volume" : "36" }, "uris" : [ "http://www.mendeley.com/documents/?uuid=df5ed079-98a2-4012-94ed-32ad865665bc" ] }, { "id" : "ITEM-2", "itemData" : { "DOI" : "10.1016/j.progpolymsci.2010.07.005", "ISBN" : "0079-6700", "ISSN" : "00796700", "abstract" : "This paper reviews recent advances in the modification of graphene and the fabrication of graphene-based polymer nanocomposites. Recently, graphene has attracted both academic and industrial interest because it can produce a dramatic improvement in properties at very low filler content. The modification of graphene/graphene oxide and the utilization of these materials in the fabrication of nanocomposites with different polymer matrixes have been explored. Different organic polymers have been used to fabricate graphene filled polymer nanocomposites by a range of methods. In the case of modified graphene-based polymer nanocomposites, the percolation threshold can be achieved at a very lower filler loading. Herein, the structure, preparation and properties of polymer/graphene nanocomposites are discussed in general along with detailed examples drawn from the scientific literature. (C) 2010 Elsevier Ltd. All rights reserved.", "author" : [ { "dropping-particle" : "", "family" : "Kuilla", "given" : "T", "non-dropping-particle" : "", "parse-names" : false, "suffix" : "" }, { "dropping-particle" : "", "family" : "Bhadra", "given" : "S", "non-dropping-particle" : "", "parse-names" : false, "suffix" : "" }, { "dropping-particle" : "", "family" : "Yao", "given" : "D H", "non-dropping-particle" : "", "parse-names" : false, "suffix" : "" }, { "dropping-particle" : "", "family" : "Kim", "given" : "N H", "non-dropping-particle" : "", "parse-names" : false, "suffix" : "" }, { "dropping-particle" : "", "family" : "Bose", "given" : "S", "non-dropping-particle" : "", "parse-names" : false, "suffix" : "" }, { "dropping-particle" : "", "family" : "Lee", "given" : "J H", "non-dropping-particle" : "", "parse-names" : false, "suffix" : "" } ], "container-title" : "Progress in Polymer Science", "id" : "ITEM-2", "issued" : { "date-parts" : [ [ "2010" ] ] }, "page" : "1350-1375", "publisher" : "Elsevier Ltd", "title" : "Recent advances in graphene based polymer composites", "type" : "article-journal", "volume" : "35" }, "uris" : [ "http://www.mendeley.com/documents/?uuid=4234a7ea-c35a-411a-a713-f4550a647c2e" ] } ], "mendeley" : { "formattedCitation" : "[21,44]", "plainTextFormattedCitation" : "[21,44]", "previouslyFormattedCitation" : "[21,44]"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[21,44]</w:t>
      </w:r>
      <w:r>
        <w:rPr>
          <w:rFonts w:asciiTheme="majorBidi" w:hAnsiTheme="majorBidi" w:cstheme="majorBidi"/>
          <w:bCs/>
          <w:sz w:val="24"/>
          <w:szCs w:val="24"/>
        </w:rPr>
        <w:fldChar w:fldCharType="end"/>
      </w:r>
      <w:r>
        <w:rPr>
          <w:rFonts w:asciiTheme="majorBidi" w:hAnsiTheme="majorBidi" w:cstheme="majorBidi"/>
          <w:bCs/>
          <w:sz w:val="24"/>
          <w:szCs w:val="24"/>
        </w:rPr>
        <w:t xml:space="preserve">. A wide range of polymer nanocomposites such as poly(vinyl alcohol)/graphene </w:t>
      </w:r>
      <w:r>
        <w:rPr>
          <w:rFonts w:asciiTheme="majorBidi" w:hAnsiTheme="majorBidi" w:cstheme="majorBidi"/>
          <w:bCs/>
          <w:sz w:val="24"/>
          <w:szCs w:val="24"/>
        </w:rPr>
        <w:fldChar w:fldCharType="begin" w:fldLock="1"/>
      </w:r>
      <w:r w:rsidR="00D973A8">
        <w:rPr>
          <w:rFonts w:asciiTheme="majorBidi" w:hAnsiTheme="majorBidi" w:cstheme="majorBidi"/>
          <w:bCs/>
          <w:sz w:val="24"/>
          <w:szCs w:val="24"/>
        </w:rPr>
        <w:instrText>ADDIN CSL_CITATION { "citationItems" : [ { "id" : "ITEM-1", "itemData" : { "author" : [ { "dropping-particle" : "", "family" : "Liang", "given" : "J.", "non-dropping-particle" : "", "parse-names" : false, "suffix" : "" }, { "dropping-particle" : "", "family" : "Huang", "given" : "Y.", "non-dropping-particle" : "", "parse-names" : false, "suffix" : "" }, { "dropping-particle" : "", "family" : "Wang", "given" : "Y.", "non-dropping-particle" : "", "parse-names" : false, "suffix" : "" } ], "container-title" : "Advanced Functional Materials", "id" : "ITEM-1", "issued" : { "date-parts" : [ [ "2009" ] ] }, "page" : "2297-2302", "title" : "Molecular-level dispersion of graphene into poly(vinyl alcohol) and effective reinforceMent of their nanocomposites", "type" : "article-journal", "volume" : "19" }, "uris" : [ "http://www.mendeley.com/documents/?uuid=e422c75d-66ba-4cca-b201-a6e357b6a639" ] } ], "mendeley" : { "formattedCitation" : "[74]", "plainTextFormattedCitation" : "[74]", "previouslyFormattedCitation" : "[74]" }, "properties" : {  }, "schema" : "https://github.com/citation-style-language/schema/raw/master/csl-citation.json" }</w:instrText>
      </w:r>
      <w:r>
        <w:rPr>
          <w:rFonts w:asciiTheme="majorBidi" w:hAnsiTheme="majorBidi" w:cstheme="majorBidi"/>
          <w:bCs/>
          <w:sz w:val="24"/>
          <w:szCs w:val="24"/>
        </w:rPr>
        <w:fldChar w:fldCharType="separate"/>
      </w:r>
      <w:r w:rsidRPr="0080714B">
        <w:rPr>
          <w:rFonts w:asciiTheme="majorBidi" w:hAnsiTheme="majorBidi" w:cstheme="majorBidi"/>
          <w:bCs/>
          <w:noProof/>
          <w:sz w:val="24"/>
          <w:szCs w:val="24"/>
        </w:rPr>
        <w:t>[74]</w:t>
      </w:r>
      <w:r>
        <w:rPr>
          <w:rFonts w:asciiTheme="majorBidi" w:hAnsiTheme="majorBidi" w:cstheme="majorBidi"/>
          <w:bCs/>
          <w:sz w:val="24"/>
          <w:szCs w:val="24"/>
        </w:rPr>
        <w:fldChar w:fldCharType="end"/>
      </w:r>
      <w:r>
        <w:rPr>
          <w:rFonts w:asciiTheme="majorBidi" w:hAnsiTheme="majorBidi" w:cstheme="majorBidi"/>
          <w:bCs/>
          <w:sz w:val="24"/>
          <w:szCs w:val="24"/>
        </w:rPr>
        <w:t xml:space="preserve">, polypropylene/graphene </w:t>
      </w:r>
      <w:r>
        <w:rPr>
          <w:rFonts w:asciiTheme="majorBidi" w:hAnsiTheme="majorBidi" w:cstheme="majorBidi"/>
          <w:bCs/>
          <w:sz w:val="24"/>
          <w:szCs w:val="24"/>
        </w:rPr>
        <w:fldChar w:fldCharType="begin" w:fldLock="1"/>
      </w:r>
      <w:r w:rsidR="00D973A8">
        <w:rPr>
          <w:rFonts w:asciiTheme="majorBidi" w:hAnsiTheme="majorBidi" w:cstheme="majorBidi"/>
          <w:bCs/>
          <w:sz w:val="24"/>
          <w:szCs w:val="24"/>
        </w:rPr>
        <w:instrText>ADDIN CSL_CITATION { "citationItems" : [ { "id" : "ITEM-1", "itemData" : { "author" : [ { "dropping-particle" : "", "family" : "Kalaitzidou", "given" : "K.", "non-dropping-particle" : "", "parse-names" : false, "suffix" : "" }, { "dropping-particle" : "", "family" : "Fukushima", "given" : "H.", "non-dropping-particle" : "", "parse-names" : false, "suffix" : "" }, { "dropping-particle" : "", "family" : "Drzal", "given" : "LT.", "non-dropping-particle" : "", "parse-names" : false, "suffix" : "" } ], "container-title" : "Composites Science and Technology", "id" : "ITEM-1", "issued" : { "date-parts" : [ [ "2007" ] ] }, "page" : "2045-2051", "title" : "A new compounding method for exfoliated graphite-polypropylene nanocomposites with enhanced flexural porperties and lower percolation threshold", "type" : "article-journal", "volume" : "67" }, "uris" : [ "http://www.mendeley.com/documents/?uuid=3b828269-d0c4-46f3-8e85-8c8b42a6fdb2" ] } ], "mendeley" : { "formattedCitation" : "[75]", "plainTextFormattedCitation" : "[75]", "previouslyFormattedCitation" : "[75]" }, "properties" : {  }, "schema" : "https://github.com/citation-style-language/schema/raw/master/csl-citation.json" }</w:instrText>
      </w:r>
      <w:r>
        <w:rPr>
          <w:rFonts w:asciiTheme="majorBidi" w:hAnsiTheme="majorBidi" w:cstheme="majorBidi"/>
          <w:bCs/>
          <w:sz w:val="24"/>
          <w:szCs w:val="24"/>
        </w:rPr>
        <w:fldChar w:fldCharType="separate"/>
      </w:r>
      <w:r w:rsidRPr="0080714B">
        <w:rPr>
          <w:rFonts w:asciiTheme="majorBidi" w:hAnsiTheme="majorBidi" w:cstheme="majorBidi"/>
          <w:bCs/>
          <w:noProof/>
          <w:sz w:val="24"/>
          <w:szCs w:val="24"/>
        </w:rPr>
        <w:t>[75]</w:t>
      </w:r>
      <w:r>
        <w:rPr>
          <w:rFonts w:asciiTheme="majorBidi" w:hAnsiTheme="majorBidi" w:cstheme="majorBidi"/>
          <w:bCs/>
          <w:sz w:val="24"/>
          <w:szCs w:val="24"/>
        </w:rPr>
        <w:fldChar w:fldCharType="end"/>
      </w:r>
      <w:r>
        <w:rPr>
          <w:rFonts w:asciiTheme="majorBidi" w:hAnsiTheme="majorBidi" w:cstheme="majorBidi"/>
          <w:bCs/>
          <w:sz w:val="24"/>
          <w:szCs w:val="24"/>
        </w:rPr>
        <w:t xml:space="preserve">, polystyrene/graphene </w:t>
      </w:r>
      <w:r>
        <w:rPr>
          <w:rFonts w:asciiTheme="majorBidi" w:hAnsiTheme="majorBidi" w:cstheme="majorBidi"/>
          <w:bCs/>
          <w:sz w:val="24"/>
          <w:szCs w:val="24"/>
        </w:rPr>
        <w:fldChar w:fldCharType="begin" w:fldLock="1"/>
      </w:r>
      <w:r w:rsidR="00D973A8">
        <w:rPr>
          <w:rFonts w:asciiTheme="majorBidi" w:hAnsiTheme="majorBidi" w:cstheme="majorBidi"/>
          <w:bCs/>
          <w:sz w:val="24"/>
          <w:szCs w:val="24"/>
        </w:rPr>
        <w:instrText>ADDIN CSL_CITATION { "citationItems" : [ { "id" : "ITEM-1", "itemData" : { "author" : [ { "dropping-particle" : "", "family" : "Wanga", "given" : "WP.", "non-dropping-particle" : "", "parse-names" : false, "suffix" : "" }, { "dropping-particle" : "", "family" : "Pana", "given" : "CY.", "non-dropping-particle" : "", "parse-names" : false, "suffix" : "" } ], "container-title" : "Poolymer", "id" : "ITEM-1", "issue" : "3987-3995", "issued" : { "date-parts" : [ [ "2004" ] ] }, "title" : "Preparation and characterization of polystyrene/graphite composite prepared by cationic grafting polymerization", "type" : "article-journal", "volume" : "45" }, "uris" : [ "http://www.mendeley.com/documents/?uuid=4283d425-2233-446b-9e17-ebc8d4167c6d" ] } ], "mendeley" : { "formattedCitation" : "[76]", "plainTextFormattedCitation" : "[76]", "previouslyFormattedCitation" : "[76]" }, "properties" : {  }, "schema" : "https://github.com/citation-style-language/schema/raw/master/csl-citation.json" }</w:instrText>
      </w:r>
      <w:r>
        <w:rPr>
          <w:rFonts w:asciiTheme="majorBidi" w:hAnsiTheme="majorBidi" w:cstheme="majorBidi"/>
          <w:bCs/>
          <w:sz w:val="24"/>
          <w:szCs w:val="24"/>
        </w:rPr>
        <w:fldChar w:fldCharType="separate"/>
      </w:r>
      <w:r w:rsidRPr="0080714B">
        <w:rPr>
          <w:rFonts w:asciiTheme="majorBidi" w:hAnsiTheme="majorBidi" w:cstheme="majorBidi"/>
          <w:bCs/>
          <w:noProof/>
          <w:sz w:val="24"/>
          <w:szCs w:val="24"/>
        </w:rPr>
        <w:t>[76]</w:t>
      </w:r>
      <w:r>
        <w:rPr>
          <w:rFonts w:asciiTheme="majorBidi" w:hAnsiTheme="majorBidi" w:cstheme="majorBidi"/>
          <w:bCs/>
          <w:sz w:val="24"/>
          <w:szCs w:val="24"/>
        </w:rPr>
        <w:fldChar w:fldCharType="end"/>
      </w:r>
      <w:r>
        <w:rPr>
          <w:rFonts w:asciiTheme="majorBidi" w:hAnsiTheme="majorBidi" w:cstheme="majorBidi"/>
          <w:bCs/>
          <w:sz w:val="24"/>
          <w:szCs w:val="24"/>
        </w:rPr>
        <w:t>, etc. prepared by solution intercalation technique have been reported.</w:t>
      </w:r>
    </w:p>
    <w:p w14:paraId="57FF241F" w14:textId="5209169C" w:rsidR="003C6953" w:rsidRDefault="003C6953" w:rsidP="003C6953">
      <w:pPr>
        <w:spacing w:after="0" w:line="480" w:lineRule="auto"/>
        <w:jc w:val="both"/>
        <w:rPr>
          <w:rFonts w:asciiTheme="majorBidi" w:hAnsiTheme="majorBidi" w:cstheme="majorBidi"/>
          <w:bCs/>
          <w:sz w:val="24"/>
          <w:szCs w:val="24"/>
        </w:rPr>
      </w:pPr>
    </w:p>
    <w:p w14:paraId="41B54805" w14:textId="77777777" w:rsidR="00304442" w:rsidRPr="003D4BE2" w:rsidRDefault="00304442" w:rsidP="003C6953">
      <w:pPr>
        <w:spacing w:after="0" w:line="480" w:lineRule="auto"/>
        <w:jc w:val="both"/>
        <w:rPr>
          <w:rFonts w:asciiTheme="majorBidi" w:hAnsiTheme="majorBidi" w:cstheme="majorBidi"/>
          <w:bCs/>
          <w:sz w:val="24"/>
          <w:szCs w:val="24"/>
        </w:rPr>
      </w:pPr>
    </w:p>
    <w:p w14:paraId="72199E6A" w14:textId="77777777" w:rsidR="003C6953" w:rsidRDefault="003C6953" w:rsidP="003C6953">
      <w:pPr>
        <w:spacing w:after="0" w:line="480" w:lineRule="auto"/>
        <w:jc w:val="both"/>
        <w:rPr>
          <w:rFonts w:asciiTheme="majorBidi" w:hAnsiTheme="majorBidi" w:cstheme="majorBidi"/>
          <w:bCs/>
          <w:i/>
          <w:sz w:val="24"/>
          <w:szCs w:val="24"/>
        </w:rPr>
      </w:pPr>
      <w:r>
        <w:rPr>
          <w:rFonts w:asciiTheme="majorBidi" w:hAnsiTheme="majorBidi" w:cstheme="majorBidi"/>
          <w:bCs/>
          <w:i/>
          <w:sz w:val="24"/>
          <w:szCs w:val="24"/>
        </w:rPr>
        <w:t>Melt blending</w:t>
      </w:r>
    </w:p>
    <w:p w14:paraId="5BDF2A96" w14:textId="167D038E" w:rsidR="003C6953" w:rsidRDefault="003C6953" w:rsidP="003C6953">
      <w:pPr>
        <w:spacing w:after="0" w:line="480" w:lineRule="auto"/>
        <w:jc w:val="both"/>
        <w:rPr>
          <w:rFonts w:asciiTheme="majorBidi" w:hAnsiTheme="majorBidi" w:cstheme="majorBidi"/>
          <w:bCs/>
          <w:sz w:val="24"/>
          <w:szCs w:val="24"/>
        </w:rPr>
      </w:pPr>
      <w:r w:rsidRPr="007111B8">
        <w:rPr>
          <w:rFonts w:asciiTheme="majorBidi" w:hAnsiTheme="majorBidi" w:cstheme="majorBidi"/>
          <w:bCs/>
          <w:sz w:val="24"/>
          <w:szCs w:val="24"/>
        </w:rPr>
        <w:t>Melt blending is cost effective, environmental friendly, and direct technique for manufacturing polymer /GO nanocom</w:t>
      </w:r>
      <w:r>
        <w:rPr>
          <w:rFonts w:asciiTheme="majorBidi" w:hAnsiTheme="majorBidi" w:cstheme="majorBidi"/>
          <w:bCs/>
          <w:sz w:val="24"/>
          <w:szCs w:val="24"/>
        </w:rPr>
        <w:t xml:space="preserve">posites, in which graphitic fillers is dispersed in the polymeric matrix in its molten state under elevated temperature without any solvent. In this method, conventional methods are usually employed such as extrusion and injection moulding. However, this method is only used for thermoplastic polymers, which limits its application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"10.1016/j.progpolymsci.2010.11.003", "ISBN" : "0079-6700", "ISSN" : "00796700", "abstract" : "Carbon materials particularly in the form of sparkling diamonds have held mankind spellbound for centuries, and in its other forms, like coal and coke continue to serve mankind as a fuel material, like carbon black, carbon fibers, carbon nanofibers and carbon nanotubes meet requirements of reinforcing filler in several applications. All these various forms of carbon are possible because of the element's unique hybridization ability. Graphene (a single two-dimensional layer of carbon atoms bonded together in the hexagonal graphite lattice), the basic building block of graphite, is at the epicenter of present-day materials research because of its high values of Young's modulus, fracture strength, thermal conductivity, specific surface area and fascinating transport phenomena leading to its use in multifarious applications like energy storage materials, liquid crystal devices, mechanical resonators and polymer composites. In this review, we focus on graphite and describe its various modifications for use as modified fillers in polymer matrices for creating polymer-carbon nanocomposites. ?? 2010 Elsevier Ltd.", "author" : [ { "dropping-particle" : "", "family" : "Sengupta", "given" : "Rajatendu", "non-dropping-particle" : "", "parse-names" : false, "suffix" : "" }, { "dropping-particle" : "", "family" : "Bhattacharya", "given" : "Mithun", "non-dropping-particle" : "", "parse-names" : false, "suffix" : "" }, { "dropping-particle" : "", "family" : "Bandyopadhyay", "given" : "S.", "non-dropping-particle" : "", "parse-names" : false, "suffix" : "" }, { "dropping-particle" : "", "family" : "Bhowmick", "given" : "Anil K.", "non-dropping-particle" : "", "parse-names" : false, "suffix" : "" } ], "container-title" : "Progress in Polymer Science", "id" : "ITEM-1", "issue" : "5", "issued" : { "date-parts" : [ [ "2011", "5" ] ] }, "page" : "638-670", "publisher" : "Elsevier Ltd", "title" : "A review on the mechanical and electrical properties of graphite and modified graphite reinforced polymer composites", "type" : "article-journal", "volume" : "36" }, "uris" : [ "http://www.mendeley.com/documents/?uuid=df5ed079-98a2-4012-94ed-32ad865665bc" ] }, { "id" : "ITEM-2", "itemData" : { "DOI" : "10.1016/j.progpolymsci.2010.07.005", "ISBN" : "0079-6700", "ISSN" : "00796700", "abstract" : "This paper reviews recent advances in the modification of graphene and the fabrication of graphene-based polymer nanocomposites. Recently, graphene has attracted both academic and industrial interest because it can produce a dramatic improvement in properties at very low filler content. The modification of graphene/graphene oxide and the utilization of these materials in the fabrication of nanocomposites with different polymer matrixes have been explored. Different organic polymers have been used to fabricate graphene filled polymer nanocomposites by a range of methods. In the case of modified graphene-based polymer nanocomposites, the percolation threshold can be achieved at a very lower filler loading. Herein, the structure, preparation and properties of polymer/graphene nanocomposites are discussed in general along with detailed examples drawn from the scientific literature. (C) 2010 Elsevier Ltd. All rights reserved.", "author" : [ { "dropping-particle" : "", "family" : "Kuilla", "given" : "T", "non-dropping-particle" : "", "parse-names" : false, "suffix" : "" }, { "dropping-particle" : "", "family" : "Bhadra", "given" : "S", "non-dropping-particle" : "", "parse-names" : false, "suffix" : "" }, { "dropping-particle" : "", "family" : "Yao", "given" : "D H", "non-dropping-particle" : "", "parse-names" : false, "suffix" : "" }, { "dropping-particle" : "", "family" : "Kim", "given" : "N H", "non-dropping-particle" : "", "parse-names" : false, "suffix" : "" }, { "dropping-particle" : "", "family" : "Bose", "given" : "S", "non-dropping-particle" : "", "parse-names" : false, "suffix" : "" }, { "dropping-particle" : "", "family" : "Lee", "given" : "J H", "non-dropping-particle" : "", "parse-names" : false, "suffix" : "" } ], "container-title" : "Progress in Polymer Science", "id" : "ITEM-2", "issued" : { "date-parts" : [ [ "2010" ] ] }, "page" : "1350-1375", "publisher" : "Elsevier Ltd", "title" : "Recent advances in graphene based polymer composites", "type" : "article-journal", "volume" : "35" }, "uris" : [ "http://www.mendeley.com/documents/?uuid=4234a7ea-c35a-411a-a713-f4550a647c2e" ] } ], "mendeley" : { "formattedCitation" : "[21,44]", "plainTextFormattedCitation" : "[21,44]", "previouslyFormattedCitation" : "[21,44]"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[21,44]</w:t>
      </w:r>
      <w:r>
        <w:rPr>
          <w:rFonts w:asciiTheme="majorBidi" w:hAnsiTheme="majorBidi" w:cstheme="majorBidi"/>
          <w:bCs/>
          <w:sz w:val="24"/>
          <w:szCs w:val="24"/>
        </w:rPr>
        <w:fldChar w:fldCharType="end"/>
      </w:r>
      <w:r>
        <w:rPr>
          <w:rFonts w:asciiTheme="majorBidi" w:hAnsiTheme="majorBidi" w:cstheme="majorBidi"/>
          <w:bCs/>
          <w:sz w:val="24"/>
          <w:szCs w:val="24"/>
        </w:rPr>
        <w:t xml:space="preserve">. Moreover, the quality of dispersion of fillers is not as good as </w:t>
      </w:r>
      <w:r w:rsidRPr="00932272">
        <w:rPr>
          <w:rFonts w:asciiTheme="majorBidi" w:hAnsiTheme="majorBidi" w:cstheme="majorBidi"/>
          <w:bCs/>
          <w:i/>
          <w:sz w:val="24"/>
          <w:szCs w:val="24"/>
        </w:rPr>
        <w:t>in situ</w:t>
      </w:r>
      <w:r>
        <w:rPr>
          <w:rFonts w:asciiTheme="majorBidi" w:hAnsiTheme="majorBidi" w:cstheme="majorBidi"/>
          <w:bCs/>
          <w:sz w:val="24"/>
          <w:szCs w:val="24"/>
        </w:rPr>
        <w:t xml:space="preserve"> polymerization and solution intercalation. Thus, a harsh shearing process is employed to exfoliate graphitic fillers and to overcome the interaction forces among graphitic sheets </w:t>
      </w:r>
      <w:r>
        <w:rPr>
          <w:rFonts w:asciiTheme="majorBidi" w:hAnsiTheme="majorBidi" w:cstheme="majorBidi"/>
          <w:bCs/>
          <w:sz w:val="24"/>
          <w:szCs w:val="24"/>
        </w:rPr>
        <w:fldChar w:fldCharType="begin" w:fldLock="1"/>
      </w:r>
      <w:r w:rsidR="00D14688">
        <w:rPr>
          <w:rFonts w:asciiTheme="majorBidi" w:hAnsiTheme="majorBidi" w:cstheme="majorBidi"/>
          <w:bCs/>
          <w:sz w:val="24"/>
          <w:szCs w:val="24"/>
        </w:rPr>
        <w:instrText>ADDIN CSL_CITATION { "citationItems" : [ { "id" : "ITEM-1", "itemData" : { "DOI" : "10.1039/c2jm15062j", "ISBN" : "0959-9428", "ISSN" : "0959-9428", "abstract" : "Polymer/graphene (oxide) nanocomposites exhibit enhanced mechanical properties at low volume fractions of graphene-based nanofillers. An understanding of the reinforcement behaviour was developed through the investigation of interfacial interactions between graphene oxide (GO) nanoplatelets and polymer matrix (PLLA, PCL, PS or HDPE) by combination of microstructure characterization and micromechanical modeling methods. The interfacial interaction determines the degree of dispersion of GO in polymers, interfacial adhesion strength as well as reinforcement efficiency, which can be tailored by the surface chemistry of GO and functionality of polymers. Homogeneous dispersion of GO nanoplatelets with high aspect ratios was found in PLLA and PCL matrices, as well as in lower polar polymer PS due to the preferable interactions between the aromatic rings and the graphene layers, while stacked GO layers with a lower aspect ratio were observed in HDPE matrix even with the presence of an organic compatibilizer. The theoretical elastic moduli of the four kinds of polymer/GO nanocomposites calculated by using the Halpin-Tsai model or a combination of Laminate theory and Mori-Tanaka model underestimated the experimental results. Considering the interfacial interactions, an effective volume fraction was introduced to the above composite models which interpreted the experimental data well. The interphase zone was thus quantified by using micromechanical modeling based on the measured mechanical properties of polymer/GO nanocomposites.", "author" : [ { "dropping-particle" : "", "family" : "Wan", "given" : "Chaoying", "non-dropping-particle" : "", "parse-names" : false, "suffix" : "" }, { "dropping-particle" : "", "family" : "Chen", "given" : "Biqiong", "non-dropping-particle" : "", "parse-names" : false, "suffix" : "" } ], "container-title" : "Journal of Materials Chemistry", "id" : "ITEM-1", "issue" : "8", "issued" : { "date-parts" : [ [ "2012" ] ] }, "page" : "3637-3646", "title" : "Reinforcement and interphase of polymer/graphene oxide nanocomposites", "type" : "article-journal", "volume" : "22" }, "uris" : [ "http://www.mendeley.com/documents/?uuid=e0dc770c-a693-4650-b142-fb5a7cdc7033" ] } ], "mendeley" : { "formattedCitation" : "[42]", "plainTextFormattedCitation" : "[42]", "previouslyFormattedCitation" : "[42]" }, "properties" : {  }, "schema" : "https://github.com/citation-style-language/schema/raw/master/csl-citation.json" }</w:instrText>
      </w:r>
      <w:r>
        <w:rPr>
          <w:rFonts w:asciiTheme="majorBidi" w:hAnsiTheme="majorBidi" w:cstheme="majorBidi"/>
          <w:bCs/>
          <w:sz w:val="24"/>
          <w:szCs w:val="24"/>
        </w:rPr>
        <w:fldChar w:fldCharType="separate"/>
      </w:r>
      <w:r w:rsidR="00D973A8" w:rsidRPr="00D973A8">
        <w:rPr>
          <w:rFonts w:asciiTheme="majorBidi" w:hAnsiTheme="majorBidi" w:cstheme="majorBidi"/>
          <w:bCs/>
          <w:noProof/>
          <w:sz w:val="24"/>
          <w:szCs w:val="24"/>
        </w:rPr>
        <w:t>[42]</w:t>
      </w:r>
      <w:r>
        <w:rPr>
          <w:rFonts w:asciiTheme="majorBidi" w:hAnsiTheme="majorBidi" w:cstheme="majorBidi"/>
          <w:bCs/>
          <w:sz w:val="24"/>
          <w:szCs w:val="24"/>
        </w:rPr>
        <w:fldChar w:fldCharType="end"/>
      </w:r>
      <w:r>
        <w:rPr>
          <w:rFonts w:asciiTheme="majorBidi" w:hAnsiTheme="majorBidi" w:cstheme="majorBidi"/>
          <w:bCs/>
          <w:sz w:val="24"/>
          <w:szCs w:val="24"/>
        </w:rPr>
        <w:t xml:space="preserve">. To date, a widely range of polymer nanocomposites are prepared by using this method, i.e. polypropylene/EG </w:t>
      </w:r>
      <w:r>
        <w:rPr>
          <w:rFonts w:asciiTheme="majorBidi" w:hAnsiTheme="majorBidi" w:cstheme="majorBidi"/>
          <w:bCs/>
          <w:sz w:val="24"/>
          <w:szCs w:val="24"/>
        </w:rPr>
        <w:fldChar w:fldCharType="begin" w:fldLock="1"/>
      </w:r>
      <w:r w:rsidR="00D973A8">
        <w:rPr>
          <w:rFonts w:asciiTheme="majorBidi" w:hAnsiTheme="majorBidi" w:cstheme="majorBidi"/>
          <w:bCs/>
          <w:sz w:val="24"/>
          <w:szCs w:val="24"/>
        </w:rPr>
        <w:instrText>ADDIN CSL_CITATION { "citationItems" : [ { "id" : "ITEM-1", "itemData" : { "DOI" : "10.1016/j.carbon.2007.03.029", "ISBN" : "1359-8368", "ISSN" : "00086223", "PMID" : "18218884", "abstract" : "The potential of using exfoliated graphite nanoplatelets, xGnPTM, as a reinforcement that can produce multifunctional polymer composites was explored. xGnP-polypropylene (PP) composites fabricated by melt mixing using a twin-screw extruder followed by injection molding were investigated for their thermal, viscoelastic and barrier properties as a function of xGnP concentration and aspect ratio. These properties of the xGnP-PP composites were compared to the properties of composites made with PAN-based carbon fibers, VGCF, carbon black and nanoclay. Results indicate that when oriented properly, the xGnP will not only stiffen the composite but also reduce the coefficient of thermal expansion in two directions rather than in one as in the case of aligned fiber composites. Furthermore, the large aspect ratio of xGnP, even at low loadings, increases the oxygen barrier of PP at least as effectively as the commonly used nanoclays and finally, addition of xGnP significantly enhances the thermal conductivity of the polymer matrix. \u00a9 2007 Elsevier Ltd. All rights reserved.", "author" : [ { "dropping-particle" : "", "family" : "Kalaitzidou", "given" : "Kyriaki", "non-dropping-particle" : "", "parse-names" : false, "suffix" : "" }, { "dropping-particle" : "", "family" : "Fukushima", "given" : "Hiroyuki", "non-dropping-particle" : "", "parse-names" : false, "suffix" : "" }, { "dropping-particle" : "", "family" : "Drzal", "given" : "Lawrence T.", "non-dropping-particle" : "", "parse-names" : false, "suffix" : "" } ], "container-title" : "Carbon", "id" : "ITEM-1", "issue" : "7", "issued" : { "date-parts" : [ [ "2007" ] ] }, "page" : "1446-1452", "title" : "Multifunctional polypropylene composites produced by incorporation of exfoliated graphite nanoplatelets", "type" : "article-journal", "volume" : "45" }, "uris" : [ "http://www.mendeley.com/documents/?uuid=90b75f5c-bee6-46b2-b88d-2d8076da6284" ] } ], "mendeley" : { "formattedCitation" : "[77]", "plainTextFormattedCitation" : "[77]", "previouslyFormattedCitation" : "[77]" }, "properties" : {  }, "schema" : "https://github.com/citation-style-language/schema/raw/master/csl-citation.json" }</w:instrText>
      </w:r>
      <w:r>
        <w:rPr>
          <w:rFonts w:asciiTheme="majorBidi" w:hAnsiTheme="majorBidi" w:cstheme="majorBidi"/>
          <w:bCs/>
          <w:sz w:val="24"/>
          <w:szCs w:val="24"/>
        </w:rPr>
        <w:fldChar w:fldCharType="separate"/>
      </w:r>
      <w:r w:rsidRPr="0080714B">
        <w:rPr>
          <w:rFonts w:asciiTheme="majorBidi" w:hAnsiTheme="majorBidi" w:cstheme="majorBidi"/>
          <w:bCs/>
          <w:noProof/>
          <w:sz w:val="24"/>
          <w:szCs w:val="24"/>
        </w:rPr>
        <w:t>[77]</w:t>
      </w:r>
      <w:r>
        <w:rPr>
          <w:rFonts w:asciiTheme="majorBidi" w:hAnsiTheme="majorBidi" w:cstheme="majorBidi"/>
          <w:bCs/>
          <w:sz w:val="24"/>
          <w:szCs w:val="24"/>
        </w:rPr>
        <w:fldChar w:fldCharType="end"/>
      </w:r>
      <w:r>
        <w:rPr>
          <w:rFonts w:asciiTheme="majorBidi" w:hAnsiTheme="majorBidi" w:cstheme="majorBidi"/>
          <w:bCs/>
          <w:sz w:val="24"/>
          <w:szCs w:val="24"/>
        </w:rPr>
        <w:t xml:space="preserve">, HDPE/EG </w:t>
      </w:r>
      <w:r>
        <w:rPr>
          <w:rFonts w:asciiTheme="majorBidi" w:hAnsiTheme="majorBidi" w:cstheme="majorBidi"/>
          <w:bCs/>
          <w:sz w:val="24"/>
          <w:szCs w:val="24"/>
        </w:rPr>
        <w:fldChar w:fldCharType="begin" w:fldLock="1"/>
      </w:r>
      <w:r w:rsidR="00D973A8">
        <w:rPr>
          <w:rFonts w:asciiTheme="majorBidi" w:hAnsiTheme="majorBidi" w:cstheme="majorBidi"/>
          <w:bCs/>
          <w:sz w:val="24"/>
          <w:szCs w:val="24"/>
        </w:rPr>
        <w:instrText>ADDIN CSL_CITATION { "citationItems" : [ { "id" : "ITEM-1", "itemData" : { "DOI" : "10.1002/pc", "ISBN" : "0967-3911", "ISSN" : "09673911", "PMID" : "871301", "abstract" : "This paper describes the fatigue behaviour of newly developed all-polypropylene (all-PP) tapes and composites, with reference to the composite processing conditions, testing temperature and making a comparison with commercial alternatives. All-PP tapes are highly oriented and their failure behaviour follows that of other highly oriented polymers. All-PP woven composites fail ultimately due to PP tape failure. However, this failure mode is accompanied by delamination of fabrics in the woven structure. Consolidation pressure plays a decisive role in controlling the interlaminar properties and hence the delamination resistance and furthermore the fatigue limit of the composite. Comparison of all-PP woven composites with commercial alternatives based on glass and natural fibres reveals the excellent relative performance of all-PP composites under fatigue loads. Fatigue properties of all-PP composites are however sensitive to the testing temperature, and elevated temperatures can lead to a rapid reduction of the fatigue resistance of these all-polymer systems.", "author" : [ { "dropping-particle" : "", "family" : "Kim", "given" : "Sumin", "non-dropping-particle" : "", "parse-names" : false, "suffix" : "" }, { "dropping-particle" : "", "family" : "Do", "given" : "Inhwan", "non-dropping-particle" : "", "parse-names" : false, "suffix" : "" }, { "dropping-particle" : "", "family" : "Lawrence", "given" : "T.", "non-dropping-particle" : "", "parse-names" : false, "suffix" : "" } ], "container-title" : "Polymers Composites", "id" : "ITEM-1", "issued" : { "date-parts" : [ [ "2010" ] ] }, "page" : "755-761", "title" : "Fatigue properties of highly oriented polypropylene tapes and all-polypropylene composites", "type" : "article-journal", "volume" : "10" }, "uris" : [ "http://www.mendeley.com/documents/?uuid=60173a66-a2e1-42f7-b663-fd41d1ee35f7" ] } ], "mendeley" : { "formattedCitation" : "[78]", "plainTextFormattedCitation" : "[78]", "previouslyFormattedCitation" : "[78]" }, "properties" : {  }, "schema" : "https://github.com/citation-style-language/schema/raw/master/csl-citation.json" }</w:instrText>
      </w:r>
      <w:r>
        <w:rPr>
          <w:rFonts w:asciiTheme="majorBidi" w:hAnsiTheme="majorBidi" w:cstheme="majorBidi"/>
          <w:bCs/>
          <w:sz w:val="24"/>
          <w:szCs w:val="24"/>
        </w:rPr>
        <w:fldChar w:fldCharType="separate"/>
      </w:r>
      <w:r w:rsidRPr="0080714B">
        <w:rPr>
          <w:rFonts w:asciiTheme="majorBidi" w:hAnsiTheme="majorBidi" w:cstheme="majorBidi"/>
          <w:bCs/>
          <w:noProof/>
          <w:sz w:val="24"/>
          <w:szCs w:val="24"/>
        </w:rPr>
        <w:t>[78]</w:t>
      </w:r>
      <w:r>
        <w:rPr>
          <w:rFonts w:asciiTheme="majorBidi" w:hAnsiTheme="majorBidi" w:cstheme="majorBidi"/>
          <w:bCs/>
          <w:sz w:val="24"/>
          <w:szCs w:val="24"/>
        </w:rPr>
        <w:fldChar w:fldCharType="end"/>
      </w:r>
      <w:r>
        <w:rPr>
          <w:rFonts w:asciiTheme="majorBidi" w:hAnsiTheme="majorBidi" w:cstheme="majorBidi"/>
          <w:bCs/>
          <w:sz w:val="24"/>
          <w:szCs w:val="24"/>
        </w:rPr>
        <w:t>, p</w:t>
      </w:r>
      <w:r w:rsidRPr="00671D48">
        <w:rPr>
          <w:rFonts w:asciiTheme="majorBidi" w:hAnsiTheme="majorBidi" w:cstheme="majorBidi"/>
          <w:bCs/>
          <w:sz w:val="24"/>
          <w:szCs w:val="24"/>
        </w:rPr>
        <w:t xml:space="preserve">olyphenylene </w:t>
      </w:r>
      <w:r>
        <w:rPr>
          <w:rFonts w:asciiTheme="majorBidi" w:hAnsiTheme="majorBidi" w:cstheme="majorBidi"/>
          <w:bCs/>
          <w:sz w:val="24"/>
          <w:szCs w:val="24"/>
        </w:rPr>
        <w:t xml:space="preserve">sulphide/EG </w:t>
      </w:r>
      <w:r>
        <w:rPr>
          <w:rFonts w:asciiTheme="majorBidi" w:hAnsiTheme="majorBidi" w:cstheme="majorBidi"/>
          <w:bCs/>
          <w:sz w:val="24"/>
          <w:szCs w:val="24"/>
        </w:rPr>
        <w:fldChar w:fldCharType="begin" w:fldLock="1"/>
      </w:r>
      <w:r w:rsidR="00D973A8">
        <w:rPr>
          <w:rFonts w:asciiTheme="majorBidi" w:hAnsiTheme="majorBidi" w:cstheme="majorBidi"/>
          <w:bCs/>
          <w:sz w:val="24"/>
          <w:szCs w:val="24"/>
        </w:rPr>
        <w:instrText>ADDIN CSL_CITATION { "citationItems" : [ { "id" : "ITEM-1", "itemData" : { "author" : [ { "dropping-particle" : "", "family" : "Chen", "given" : "G.", "non-dropping-particle" : "", "parse-names" : false, "suffix" : "" }, { "dropping-particle" : "", "family" : "Wu", "given" : "C.", "non-dropping-particle" : "", "parse-names" : false, "suffix" : "" }, { "dropping-particle" : "", "family" : "Weng", "given" : "W.", "non-dropping-particle" : "", "parse-names" : false, "suffix" : "" } ], "container-title" : "Polymer", "id" : "ITEM-1", "issued" : { "date-parts" : [ [ "2003" ] ] }, "page" : "1781-1784", "title" : "Preparation of polystyrene/graphite nanosheet composite", "type" : "article-journal", "volume" : "44" }, "uris" : [ "http://www.mendeley.com/documents/?uuid=685f1601-5111-44ed-add9-34196aa9ad04" ] } ], "mendeley" : { "formattedCitation" : "[79]", "plainTextFormattedCitation" : "[79]", "previouslyFormattedCitation" : "[79]" }, "properties" : {  }, "schema" : "https://github.com/citation-style-language/schema/raw/master/csl-citation.json" }</w:instrText>
      </w:r>
      <w:r>
        <w:rPr>
          <w:rFonts w:asciiTheme="majorBidi" w:hAnsiTheme="majorBidi" w:cstheme="majorBidi"/>
          <w:bCs/>
          <w:sz w:val="24"/>
          <w:szCs w:val="24"/>
        </w:rPr>
        <w:fldChar w:fldCharType="separate"/>
      </w:r>
      <w:r w:rsidRPr="0080714B">
        <w:rPr>
          <w:rFonts w:asciiTheme="majorBidi" w:hAnsiTheme="majorBidi" w:cstheme="majorBidi"/>
          <w:bCs/>
          <w:noProof/>
          <w:sz w:val="24"/>
          <w:szCs w:val="24"/>
        </w:rPr>
        <w:t>[79]</w:t>
      </w:r>
      <w:r>
        <w:rPr>
          <w:rFonts w:asciiTheme="majorBidi" w:hAnsiTheme="majorBidi" w:cstheme="majorBidi"/>
          <w:bCs/>
          <w:sz w:val="24"/>
          <w:szCs w:val="24"/>
        </w:rPr>
        <w:fldChar w:fldCharType="end"/>
      </w:r>
      <w:r>
        <w:rPr>
          <w:rFonts w:asciiTheme="majorBidi" w:hAnsiTheme="majorBidi" w:cstheme="majorBidi"/>
          <w:bCs/>
          <w:sz w:val="24"/>
          <w:szCs w:val="24"/>
        </w:rPr>
        <w:t>, etc.</w:t>
      </w:r>
    </w:p>
    <w:p w14:paraId="1B71B3DB" w14:textId="77777777" w:rsidR="003C6953" w:rsidRPr="00FD2749" w:rsidRDefault="003C6953" w:rsidP="003C6953">
      <w:pPr>
        <w:spacing w:after="0" w:line="480" w:lineRule="auto"/>
        <w:jc w:val="both"/>
        <w:rPr>
          <w:rFonts w:asciiTheme="majorBidi" w:hAnsiTheme="majorBidi" w:cstheme="majorBidi"/>
          <w:bCs/>
          <w:i/>
          <w:sz w:val="24"/>
          <w:szCs w:val="24"/>
        </w:rPr>
      </w:pPr>
    </w:p>
    <w:p w14:paraId="740D9998" w14:textId="39539123" w:rsidR="003C6953" w:rsidRDefault="00B06015" w:rsidP="003C6953">
      <w:pPr>
        <w:pStyle w:val="Heading2"/>
        <w:spacing w:before="0"/>
      </w:pPr>
      <w:bookmarkStart w:id="35" w:name="_Toc518823238"/>
      <w:r>
        <w:t>2.</w:t>
      </w:r>
      <w:r w:rsidR="003C6953" w:rsidRPr="005E0C77">
        <w:t>5.2. Properties of polymer/graphene nanocomposites</w:t>
      </w:r>
      <w:bookmarkEnd w:id="35"/>
    </w:p>
    <w:p w14:paraId="48CA4F88" w14:textId="77777777"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Owing to its strong mechanical properties, great thermal and electrical conductivity, and high specific surface area, graphitic fillers are </w:t>
      </w:r>
      <w:r>
        <w:rPr>
          <w:rFonts w:ascii="Times New Roman" w:hAnsi="Times New Roman" w:cs="Times New Roman" w:hint="eastAsia"/>
          <w:sz w:val="24"/>
          <w:szCs w:val="24"/>
        </w:rPr>
        <w:t>ex</w:t>
      </w:r>
      <w:r>
        <w:rPr>
          <w:rFonts w:ascii="Times New Roman" w:hAnsi="Times New Roman" w:cs="Times New Roman"/>
          <w:sz w:val="24"/>
          <w:szCs w:val="24"/>
        </w:rPr>
        <w:t>pected to be a promising reinforcement for polymer nanocomposite. The common graphitic fillers for polymer nanocomposites are modified graphene, graphene oxide (GO), expanded graphene (EG), etc. In this section, the effect of graphitic fillers on the mechanical properties, thermal properties, electrical conductivity, glass transition temperature (</w:t>
      </w:r>
      <w:r w:rsidRPr="0065170F">
        <w:rPr>
          <w:rFonts w:ascii="Times New Roman" w:hAnsi="Times New Roman" w:cs="Times New Roman"/>
          <w:i/>
          <w:sz w:val="24"/>
          <w:szCs w:val="24"/>
        </w:rPr>
        <w:t>T</w:t>
      </w:r>
      <w:r w:rsidRPr="0065170F">
        <w:rPr>
          <w:rFonts w:ascii="Times New Roman" w:hAnsi="Times New Roman" w:cs="Times New Roman"/>
          <w:i/>
          <w:sz w:val="24"/>
          <w:szCs w:val="24"/>
          <w:vertAlign w:val="subscript"/>
        </w:rPr>
        <w:t>g</w:t>
      </w:r>
      <w:r>
        <w:rPr>
          <w:rFonts w:ascii="Times New Roman" w:hAnsi="Times New Roman" w:cs="Times New Roman"/>
          <w:sz w:val="24"/>
          <w:szCs w:val="24"/>
        </w:rPr>
        <w:t xml:space="preserve">), and morphologic properties are discussed. </w:t>
      </w:r>
    </w:p>
    <w:p w14:paraId="145A033A" w14:textId="77777777" w:rsidR="003C6953" w:rsidRPr="00626D66" w:rsidRDefault="003C6953" w:rsidP="003C6953">
      <w:pPr>
        <w:spacing w:after="0" w:line="480" w:lineRule="auto"/>
        <w:jc w:val="both"/>
        <w:rPr>
          <w:rFonts w:ascii="Times New Roman" w:hAnsi="Times New Roman" w:cs="Times New Roman"/>
          <w:sz w:val="24"/>
          <w:szCs w:val="24"/>
        </w:rPr>
      </w:pPr>
    </w:p>
    <w:p w14:paraId="5C3A9459" w14:textId="506245FF" w:rsidR="003C6953" w:rsidRDefault="00B06015" w:rsidP="003C6953">
      <w:pPr>
        <w:pStyle w:val="Heading3"/>
        <w:spacing w:before="0"/>
      </w:pPr>
      <w:bookmarkStart w:id="36" w:name="_Toc518823239"/>
      <w:r>
        <w:t>2.</w:t>
      </w:r>
      <w:r w:rsidR="003C6953">
        <w:t>5.2.1. Reinforcement and mechanical properties</w:t>
      </w:r>
      <w:bookmarkEnd w:id="36"/>
    </w:p>
    <w:p w14:paraId="4E59F0B9" w14:textId="4B3EB47D"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The main purpose of incorporation of graphitic fillers into polymeric matrix is to improve the mechanical properties, including modulus, strength, and toughness. The influence of mechanical properties of polymer nanocomposites is very complex, which is determined by many factors. Normally, the final mechanical properties is determined by both polymer matrix and the rigid fillers, the modulus and strength increase with increasing nanofiller content. T</w:t>
      </w:r>
      <w:r>
        <w:rPr>
          <w:rFonts w:ascii="Times New Roman" w:hAnsi="Times New Roman" w:cs="Times New Roman" w:hint="eastAsia"/>
          <w:sz w:val="24"/>
          <w:szCs w:val="24"/>
        </w:rPr>
        <w:t>he</w:t>
      </w:r>
      <w:r>
        <w:rPr>
          <w:rFonts w:ascii="Times New Roman" w:hAnsi="Times New Roman" w:cs="Times New Roman"/>
          <w:sz w:val="24"/>
          <w:szCs w:val="24"/>
        </w:rPr>
        <w:t xml:space="preserve">oretically, the dispersion quality of nanofillers is a main factor for the reinforcement capacity. Homogeneous dispersion of nanofillers in polymeric matrix can improve the modulus and strength by constraining the mobility of polymer chains. However, graphene and its derivatives tend to aggregate with the increasing filler content due to its </w:t>
      </w:r>
      <w:r w:rsidRPr="00043585">
        <w:rPr>
          <w:rFonts w:ascii="Times New Roman" w:hAnsi="Times New Roman" w:cs="Times New Roman"/>
          <w:sz w:val="24"/>
          <w:szCs w:val="24"/>
        </w:rPr>
        <w:t>van der Waals' force</w:t>
      </w:r>
      <w:r>
        <w:rPr>
          <w:rFonts w:ascii="Times New Roman" w:hAnsi="Times New Roman" w:cs="Times New Roman"/>
          <w:sz w:val="24"/>
          <w:szCs w:val="24"/>
        </w:rPr>
        <w:t xml:space="preserve">. Therefore, the effective aspect ratio of nanofiller is reduced, resulting in a reduced modulus and strength. Numerous works have been reported that the addition of graphitic fillers can enhance the mechanical properties of polymers at low concentration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"author" : [ { "dropping-particle" : "", "family" : "Schaefer", "given" : "Dale W.", "non-dropping-particle" : "", "parse-names" : false, "suffix" : "" }, { "dropping-particle" : "", "family" : "Justice", "given" : "Ryan S.", "non-dropping-particle" : "", "parse-names" : false, "suffix" : "" } ], "container-title" : "Macromolecules", "id" : "ITEM-1", "issued" : { "date-parts" : [ [ "2007" ] ] }, "page" : "5801-8517", "title" : "How nano are nanocomposites", "type" : "article-journal", "volume" : "40" }, "uris" : [ "http://www.mendeley.com/documents/?uuid=a8b2481a-d04f-4a6b-93e4-5ff619191bfa" ] } ], "mendeley" : { "formattedCitation" : "[80]", "plainTextFormattedCitation" : "[80]", "previouslyFormattedCitation" : "[80]"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[80]</w:t>
      </w:r>
      <w:r>
        <w:rPr>
          <w:rFonts w:ascii="Times New Roman" w:hAnsi="Times New Roman" w:cs="Times New Roman"/>
          <w:sz w:val="24"/>
          <w:szCs w:val="24"/>
        </w:rPr>
        <w:fldChar w:fldCharType="end"/>
      </w:r>
      <w:r>
        <w:rPr>
          <w:rFonts w:ascii="Times New Roman" w:hAnsi="Times New Roman" w:cs="Times New Roman"/>
          <w:sz w:val="24"/>
          <w:szCs w:val="24"/>
        </w:rPr>
        <w:t xml:space="preserve">. Zhao investigated the influence of graphene on the mechanical properties of PVA (Figure 2.8)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"10.1021/ma902862u", "ISBN" : "0024-9297", "ISSN" : "00249297", "abstract" : "ABSTRACT: Graphene, flat carbon nanosheets, has generated huge activity in many areas of science and engineering due to its unprecedented physical and chemical properties. With the development of wide-scale applicability including facile synthesis and high yield, this exciting material is ready for its practical application in the preparation of polymer nanocomposites. Here we report that nanocomposites based on fully exfoliated graphene nanosheets and poly(vinyl alcohol) (PVA) are prepared via a facial aqueous solution.Asignificant enhancement of mechanical properties of the graphene/PVA composites is obtained at low graphene loading; that is, a 150% improvement of tensile strength and a nearly 10 times increase of Young\u2019s modulus are achieved at a graphene loading of 1.8 vol%.The comparison between the experimental results and theoretical simulation for Young\u2019s modulus indicates that the graphene nanosheets in polymer matrix are mostly dispersed randomly in the nanocomposite films.", "author" : [ { "dropping-particle" : "", "family" : "Zhao", "given" : "Xin", "non-dropping-particle" : "", "parse-names" : false, "suffix" : "" }, { "dropping-particle" : "", "family" : "Zhang", "given" : "Qinghua", "non-dropping-particle" : "", "parse-names" : false, "suffix" : "" }, { "dropping-particle" : "", "family" : "Chen", "given" : "Dajun", "non-dropping-particle" : "", "parse-names" : false, "suffix" : "" }, { "dropping-particle" : "", "family" : "Lu", "given" : "Ping", "non-dropping-particle" : "", "parse-names" : false, "suffix" : "" } ], "container-title" : "Macromolecules", "id" : "ITEM-1", "issue" : "5", "issued" : { "date-parts" : [ [ "2010" ] ] }, "page" : "2357-2363", "title" : "Enhanced mechanical properties of graphene-based polyvinyl alcohol composites", "type" : "article-journal", "volume" : "43" }, "uris" : [ "http://www.mendeley.com/documents/?uuid=ad9532c9-787c-4278-8a04-c7c6db044411" ] } ], "mendeley" : { "formattedCitation" : "[81]", "plainTextFormattedCitation" : "[81]", "previouslyFormattedCitation" : "[81]"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[81]</w:t>
      </w:r>
      <w:r>
        <w:rPr>
          <w:rFonts w:ascii="Times New Roman" w:hAnsi="Times New Roman" w:cs="Times New Roman"/>
          <w:sz w:val="24"/>
          <w:szCs w:val="24"/>
        </w:rPr>
        <w:fldChar w:fldCharType="end"/>
      </w:r>
      <w:r>
        <w:rPr>
          <w:rFonts w:ascii="Times New Roman" w:hAnsi="Times New Roman" w:cs="Times New Roman"/>
          <w:sz w:val="24"/>
          <w:szCs w:val="24"/>
        </w:rPr>
        <w:t xml:space="preserve">. In his study, the Young’s modulus and tensile strength increased dramatically with graphene content up to 1.8 vol%. Whereas, the elongation at break is reduced significantly. This may be contributed to a large aspect ratio of graphene and good interfacial interaction between graphene and polymeric matrix. When the graphene content increased more than 1.8 vol%, both Young’s modulus and tensile strength are reduced. Whereas, the elongation is increased compared to PVA composites with lower concertation. The reason for this phenomenon is presumably due to the restacking of graphene caused by </w:t>
      </w:r>
      <w:r w:rsidRPr="007317C7">
        <w:rPr>
          <w:rFonts w:ascii="Times New Roman" w:hAnsi="Times New Roman" w:cs="Times New Roman"/>
          <w:sz w:val="24"/>
          <w:szCs w:val="24"/>
        </w:rPr>
        <w:t>van der Waals' force</w:t>
      </w:r>
      <w:r>
        <w:rPr>
          <w:rFonts w:ascii="Times New Roman" w:hAnsi="Times New Roman" w:cs="Times New Roman"/>
          <w:sz w:val="24"/>
          <w:szCs w:val="24"/>
        </w:rPr>
        <w:t xml:space="preserve"> after a critical graphene content (mechanical percolation), resulting in a reduced interfacial interaction between graphene and PVA. Moreover, the arrangement of graphene can change from exfoliated graphene to piled graphene and stacked graphene when graphene content reaches or over the mechanical percolation, which may cause slippage between graphene nanosheets. Hence, Young’s modulus and tensile strength were reduced after 1.8 vol%. Whereas, elongation at break increased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"10.1021/ma902862u", "ISBN" : "0024-9297", "ISSN" : "00249297", "abstract" : "ABSTRACT: Graphene, flat carbon nanosheets, has generated huge activity in many areas of science and engineering due to its unprecedented physical and chemical properties. With the development of wide-scale applicability including facile synthesis and high yield, this exciting material is ready for its practical application in the preparation of polymer nanocomposites. Here we report that nanocomposites based on fully exfoliated graphene nanosheets and poly(vinyl alcohol) (PVA) are prepared via a facial aqueous solution.Asignificant enhancement of mechanical properties of the graphene/PVA composites is obtained at low graphene loading; that is, a 150% improvement of tensile strength and a nearly 10 times increase of Young\u2019s modulus are achieved at a graphene loading of 1.8 vol%.The comparison between the experimental results and theoretical simulation for Young\u2019s modulus indicates that the graphene nanosheets in polymer matrix are mostly dispersed randomly in the nanocomposite films.", "author" : [ { "dropping-particle" : "", "family" : "Zhao", "given" : "Xin", "non-dropping-particle" : "", "parse-names" : false, "suffix" : "" }, { "dropping-particle" : "", "family" : "Zhang", "given" : "Qinghua", "non-dropping-particle" : "", "parse-names" : false, "suffix" : "" }, { "dropping-particle" : "", "family" : "Chen", "given" : "Dajun", "non-dropping-particle" : "", "parse-names" : false, "suffix" : "" }, { "dropping-particle" : "", "family" : "Lu", "given" : "Ping", "non-dropping-particle" : "", "parse-names" : false, "suffix" : "" } ], "container-title" : "Macromolecules", "id" : "ITEM-1", "issue" : "5", "issued" : { "date-parts" : [ [ "2010" ] ] }, "page" : "2357-2363", "title" : "Enhanced mechanical properties of graphene-based polyvinyl alcohol composites", "type" : "article-journal", "volume" : "43" }, "uris" : [ "http://www.mendeley.com/documents/?uuid=ad9532c9-787c-4278-8a04-c7c6db044411" ] } ], "mendeley" : { "formattedCitation" : "[81]", "plainTextFormattedCitation" : "[81]", "previouslyFormattedCitation" : "[81]"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[81]</w:t>
      </w:r>
      <w:r>
        <w:rPr>
          <w:rFonts w:ascii="Times New Roman" w:hAnsi="Times New Roman" w:cs="Times New Roman"/>
          <w:sz w:val="24"/>
          <w:szCs w:val="24"/>
        </w:rPr>
        <w:fldChar w:fldCharType="end"/>
      </w:r>
      <w:r>
        <w:rPr>
          <w:rFonts w:ascii="Times New Roman" w:hAnsi="Times New Roman" w:cs="Times New Roman"/>
          <w:sz w:val="24"/>
          <w:szCs w:val="24"/>
        </w:rPr>
        <w:t>.</w:t>
      </w:r>
    </w:p>
    <w:p w14:paraId="7BE6B872" w14:textId="0F50CF56" w:rsidR="003C6953" w:rsidRDefault="003C6953" w:rsidP="003C6953">
      <w:pPr>
        <w:spacing w:after="0" w:line="480" w:lineRule="auto"/>
        <w:jc w:val="center"/>
        <w:rPr>
          <w:rFonts w:ascii="Times New Roman" w:hAnsi="Times New Roman" w:cs="Times New Roman"/>
          <w:sz w:val="24"/>
          <w:szCs w:val="24"/>
        </w:rPr>
      </w:pPr>
    </w:p>
    <w:p w14:paraId="5D3EF735" w14:textId="77777777" w:rsidR="003C6953" w:rsidRDefault="003C6953" w:rsidP="003C6953">
      <w:pPr>
        <w:spacing w:after="0"/>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17A3C89D" wp14:editId="0153F493">
            <wp:extent cx="5859980" cy="2232000"/>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72780" cy="2236875"/>
                    </a:xfrm>
                    <a:prstGeom prst="rect">
                      <a:avLst/>
                    </a:prstGeom>
                    <a:noFill/>
                  </pic:spPr>
                </pic:pic>
              </a:graphicData>
            </a:graphic>
          </wp:inline>
        </w:drawing>
      </w:r>
    </w:p>
    <w:p w14:paraId="539E8797" w14:textId="54F673FF" w:rsidR="003C6953" w:rsidRDefault="00C560D3" w:rsidP="0005778C">
      <w:pPr>
        <w:pStyle w:val="Caption"/>
        <w:ind w:firstLine="0"/>
        <w:rPr>
          <w:rFonts w:cs="Times New Roman"/>
          <w:szCs w:val="24"/>
        </w:rPr>
      </w:pPr>
      <w:bookmarkStart w:id="37" w:name="_Toc502661647"/>
      <w:bookmarkStart w:id="38" w:name="_Toc518823385"/>
      <w:r>
        <w:t>Figure 2.</w:t>
      </w:r>
      <w:r w:rsidR="0005778C">
        <w:fldChar w:fldCharType="begin"/>
      </w:r>
      <w:r w:rsidR="0005778C">
        <w:instrText xml:space="preserve"> SEQ Figure_2. \* ARABIC </w:instrText>
      </w:r>
      <w:r w:rsidR="0005778C">
        <w:fldChar w:fldCharType="separate"/>
      </w:r>
      <w:r w:rsidR="00551ED9">
        <w:rPr>
          <w:noProof/>
        </w:rPr>
        <w:t>8</w:t>
      </w:r>
      <w:r w:rsidR="0005778C">
        <w:fldChar w:fldCharType="end"/>
      </w:r>
      <w:r w:rsidR="0005778C">
        <w:t xml:space="preserve">. </w:t>
      </w:r>
      <w:r w:rsidR="003C6953">
        <w:rPr>
          <w:rFonts w:cs="Times New Roman"/>
          <w:szCs w:val="24"/>
        </w:rPr>
        <w:t xml:space="preserve">Mechanical properties of PVA/graphene nanocomposites: stress-strain curve (left) and tensile strength and elongation at break versus graphene loadings (Reproduced from reference </w:t>
      </w:r>
      <w:r w:rsidR="003C6953">
        <w:rPr>
          <w:rFonts w:cs="Times New Roman"/>
          <w:szCs w:val="24"/>
        </w:rPr>
        <w:fldChar w:fldCharType="begin" w:fldLock="1"/>
      </w:r>
      <w:r w:rsidR="00D973A8">
        <w:rPr>
          <w:rFonts w:cs="Times New Roman"/>
          <w:szCs w:val="24"/>
        </w:rPr>
        <w:instrText>ADDIN CSL_CITATION { "citationItems" : [ { "id" : "ITEM-1", "itemData" : { "DOI" : "10.1021/ma902862u", "ISBN" : "0024-9297", "ISSN" : "00249297", "abstract" : "ABSTRACT: Graphene, flat carbon nanosheets, has generated huge activity in many areas of science and engineering due to its unprecedented physical and chemical properties. With the development of wide-scale applicability including facile synthesis and high yield, this exciting material is ready for its practical application in the preparation of polymer nanocomposites. Here we report that nanocomposites based on fully exfoliated graphene nanosheets and poly(vinyl alcohol) (PVA) are prepared via a facial aqueous solution.Asignificant enhancement of mechanical properties of the graphene/PVA composites is obtained at low graphene loading; that is, a 150% improvement of tensile strength and a nearly 10 times increase of Young\u2019s modulus are achieved at a graphene loading of 1.8 vol%.The comparison between the experimental results and theoretical simulation for Young\u2019s modulus indicates that the graphene nanosheets in polymer matrix are mostly dispersed randomly in the nanocomposite films.", "author" : [ { "dropping-particle" : "", "family" : "Zhao", "given" : "Xin", "non-dropping-particle" : "", "parse-names" : false, "suffix" : "" }, { "dropping-particle" : "", "family" : "Zhang", "given" : "Qinghua", "non-dropping-particle" : "", "parse-names" : false, "suffix" : "" }, { "dropping-particle" : "", "family" : "Chen", "given" : "Dajun", "non-dropping-particle" : "", "parse-names" : false, "suffix" : "" }, { "dropping-particle" : "", "family" : "Lu", "given" : "Ping", "non-dropping-particle" : "", "parse-names" : false, "suffix" : "" } ], "container-title" : "Macromolecules", "id" : "ITEM-1", "issue" : "5", "issued" : { "date-parts" : [ [ "2010" ] ] }, "page" : "2357-2363", "title" : "Enhanced mechanical properties of graphene-based polyvinyl alcohol composites", "type" : "article-journal", "volume" : "43" }, "uris" : [ "http://www.mendeley.com/documents/?uuid=ad9532c9-787c-4278-8a04-c7c6db044411" ] } ], "mendeley" : { "formattedCitation" : "[81]", "plainTextFormattedCitation" : "[81]", "previouslyFormattedCitation" : "[81]" }, "properties" : {  }, "schema" : "https://github.com/citation-style-language/schema/raw/master/csl-citation.json" }</w:instrText>
      </w:r>
      <w:r w:rsidR="003C6953">
        <w:rPr>
          <w:rFonts w:cs="Times New Roman"/>
          <w:szCs w:val="24"/>
        </w:rPr>
        <w:fldChar w:fldCharType="separate"/>
      </w:r>
      <w:r w:rsidR="003C6953" w:rsidRPr="0080714B">
        <w:rPr>
          <w:rFonts w:cs="Times New Roman"/>
          <w:noProof/>
          <w:szCs w:val="24"/>
        </w:rPr>
        <w:t>[81]</w:t>
      </w:r>
      <w:r w:rsidR="003C6953">
        <w:rPr>
          <w:rFonts w:cs="Times New Roman"/>
          <w:szCs w:val="24"/>
        </w:rPr>
        <w:fldChar w:fldCharType="end"/>
      </w:r>
      <w:r w:rsidR="003C6953">
        <w:rPr>
          <w:rFonts w:cs="Times New Roman"/>
          <w:szCs w:val="24"/>
        </w:rPr>
        <w:t>).</w:t>
      </w:r>
      <w:bookmarkEnd w:id="37"/>
      <w:bookmarkEnd w:id="38"/>
    </w:p>
    <w:p w14:paraId="03C495CF" w14:textId="77777777" w:rsidR="003C6953" w:rsidRDefault="003C6953" w:rsidP="003C6953">
      <w:pPr>
        <w:spacing w:after="0"/>
        <w:rPr>
          <w:rFonts w:ascii="Times New Roman" w:hAnsi="Times New Roman" w:cs="Times New Roman"/>
          <w:sz w:val="24"/>
          <w:szCs w:val="24"/>
        </w:rPr>
      </w:pPr>
    </w:p>
    <w:p w14:paraId="27B3D388" w14:textId="66EBCB06" w:rsidR="003C6953" w:rsidRPr="00637F54"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The dispersion of graphene in polymer matrix can be explained by the schematic models of arrangement of graphene, as shown in Figure 2.9. It is assumed that there are four types of arrangements of graphene in polymeric matrix. </w:t>
      </w:r>
      <w:r w:rsidRPr="009E03B4">
        <w:rPr>
          <w:rFonts w:ascii="Times New Roman" w:hAnsi="Times New Roman" w:cs="Times New Roman"/>
          <w:sz w:val="24"/>
          <w:szCs w:val="24"/>
        </w:rPr>
        <w:t>(1) Graph</w:t>
      </w:r>
      <w:r>
        <w:rPr>
          <w:rFonts w:ascii="Times New Roman" w:hAnsi="Times New Roman" w:cs="Times New Roman"/>
          <w:sz w:val="24"/>
          <w:szCs w:val="24"/>
        </w:rPr>
        <w:t xml:space="preserve">ene nanosheets are individually </w:t>
      </w:r>
      <w:r w:rsidRPr="009E03B4">
        <w:rPr>
          <w:rFonts w:ascii="Times New Roman" w:hAnsi="Times New Roman" w:cs="Times New Roman"/>
          <w:sz w:val="24"/>
          <w:szCs w:val="24"/>
        </w:rPr>
        <w:t>dispersed in the matrix at intervals. (2) T</w:t>
      </w:r>
      <w:r>
        <w:rPr>
          <w:rFonts w:ascii="Times New Roman" w:hAnsi="Times New Roman" w:cs="Times New Roman"/>
          <w:sz w:val="24"/>
          <w:szCs w:val="24"/>
        </w:rPr>
        <w:t xml:space="preserve">he edges of graphene nanosheets </w:t>
      </w:r>
      <w:r w:rsidRPr="009E03B4">
        <w:rPr>
          <w:rFonts w:ascii="Times New Roman" w:hAnsi="Times New Roman" w:cs="Times New Roman"/>
          <w:sz w:val="24"/>
          <w:szCs w:val="24"/>
        </w:rPr>
        <w:t xml:space="preserve">just join together side by side. </w:t>
      </w:r>
      <w:r>
        <w:rPr>
          <w:rFonts w:ascii="Times New Roman" w:hAnsi="Times New Roman" w:cs="Times New Roman"/>
          <w:sz w:val="24"/>
          <w:szCs w:val="24"/>
        </w:rPr>
        <w:t xml:space="preserve">(3) Some of graphene nanosheets </w:t>
      </w:r>
      <w:r w:rsidRPr="009E03B4">
        <w:rPr>
          <w:rFonts w:ascii="Times New Roman" w:hAnsi="Times New Roman" w:cs="Times New Roman"/>
          <w:sz w:val="24"/>
          <w:szCs w:val="24"/>
        </w:rPr>
        <w:t>are overlapping with each other.</w:t>
      </w:r>
      <w:r>
        <w:rPr>
          <w:rFonts w:ascii="Times New Roman" w:hAnsi="Times New Roman" w:cs="Times New Roman"/>
          <w:sz w:val="24"/>
          <w:szCs w:val="24"/>
        </w:rPr>
        <w:t xml:space="preserve"> </w:t>
      </w:r>
      <w:r w:rsidRPr="00637F54">
        <w:rPr>
          <w:rFonts w:ascii="Times New Roman" w:hAnsi="Times New Roman" w:cs="Times New Roman"/>
          <w:sz w:val="24"/>
          <w:szCs w:val="24"/>
        </w:rPr>
        <w:t>(4) Graphene nanosheets are restacking together by layers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"10.1021/ma902862u", "ISBN" : "0024-9297", "ISSN" : "00249297", "abstract" : "ABSTRACT: Graphene, flat carbon nanosheets, has generated huge activity in many areas of science and engineering due to its unprecedented physical and chemical properties. With the development of wide-scale applicability including facile synthesis and high yield, this exciting material is ready for its practical application in the preparation of polymer nanocomposites. Here we report that nanocomposites based on fully exfoliated graphene nanosheets and poly(vinyl alcohol) (PVA) are prepared via a facial aqueous solution.Asignificant enhancement of mechanical properties of the graphene/PVA composites is obtained at low graphene loading; that is, a 150% improvement of tensile strength and a nearly 10 times increase of Young\u2019s modulus are achieved at a graphene loading of 1.8 vol%.The comparison between the experimental results and theoretical simulation for Young\u2019s modulus indicates that the graphene nanosheets in polymer matrix are mostly dispersed randomly in the nanocomposite films.", "author" : [ { "dropping-particle" : "", "family" : "Zhao", "given" : "Xin", "non-dropping-particle" : "", "parse-names" : false, "suffix" : "" }, { "dropping-particle" : "", "family" : "Zhang", "given" : "Qinghua", "non-dropping-particle" : "", "parse-names" : false, "suffix" : "" }, { "dropping-particle" : "", "family" : "Chen", "given" : "Dajun", "non-dropping-particle" : "", "parse-names" : false, "suffix" : "" }, { "dropping-particle" : "", "family" : "Lu", "given" : "Ping", "non-dropping-particle" : "", "parse-names" : false, "suffix" : "" } ], "container-title" : "Macromolecules", "id" : "ITEM-1", "issue" : "5", "issued" : { "date-parts" : [ [ "2010" ] ] }, "page" : "2357-2363", "title" : "Enhanced mechanical properties of graphene-based polyvinyl alcohol composites", "type" : "article-journal", "volume" : "43" }, "uris" : [ "http://www.mendeley.com/documents/?uuid=ad9532c9-787c-4278-8a04-c7c6db044411" ] } ], "mendeley" : { "formattedCitation" : "[81]", "plainTextFormattedCitation" : "[81]", "previouslyFormattedCitation" : "[81]"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[81]</w:t>
      </w:r>
      <w:r>
        <w:rPr>
          <w:rFonts w:ascii="Times New Roman" w:hAnsi="Times New Roman" w:cs="Times New Roman"/>
          <w:sz w:val="24"/>
          <w:szCs w:val="24"/>
        </w:rPr>
        <w:fldChar w:fldCharType="end"/>
      </w:r>
      <w:r>
        <w:rPr>
          <w:rFonts w:ascii="Times New Roman" w:hAnsi="Times New Roman" w:cs="Times New Roman"/>
          <w:sz w:val="24"/>
          <w:szCs w:val="24"/>
        </w:rPr>
        <w:t xml:space="preserve">.  When the graphene is at very low loading, it is exfoliated into single layers through matrix, which constrains the mobility of polymer chains, resulting in an enhanced modulus, strength, and reduced elongation at break.  The arrangement (2) is the optimum state for reinforcement capacity. With the increase of graphene content, the arrangement of graphene would be changed from exfoliated single layer (1) to piled graphene (3), and then to stacked graphene (4). Therefore, some slippage of graphene sheets and the tendency of aggregation could happen upon external force, resulting in a lowered reinforcement capacity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"10.1021/ma902862u", "ISBN" : "0024-9297", "ISSN" : "00249297", "abstract" : "ABSTRACT: Graphene, flat carbon nanosheets, has generated huge activity in many areas of science and engineering due to its unprecedented physical and chemical properties. With the development of wide-scale applicability including facile synthesis and high yield, this exciting material is ready for its practical application in the preparation of polymer nanocomposites. Here we report that nanocomposites based on fully exfoliated graphene nanosheets and poly(vinyl alcohol) (PVA) are prepared via a facial aqueous solution.Asignificant enhancement of mechanical properties of the graphene/PVA composites is obtained at low graphene loading; that is, a 150% improvement of tensile strength and a nearly 10 times increase of Young\u2019s modulus are achieved at a graphene loading of 1.8 vol%.The comparison between the experimental results and theoretical simulation for Young\u2019s modulus indicates that the graphene nanosheets in polymer matrix are mostly dispersed randomly in the nanocomposite films.", "author" : [ { "dropping-particle" : "", "family" : "Zhao", "given" : "Xin", "non-dropping-particle" : "", "parse-names" : false, "suffix" : "" }, { "dropping-particle" : "", "family" : "Zhang", "given" : "Qinghua", "non-dropping-particle" : "", "parse-names" : false, "suffix" : "" }, { "dropping-particle" : "", "family" : "Chen", "given" : "Dajun", "non-dropping-particle" : "", "parse-names" : false, "suffix" : "" }, { "dropping-particle" : "", "family" : "Lu", "given" : "Ping", "non-dropping-particle" : "", "parse-names" : false, "suffix" : "" } ], "container-title" : "Macromolecules", "id" : "ITEM-1", "issue" : "5", "issued" : { "date-parts" : [ [ "2010" ] ] }, "page" : "2357-2363", "title" : "Enhanced mechanical properties of graphene-based polyvinyl alcohol composites", "type" : "article-journal", "volume" : "43" }, "uris" : [ "http://www.mendeley.com/documents/?uuid=ad9532c9-787c-4278-8a04-c7c6db044411" ] } ], "mendeley" : { "formattedCitation" : "[81]", "plainTextFormattedCitation" : "[81]", "previouslyFormattedCitation" : "[81]"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[81]</w:t>
      </w:r>
      <w:r>
        <w:rPr>
          <w:rFonts w:ascii="Times New Roman" w:hAnsi="Times New Roman" w:cs="Times New Roman"/>
          <w:sz w:val="24"/>
          <w:szCs w:val="24"/>
        </w:rPr>
        <w:fldChar w:fldCharType="end"/>
      </w:r>
      <w:r>
        <w:rPr>
          <w:rFonts w:ascii="Times New Roman" w:hAnsi="Times New Roman" w:cs="Times New Roman"/>
          <w:sz w:val="24"/>
          <w:szCs w:val="24"/>
        </w:rPr>
        <w:t>.</w:t>
      </w:r>
    </w:p>
    <w:p w14:paraId="38C6DE20" w14:textId="77777777" w:rsidR="003C6953" w:rsidRDefault="003C6953" w:rsidP="003C6953">
      <w:pPr>
        <w:spacing w:after="0"/>
        <w:rPr>
          <w:rFonts w:ascii="Times New Roman" w:hAnsi="Times New Roman" w:cs="Times New Roman"/>
          <w:sz w:val="24"/>
          <w:szCs w:val="24"/>
        </w:rPr>
      </w:pPr>
    </w:p>
    <w:p w14:paraId="404443AC" w14:textId="77777777" w:rsidR="003C6953" w:rsidRDefault="003C6953" w:rsidP="003C6953">
      <w:pPr>
        <w:spacing w:after="0"/>
        <w:jc w:val="center"/>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0CDA4E19" wp14:editId="2DF2CC62">
            <wp:extent cx="4542155" cy="196913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42155" cy="1969135"/>
                    </a:xfrm>
                    <a:prstGeom prst="rect">
                      <a:avLst/>
                    </a:prstGeom>
                    <a:noFill/>
                  </pic:spPr>
                </pic:pic>
              </a:graphicData>
            </a:graphic>
          </wp:inline>
        </w:drawing>
      </w:r>
    </w:p>
    <w:p w14:paraId="15E4F35B" w14:textId="6101BB31" w:rsidR="003C6953" w:rsidRDefault="00C560D3" w:rsidP="0005778C">
      <w:pPr>
        <w:pStyle w:val="Caption"/>
        <w:ind w:firstLine="0"/>
        <w:rPr>
          <w:rFonts w:cs="Times New Roman"/>
          <w:szCs w:val="24"/>
        </w:rPr>
      </w:pPr>
      <w:bookmarkStart w:id="39" w:name="_Toc502661648"/>
      <w:bookmarkStart w:id="40" w:name="_Toc518823386"/>
      <w:r>
        <w:t>Figure 2.</w:t>
      </w:r>
      <w:r w:rsidR="0005778C">
        <w:fldChar w:fldCharType="begin"/>
      </w:r>
      <w:r w:rsidR="0005778C">
        <w:instrText xml:space="preserve"> SEQ Figure_2. \* ARABIC </w:instrText>
      </w:r>
      <w:r w:rsidR="0005778C">
        <w:fldChar w:fldCharType="separate"/>
      </w:r>
      <w:r w:rsidR="00551ED9">
        <w:rPr>
          <w:noProof/>
        </w:rPr>
        <w:t>9</w:t>
      </w:r>
      <w:r w:rsidR="0005778C">
        <w:fldChar w:fldCharType="end"/>
      </w:r>
      <w:r w:rsidR="0005778C">
        <w:t xml:space="preserve">. </w:t>
      </w:r>
      <w:r w:rsidR="003C6953" w:rsidRPr="009E03B4">
        <w:rPr>
          <w:rFonts w:cs="Times New Roman"/>
          <w:szCs w:val="24"/>
        </w:rPr>
        <w:t>Schematic models of various dispersion types of graphene</w:t>
      </w:r>
      <w:r w:rsidR="003C6953">
        <w:rPr>
          <w:rFonts w:cs="Times New Roman"/>
          <w:szCs w:val="24"/>
        </w:rPr>
        <w:t xml:space="preserve"> </w:t>
      </w:r>
      <w:r w:rsidR="003C6953" w:rsidRPr="009E03B4">
        <w:rPr>
          <w:rFonts w:cs="Times New Roman"/>
          <w:szCs w:val="24"/>
        </w:rPr>
        <w:t xml:space="preserve">nanosheets in </w:t>
      </w:r>
      <w:r w:rsidR="003C6953">
        <w:rPr>
          <w:rFonts w:cs="Times New Roman"/>
          <w:szCs w:val="24"/>
        </w:rPr>
        <w:t xml:space="preserve">polymer </w:t>
      </w:r>
      <w:r w:rsidR="003C6953" w:rsidRPr="009E03B4">
        <w:rPr>
          <w:rFonts w:cs="Times New Roman"/>
          <w:szCs w:val="24"/>
        </w:rPr>
        <w:t>matrix: (1) Graph</w:t>
      </w:r>
      <w:r w:rsidR="003C6953">
        <w:rPr>
          <w:rFonts w:cs="Times New Roman"/>
          <w:szCs w:val="24"/>
        </w:rPr>
        <w:t xml:space="preserve">ene nanosheets are individually </w:t>
      </w:r>
      <w:r w:rsidR="003C6953" w:rsidRPr="009E03B4">
        <w:rPr>
          <w:rFonts w:cs="Times New Roman"/>
          <w:szCs w:val="24"/>
        </w:rPr>
        <w:t>dispersed in the matrix at intervals. (2) T</w:t>
      </w:r>
      <w:r w:rsidR="003C6953">
        <w:rPr>
          <w:rFonts w:cs="Times New Roman"/>
          <w:szCs w:val="24"/>
        </w:rPr>
        <w:t xml:space="preserve">he edges of graphene nanosheets </w:t>
      </w:r>
      <w:r w:rsidR="003C6953" w:rsidRPr="009E03B4">
        <w:rPr>
          <w:rFonts w:cs="Times New Roman"/>
          <w:szCs w:val="24"/>
        </w:rPr>
        <w:t xml:space="preserve">just join together side by side. </w:t>
      </w:r>
      <w:r w:rsidR="003C6953">
        <w:rPr>
          <w:rFonts w:cs="Times New Roman"/>
          <w:szCs w:val="24"/>
        </w:rPr>
        <w:t xml:space="preserve">(3) Graphene nanosheets </w:t>
      </w:r>
      <w:r w:rsidR="003C6953" w:rsidRPr="009E03B4">
        <w:rPr>
          <w:rFonts w:cs="Times New Roman"/>
          <w:szCs w:val="24"/>
        </w:rPr>
        <w:t>are overlapping with each other. (4) Gra</w:t>
      </w:r>
      <w:r w:rsidR="003C6953">
        <w:rPr>
          <w:rFonts w:cs="Times New Roman"/>
          <w:szCs w:val="24"/>
        </w:rPr>
        <w:t xml:space="preserve">phene nanosheets are restacking </w:t>
      </w:r>
      <w:r w:rsidR="003C6953" w:rsidRPr="009E03B4">
        <w:rPr>
          <w:rFonts w:cs="Times New Roman"/>
          <w:szCs w:val="24"/>
        </w:rPr>
        <w:t>together by layers</w:t>
      </w:r>
      <w:r w:rsidR="003C6953">
        <w:rPr>
          <w:rFonts w:cs="Times New Roman"/>
          <w:szCs w:val="24"/>
        </w:rPr>
        <w:t xml:space="preserve"> (Reproduced from reference </w:t>
      </w:r>
      <w:r w:rsidR="003C6953">
        <w:rPr>
          <w:rFonts w:cs="Times New Roman"/>
          <w:szCs w:val="24"/>
        </w:rPr>
        <w:fldChar w:fldCharType="begin" w:fldLock="1"/>
      </w:r>
      <w:r w:rsidR="00D973A8">
        <w:rPr>
          <w:rFonts w:cs="Times New Roman"/>
          <w:szCs w:val="24"/>
        </w:rPr>
        <w:instrText>ADDIN CSL_CITATION { "citationItems" : [ { "id" : "ITEM-1", "itemData" : { "DOI" : "10.1021/ma902862u", "ISBN" : "0024-9297", "ISSN" : "00249297", "abstract" : "ABSTRACT: Graphene, flat carbon nanosheets, has generated huge activity in many areas of science and engineering due to its unprecedented physical and chemical properties. With the development of wide-scale applicability including facile synthesis and high yield, this exciting material is ready for its practical application in the preparation of polymer nanocomposites. Here we report that nanocomposites based on fully exfoliated graphene nanosheets and poly(vinyl alcohol) (PVA) are prepared via a facial aqueous solution.Asignificant enhancement of mechanical properties of the graphene/PVA composites is obtained at low graphene loading; that is, a 150% improvement of tensile strength and a nearly 10 times increase of Young\u2019s modulus are achieved at a graphene loading of 1.8 vol%.The comparison between the experimental results and theoretical simulation for Young\u2019s modulus indicates that the graphene nanosheets in polymer matrix are mostly dispersed randomly in the nanocomposite films.", "author" : [ { "dropping-particle" : "", "family" : "Zhao", "given" : "Xin", "non-dropping-particle" : "", "parse-names" : false, "suffix" : "" }, { "dropping-particle" : "", "family" : "Zhang", "given" : "Qinghua", "non-dropping-particle" : "", "parse-names" : false, "suffix" : "" }, { "dropping-particle" : "", "family" : "Chen", "given" : "Dajun", "non-dropping-particle" : "", "parse-names" : false, "suffix" : "" }, { "dropping-particle" : "", "family" : "Lu", "given" : "Ping", "non-dropping-particle" : "", "parse-names" : false, "suffix" : "" } ], "container-title" : "Macromolecules", "id" : "ITEM-1", "issue" : "5", "issued" : { "date-parts" : [ [ "2010" ] ] }, "page" : "2357-2363", "title" : "Enhanced mechanical properties of graphene-based polyvinyl alcohol composites", "type" : "article-journal", "volume" : "43" }, "uris" : [ "http://www.mendeley.com/documents/?uuid=ad9532c9-787c-4278-8a04-c7c6db044411" ] } ], "mendeley" : { "formattedCitation" : "[81]", "plainTextFormattedCitation" : "[81]", "previouslyFormattedCitation" : "[81]" }, "properties" : {  }, "schema" : "https://github.com/citation-style-language/schema/raw/master/csl-citation.json" }</w:instrText>
      </w:r>
      <w:r w:rsidR="003C6953">
        <w:rPr>
          <w:rFonts w:cs="Times New Roman"/>
          <w:szCs w:val="24"/>
        </w:rPr>
        <w:fldChar w:fldCharType="separate"/>
      </w:r>
      <w:r w:rsidR="003C6953" w:rsidRPr="0080714B">
        <w:rPr>
          <w:rFonts w:cs="Times New Roman"/>
          <w:noProof/>
          <w:szCs w:val="24"/>
        </w:rPr>
        <w:t>[81]</w:t>
      </w:r>
      <w:r w:rsidR="003C6953">
        <w:rPr>
          <w:rFonts w:cs="Times New Roman"/>
          <w:szCs w:val="24"/>
        </w:rPr>
        <w:fldChar w:fldCharType="end"/>
      </w:r>
      <w:r w:rsidR="003C6953">
        <w:rPr>
          <w:rFonts w:cs="Times New Roman"/>
          <w:szCs w:val="24"/>
        </w:rPr>
        <w:t>).</w:t>
      </w:r>
      <w:bookmarkEnd w:id="39"/>
      <w:bookmarkEnd w:id="40"/>
    </w:p>
    <w:p w14:paraId="0B58A3AF" w14:textId="77777777" w:rsidR="003C6953" w:rsidRDefault="003C6953" w:rsidP="003C6953">
      <w:pPr>
        <w:spacing w:after="0"/>
        <w:jc w:val="both"/>
        <w:rPr>
          <w:rFonts w:ascii="Times New Roman" w:hAnsi="Times New Roman" w:cs="Times New Roman"/>
          <w:sz w:val="24"/>
          <w:szCs w:val="24"/>
        </w:rPr>
      </w:pPr>
    </w:p>
    <w:p w14:paraId="628C17D6" w14:textId="5FB27B7F"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Strong interfacial adhesion is another crucial factor for reinforcement capacity, and the incompatibility between fillers and polymers may reduce the modulus and strength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"author" : [ { "dropping-particle" : "", "family" : "Kim", "given" : "Hyunwoo", "non-dropping-particle" : "", "parse-names" : false, "suffix" : "" }, { "dropping-particle" : "", "family" : "Miura", "given" : "Yutaka", "non-dropping-particle" : "", "parse-names" : false, "suffix" : "" }, { "dropping-particle" : "", "family" : "Macosko", "given" : "Christopher W.", "non-dropping-particle" : "", "parse-names" : false, "suffix" : "" } ], "container-title" : "Chemistry of Materials", "id" : "ITEM-1", "issued" : { "date-parts" : [ [ "2010" ] ] }, "page" : "3441-3450", "title" : "Graphene/polyurethane nanocomposites for improved gas barrier and electrical conductivity", "type" : "article-journal", "volume" : "22" }, "uris" : [ "http://www.mendeley.com/documents/?uuid=4e5514be-0815-4b7a-943a-c2de1542d17d" ] } ], "mendeley" : { "formattedCitation" : "[82]", "plainTextFormattedCitation" : "[82]", "previouslyFormattedCitation" : "[82]"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[82]</w:t>
      </w:r>
      <w:r>
        <w:rPr>
          <w:rFonts w:ascii="Times New Roman" w:hAnsi="Times New Roman" w:cs="Times New Roman"/>
          <w:sz w:val="24"/>
          <w:szCs w:val="24"/>
        </w:rPr>
        <w:fldChar w:fldCharType="end"/>
      </w:r>
      <w:r>
        <w:rPr>
          <w:rFonts w:ascii="Times New Roman" w:hAnsi="Times New Roman" w:cs="Times New Roman"/>
          <w:sz w:val="24"/>
          <w:szCs w:val="24"/>
        </w:rPr>
        <w:t xml:space="preserve">. There are two main ways to enhance the interfacial adhesion. First, the hydrogen bonding between graphitic fillers, i.e. GO and modified graphene, and polymers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"author" : [ { "dropping-particle" : "", "family" : "Liang", "given" : "J.", "non-dropping-particle" : "", "parse-names" : false, "suffix" : "" }, { "dropping-particle" : "", "family" : "Huang", "given" : "Y.", "non-dropping-particle" : "", "parse-names" : false, "suffix" : "" }, { "dropping-particle" : "", "family" : "Wang", "given" : "Y.", "non-dropping-particle" : "", "parse-names" : false, "suffix" : "" } ], "container-title" : "Advanced Functional Materials", "id" : "ITEM-1", "issued" : { "date-parts" : [ [ "2009" ] ] }, "page" : "2297-2302", "title" : "Molecular-level dispersion of graphene into poly(vinyl alcohol) and effective reinforceMent of their nanocomposites", "type" : "article-journal", "volume" : "19" }, "uris" : [ "http://www.mendeley.com/documents/?uuid=e422c75d-66ba-4cca-b201-a6e357b6a639" ] } ], "mendeley" : { "formattedCitation" : "[74]", "plainTextFormattedCitation" : "[74]", "previouslyFormattedCitation" : "[74]"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[74]</w:t>
      </w:r>
      <w:r>
        <w:rPr>
          <w:rFonts w:ascii="Times New Roman" w:hAnsi="Times New Roman" w:cs="Times New Roman"/>
          <w:sz w:val="24"/>
          <w:szCs w:val="24"/>
        </w:rPr>
        <w:fldChar w:fldCharType="end"/>
      </w:r>
      <w:r>
        <w:rPr>
          <w:rFonts w:ascii="Times New Roman" w:hAnsi="Times New Roman" w:cs="Times New Roman"/>
          <w:sz w:val="24"/>
          <w:szCs w:val="24"/>
        </w:rPr>
        <w:t xml:space="preserve">. Second, the covalent bonding between G-O and monomers that contains reactive functional groups in an </w:t>
      </w:r>
      <w:r w:rsidRPr="00C17638">
        <w:rPr>
          <w:rFonts w:ascii="Times New Roman" w:hAnsi="Times New Roman" w:cs="Times New Roman"/>
          <w:i/>
          <w:sz w:val="24"/>
          <w:szCs w:val="24"/>
        </w:rPr>
        <w:t>in situ</w:t>
      </w:r>
      <w:r>
        <w:rPr>
          <w:rFonts w:ascii="Times New Roman" w:hAnsi="Times New Roman" w:cs="Times New Roman"/>
          <w:sz w:val="24"/>
          <w:szCs w:val="24"/>
        </w:rPr>
        <w:t xml:space="preserve"> polymerization method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"author" : [ { "dropping-particle" : "", "family" : "Richard", "given" : "A", "non-dropping-particle" : "", "parse-names" : false, "suffix" : "" }, { "dropping-particle" : "", "family" : "Wagner", "given" : "HD", "non-dropping-particle" : "", "parse-names" : false, "suffix" : "" } ], "container-title" : "Materialstoday", "id" : "ITEM-1", "issued" : { "date-parts" : [ [ "2004" ] ] }, "page" : "32-37", "title" : "Framework for nanocomposites", "type" : "article-journal", "volume" : "7" }, "uris" : [ "http://www.mendeley.com/documents/?uuid=3b8ace38-abae-4e84-8d3a-2996de9a9570" ] } ], "mendeley" : { "formattedCitation" : "[83]", "plainTextFormattedCitation" : "[83]", "previouslyFormattedCitation" : "[83]"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[83]</w:t>
      </w:r>
      <w:r>
        <w:rPr>
          <w:rFonts w:ascii="Times New Roman" w:hAnsi="Times New Roman" w:cs="Times New Roman"/>
          <w:sz w:val="24"/>
          <w:szCs w:val="24"/>
        </w:rPr>
        <w:fldChar w:fldCharType="end"/>
      </w:r>
      <w:r>
        <w:rPr>
          <w:rFonts w:ascii="Times New Roman" w:hAnsi="Times New Roman" w:cs="Times New Roman"/>
          <w:sz w:val="24"/>
          <w:szCs w:val="24"/>
        </w:rPr>
        <w:t>. Either hydrogen bonding or covalent bonding can enhance the interfacial adhesion between fillers and polymers compared to nanocomposites with only van der Waals force, resulting in an improved modulus and strength. Interfacial energy is normally 50-300 J m</w:t>
      </w:r>
      <w:r w:rsidRPr="00B828D6">
        <w:rPr>
          <w:rFonts w:ascii="Times New Roman" w:hAnsi="Times New Roman" w:cs="Times New Roman"/>
          <w:sz w:val="24"/>
          <w:szCs w:val="24"/>
          <w:vertAlign w:val="superscript"/>
        </w:rPr>
        <w:t>2</w:t>
      </w:r>
      <w:r>
        <w:rPr>
          <w:rFonts w:ascii="Times New Roman" w:hAnsi="Times New Roman" w:cs="Times New Roman"/>
          <w:sz w:val="24"/>
          <w:szCs w:val="24"/>
        </w:rPr>
        <w:t xml:space="preserve"> for covalent bonds at the interface of nanofillers and polymer matrix, and 50-350 mJ m</w:t>
      </w:r>
      <w:r w:rsidRPr="00B828D6">
        <w:rPr>
          <w:rFonts w:ascii="Times New Roman" w:hAnsi="Times New Roman" w:cs="Times New Roman"/>
          <w:sz w:val="24"/>
          <w:szCs w:val="24"/>
          <w:vertAlign w:val="superscript"/>
        </w:rPr>
        <w:t>2</w:t>
      </w:r>
      <w:r>
        <w:rPr>
          <w:rFonts w:ascii="Times New Roman" w:hAnsi="Times New Roman" w:cs="Times New Roman"/>
          <w:sz w:val="24"/>
          <w:szCs w:val="24"/>
        </w:rPr>
        <w:t xml:space="preserve"> for only van der Waals force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"10.1063/1.120680", "abstract" : "We report the observation of single nanotube fragmentation, under tensile stresses, using nanotube-containing thin polymeric films. Similar fragmentation tests with single fibers instead of nanotubes are routinely performed to study the fiber-matrix stress transfer ability in fiber composite materials, and thus the efficiency and quality of composite interfaces. The multiwall nanotube-matrix stress transfer efficiency is estimated to be at least one order of magnitude larger than in conventional fiber-based composites. \u00a9 1998 American Institute of Physics.", "author" : [ { "dropping-particle" : "", "family" : "Wagner", "given" : "H.D.", "non-dropping-particle" : "", "parse-names" : false, "suffix" : "" }, { "dropping-particle" : "", "family" : "Lourie", "given" : "O.", "non-dropping-particle" : "", "parse-names" : false, "suffix" : "" }, { "dropping-particle" : "", "family" : "Feldman", "given" : "Y.", "non-dropping-particle" : "", "parse-names" : false, "suffix" : "" }, { "dropping-particle" : "", "family" : "Tenne", "given" : "R.", "non-dropping-particle" : "", "parse-names" : false, "suffix" : "" } ], "container-title" : "Applied Physics Letters", "id" : "ITEM-1", "issue" : "2", "issued" : { "date-parts" : [ [ "1998" ] ] }, "page" : "1-4", "title" : "Stress-induced fragmentation of multiwall carbon nanotubes in a polymer matrix", "type" : "article-journal", "volume" : "72" }, "uris" : [ "http://www.mendeley.com/documents/?uuid=0efe13ae-d31b-4d94-afc4-2d6d1487a0f4" ] } ], "mendeley" : { "formattedCitation" : "[84]", "plainTextFormattedCitation" : "[84]", "previouslyFormattedCitation" : "[84]"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[84]</w:t>
      </w:r>
      <w:r>
        <w:rPr>
          <w:rFonts w:ascii="Times New Roman" w:hAnsi="Times New Roman" w:cs="Times New Roman"/>
          <w:sz w:val="24"/>
          <w:szCs w:val="24"/>
        </w:rPr>
        <w:fldChar w:fldCharType="end"/>
      </w:r>
      <w:r>
        <w:rPr>
          <w:rFonts w:ascii="Times New Roman" w:hAnsi="Times New Roman" w:cs="Times New Roman"/>
          <w:sz w:val="24"/>
          <w:szCs w:val="24"/>
        </w:rPr>
        <w:t xml:space="preserve">. When a material is subjected to an external force, the defects for covalent bonds that facilitate the crack propagation at the interfaces are much larger than at for van der Waals force. For instance, </w:t>
      </w:r>
      <w:r w:rsidRPr="00C605FA">
        <w:rPr>
          <w:rFonts w:ascii="Times New Roman" w:hAnsi="Times New Roman" w:cs="Times New Roman"/>
          <w:sz w:val="24"/>
          <w:szCs w:val="24"/>
        </w:rPr>
        <w:t>Poly(methyl methacrylate)</w:t>
      </w:r>
      <w:r>
        <w:rPr>
          <w:rFonts w:ascii="Times New Roman" w:hAnsi="Times New Roman" w:cs="Times New Roman"/>
          <w:sz w:val="24"/>
          <w:szCs w:val="24"/>
        </w:rPr>
        <w:t xml:space="preserve">/graphene exhibit a shear stress up to 2.3 MPa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"10.1002/adma.200904264", "ISBN" : "0935-9648", "ISSN" : "09359648", "PMID" : "20473982", "abstract" : "It is demonstrated from stress-induced Raman bands shifts that stress can be transferred from a polymer matrix to a graphene monolayer (see image) in a model nanocomposite. It is shown further that the behavior can be modeled using continuum mechanics and that the interface between the graphene and the polymer breaks down at a shear stress of the order of 2 MPa. (Figure Presented) \u00a9 2010 WILEY-VCH Verlag GmbH &amp; Co. KGaA.", "author" : [ { "dropping-particle" : "", "family" : "Gong", "given" : "Lei", "non-dropping-particle" : "", "parse-names" : false, "suffix" : "" }, { "dropping-particle" : "", "family" : "Kinloch", "given" : "Ian A.", "non-dropping-particle" : "", "parse-names" : false, "suffix" : "" }, { "dropping-particle" : "", "family" : "Young", "given" : "Robert J.", "non-dropping-particle" : "", "parse-names" : false, "suffix" : "" }, { "dropping-particle" : "", "family" : "Riaz", "given" : "Ibtsam", "non-dropping-particle" : "", "parse-names" : false, "suffix" : "" }, { "dropping-particle" : "", "family" : "Jalil", "given" : "Rashid", "non-dropping-particle" : "", "parse-names" : false, "suffix" : "" }, { "dropping-particle" : "", "family" : "Novoselov", "given" : "Konstantin S.", "non-dropping-particle" : "", "parse-names" : false, "suffix" : "" } ], "container-title" : "Advanced Materials", "id" : "ITEM-1", "issue" : "24", "issued" : { "date-parts" : [ [ "2010" ] ] }, "page" : "2694-2697", "title" : "Interfacial stress transfer in a graphene monolayer nanocomposite", "type" : "article-journal", "volume" : "22" }, "uris" : [ "http://www.mendeley.com/documents/?uuid=83d5a583-a81a-4d24-baed-e9c4c104bf0f" ] } ], "mendeley" : { "formattedCitation" : "[85]", "plainTextFormattedCitation" : "[85]", "previouslyFormattedCitation" : "[85]"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[85]</w:t>
      </w:r>
      <w:r>
        <w:rPr>
          <w:rFonts w:ascii="Times New Roman" w:hAnsi="Times New Roman" w:cs="Times New Roman"/>
          <w:sz w:val="24"/>
          <w:szCs w:val="24"/>
        </w:rPr>
        <w:fldChar w:fldCharType="end"/>
      </w:r>
      <w:r>
        <w:rPr>
          <w:rFonts w:ascii="Times New Roman" w:hAnsi="Times New Roman" w:cs="Times New Roman"/>
          <w:sz w:val="24"/>
          <w:szCs w:val="24"/>
        </w:rPr>
        <w:t xml:space="preserve">, which is similar to the shear stress value of poly(ethylene)/CNT nanocomposites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"10.1021/jp015591+", "ISBN" : "1520-6106", "ISSN" : "1520-6106", "PMID" : "174589000004", "abstract" : "The influence of chemical cross-links between a single-walled fullerene nanotube and a polymer matrix on the matrix\u2212nanotube shear strength has been studied using molecular dynamics simulations. A (10,10) nanotube embedded in either a crystalline or amorphous polyethylene matrix is used as a model for a nonbonded interface (in the absence of cross-links). The simulations predict that shear strengths and critical lengths required for load transfer can be enhanced and decreased, respectively, by over an order of magnitude with the formation of cross-links involving less than 1% of the nanotube carbon atoms. At this level of chemical functionalization, calculations also predict that there is a negligible change in tensile modulus for a (10,10) nanotube.", "author" : [ { "dropping-particle" : "V", "family" : "Frankland", "given" : "S J", "non-dropping-particle" : "", "parse-names" : false, "suffix" : "" }, { "dropping-particle" : "", "family" : "Caglar", "given" : "A", "non-dropping-particle" : "", "parse-names" : false, "suffix" : "" }, { "dropping-particle" : "", "family" : "Brenner", "given" : "D W", "non-dropping-particle" : "", "parse-names" : false, "suffix" : "" }, { "dropping-particle" : "", "family" : "Griebel", "given" : "M", "non-dropping-particle" : "", "parse-names" : false, "suffix" : "" } ], "container-title" : "The Journal of Physical Chemistry B", "id" : "ITEM-1", "issue" : "12", "issued" : { "date-parts" : [ [ "2002" ] ] }, "page" : "3046-3048", "title" : "Molecular simulation of the influence of chemical cross-links on the shear strength of carbon nanotube-polymer interfaces", "type" : "article-journal", "volume" : "106" }, "uris" : [ "http://www.mendeley.com/documents/?uuid=c9a2331f-a131-419c-93c4-7663435acd8e" ] } ], "mendeley" : { "formattedCitation" : "[86]", "plainTextFormattedCitation" : "[86]", "previouslyFormattedCitation" : "[86]"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[86]</w:t>
      </w:r>
      <w:r>
        <w:rPr>
          <w:rFonts w:ascii="Times New Roman" w:hAnsi="Times New Roman" w:cs="Times New Roman"/>
          <w:sz w:val="24"/>
          <w:szCs w:val="24"/>
        </w:rPr>
        <w:fldChar w:fldCharType="end"/>
      </w:r>
      <w:r>
        <w:rPr>
          <w:rFonts w:ascii="Times New Roman" w:hAnsi="Times New Roman" w:cs="Times New Roman"/>
          <w:sz w:val="24"/>
          <w:szCs w:val="24"/>
        </w:rPr>
        <w:t xml:space="preserve">. While, CNT/polymer composite with covalent bonding exhibit a shear stress up to 47 MPa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"10.1063/1.1579568", "ISBN" : "00036951", "ISSN" : "00036951", "PMID" : "183249100044", "abstract" : "The measurement of the force required to separate a carbon nanotube from a solid polymer matrix was discussed. The reproducible nanopullout experiments were performed by using atomic force microscopy during the analysis. The results showed that the polymer matrix in close vicinity of the carbon nanotube was able to withstand stresses, causing considerable yield in a bulk polymer specimen.", "author" : [ { "dropping-particle" : "", "family" : "Barber", "given" : "Asa H.", "non-dropping-particle" : "", "parse-names" : false, "suffix" : "" }, { "dropping-particle" : "", "family" : "Cohen", "given" : "Sidney R.", "non-dropping-particle" : "", "parse-names" : false, "suffix" : "" }, { "dropping-particle" : "", "family" : "Wagner", "given" : "H. Daniel", "non-dropping-particle" : "", "parse-names" : false, "suffix" : "" } ], "container-title" : "Applied Physics Letters", "id" : "ITEM-1", "issue" : "23", "issued" : { "date-parts" : [ [ "2003" ] ] }, "page" : "4140-4142", "title" : "Measurement of carbon nanotube-polymer interfacial strength", "type" : "article-journal", "volume" : "82" }, "uris" : [ "http://www.mendeley.com/documents/?uuid=9488cb0a-6ae0-48d0-a246-ecb37cf007ac" ] } ], "mendeley" : { "formattedCitation" : "[87]", "plainTextFormattedCitation" : "[87]", "previouslyFormattedCitation" : "[87]"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[87]</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337B4D7A" w14:textId="67C49EC4"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Aside from the dispersion of graphitic fillers and the interfacial adhesion, the reinforcement capacity is also affected by the intrinsic structure of graphitic fillers. For some thermal expanded graphene oxide (TEGO), it shows wavy or wrinkled structures which may reduce the modulus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"author" : [ { "dropping-particle" : "", "family" : "Kim", "given" : "H.", "non-dropping-particle" : "", "parse-names" : false, "suffix" : "" }, { "dropping-particle" : "", "family" : "Macosko", "given" : "CW.", "non-dropping-particle" : "", "parse-names" : false, "suffix" : "" } ], "container-title" : "Macromolecules", "id" : "ITEM-1", "issue" : "3317-3327", "issued" : { "date-parts" : [ [ "2008" ] ] }, "title" : "Morphology and Properties of Polyester/Exfoliated Graphite Nanocomposites", "type" : "article-journal", "volume" : "41" }, "uris" : [ "http://www.mendeley.com/documents/?uuid=46b15f7b-efcb-4c90-bfbf-9c41852793d0" ] } ], "mendeley" : { "formattedCitation" : "[88]", "plainTextFormattedCitation" : "[88]", "previouslyFormattedCitation" : "[88]"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[88]</w:t>
      </w:r>
      <w:r>
        <w:rPr>
          <w:rFonts w:ascii="Times New Roman" w:hAnsi="Times New Roman" w:cs="Times New Roman"/>
          <w:sz w:val="24"/>
          <w:szCs w:val="24"/>
        </w:rPr>
        <w:fldChar w:fldCharType="end"/>
      </w:r>
      <w:r>
        <w:rPr>
          <w:rFonts w:ascii="Times New Roman" w:hAnsi="Times New Roman" w:cs="Times New Roman"/>
          <w:sz w:val="24"/>
          <w:szCs w:val="24"/>
        </w:rPr>
        <w:t xml:space="preserve">. This is because crumpled graphitic fillers tend to unfold rather than stretch under an external force. Moreover, some structural defects generated during exfoliation under the elevated temperature may also reduce the effective modulus. </w:t>
      </w:r>
    </w:p>
    <w:p w14:paraId="1C5807E8" w14:textId="77777777" w:rsidR="003C6953" w:rsidRPr="00DA4733" w:rsidRDefault="003C6953" w:rsidP="003C6953">
      <w:pPr>
        <w:spacing w:after="0" w:line="480" w:lineRule="auto"/>
        <w:ind w:firstLine="360"/>
        <w:jc w:val="both"/>
        <w:rPr>
          <w:rFonts w:ascii="Times New Roman" w:hAnsi="Times New Roman" w:cs="Times New Roman"/>
          <w:sz w:val="24"/>
          <w:szCs w:val="24"/>
        </w:rPr>
      </w:pPr>
    </w:p>
    <w:p w14:paraId="783406CD" w14:textId="3E3752F0" w:rsidR="003C6953" w:rsidRDefault="00B06015" w:rsidP="003C6953">
      <w:pPr>
        <w:pStyle w:val="Heading3"/>
        <w:spacing w:before="0"/>
      </w:pPr>
      <w:bookmarkStart w:id="41" w:name="_Toc518823240"/>
      <w:r>
        <w:t>2.</w:t>
      </w:r>
      <w:r w:rsidR="003C6953">
        <w:rPr>
          <w:rFonts w:hint="eastAsia"/>
        </w:rPr>
        <w:t xml:space="preserve">5.2.2. Thermal </w:t>
      </w:r>
      <w:r w:rsidR="003C6953">
        <w:t>properties</w:t>
      </w:r>
      <w:bookmarkEnd w:id="41"/>
    </w:p>
    <w:p w14:paraId="7EF5D729" w14:textId="2CDF1B50"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Thermal conduction is the ability for heat transfer that involves the transport of energy from one place to another by energy carriers, such as random molecules (gas), molecule diffusion (liquid), electrons and phonons (solid). For most polymers, the heat is transferred by phonons because there is no free movement of electrons in polymers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"10.1002/pol.1961.1205015413", "ISBN" : "1542-6238", "ISSN" : "00223832", "author" : [ { "dropping-particle" : "", "family" : "Kline", "given" : "Donald E", "non-dropping-particle" : "", "parse-names" : false, "suffix" : "" } ], "container-title" : "Journal of polymer science", "id" : "ITEM-1", "issue" : "154", "issued" : { "date-parts" : [ [ "1961" ] ] }, "page" : "441-450", "title" : "Thermal conductivity studies of polymers", "type" : "article-journal", "volume" : "50" }, "uris" : [ "http://www.mendeley.com/documents/?uuid=f6e5784c-7821-414d-a93c-763ab5169089" ] }, { "id" : "ITEM-2", "itemData" : { "DOI" : "10.1016/j.progpolymsci.2010.11.004", "ISBN" : "0079-6700", "ISSN" : "00796700", "PMID" : "15867920", "abstract" : "Thermally conductive polymer composites offer new possibilities for replacing metal parts in several applications, including power electronics, electric motors and generators, heat exchangers, etc., thanks to the polymer advantages such as light weight, corrosion resistance and ease of processing. Current interest to improve the thermal conductivity of polymers is focused on the selective addition of nanofillers with high thermal conductivity. Unusually high thermal conductivity makes carbon nanotube (CNT) the best promising candidate material for thermally conductive composites. However, the thermal conductivities of polymer/CNT nanocomposites are relatively low compared with expectations from the intrinsic thermal conductivity of CNTs. The challenge primarily comes from the large interfacial thermal resistance between the CNT and the surrounding polymer matrix, which hinders the transfer of phonon dominating heat conduction in polymer and CNT. This article reviews the status of worldwide research in the thermal conductivity of CNTs and their polymer nanocomposites. The dependence of thermal conductivity of nanotubes on the atomic structure, the tube size, the morphology, the defect and the purification is reviewed. The roles of particle/polymer and particle/particle interfaces on the thermal conductivity of polymer/CNT nanocomposites are discussed in detail, as well as the relationship between the thermal conductivity and the micro- and nano-structure of the composites. \u00a9 2010 Elsevier Ltd.", "author" : [ { "dropping-particle" : "", "family" : "Han", "given" : "Zhidong", "non-dropping-particle" : "", "parse-names" : false, "suffix" : "" }, { "dropping-particle" : "", "family" : "Fina", "given" : "Alberto", "non-dropping-particle" : "", "parse-names" : false, "suffix" : "" } ], "container-title" : "Progress in Polymer Science", "id" : "ITEM-2", "issue" : "7", "issued" : { "date-parts" : [ [ "2011" ] ] }, "page" : "914-944", "publisher" : "Elsevier Ltd", "title" : "Thermal conductivity of carbon nanotubes and their polymer nanocomposites: A review", "type" : "article-journal", "volume" : "36" }, "uris" : [ "http://www.mendeley.com/documents/?uuid=412531e2-177e-43a7-93d8-16ce0c8c0fac" ] } ], "mendeley" : { "formattedCitation" : "[89,90]", "plainTextFormattedCitation" : "[89,90]", "previouslyFormattedCitation" : "[89,90]"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[89,90]</w:t>
      </w:r>
      <w:r>
        <w:rPr>
          <w:rFonts w:ascii="Times New Roman" w:hAnsi="Times New Roman" w:cs="Times New Roman"/>
          <w:sz w:val="24"/>
          <w:szCs w:val="24"/>
        </w:rPr>
        <w:fldChar w:fldCharType="end"/>
      </w:r>
      <w:r>
        <w:rPr>
          <w:rFonts w:ascii="Times New Roman" w:hAnsi="Times New Roman" w:cs="Times New Roman"/>
          <w:sz w:val="24"/>
          <w:szCs w:val="24"/>
        </w:rPr>
        <w:t>. Normally, the thermal conductivity is varies from 0.2 W m</w:t>
      </w:r>
      <w:r w:rsidRPr="00276063">
        <w:rPr>
          <w:rFonts w:ascii="Times New Roman" w:hAnsi="Times New Roman" w:cs="Times New Roman"/>
          <w:sz w:val="24"/>
          <w:szCs w:val="24"/>
          <w:vertAlign w:val="superscript"/>
        </w:rPr>
        <w:t>-1</w:t>
      </w:r>
      <w:r>
        <w:rPr>
          <w:rFonts w:ascii="Times New Roman" w:hAnsi="Times New Roman" w:cs="Times New Roman"/>
          <w:sz w:val="24"/>
          <w:szCs w:val="24"/>
        </w:rPr>
        <w:t xml:space="preserve"> K</w:t>
      </w:r>
      <w:r w:rsidRPr="00BA4CCE">
        <w:rPr>
          <w:rFonts w:ascii="Times New Roman" w:hAnsi="Times New Roman" w:cs="Times New Roman"/>
          <w:sz w:val="24"/>
          <w:szCs w:val="24"/>
          <w:vertAlign w:val="superscript"/>
        </w:rPr>
        <w:t>-1</w:t>
      </w:r>
      <w:r>
        <w:rPr>
          <w:rFonts w:ascii="Times New Roman" w:hAnsi="Times New Roman" w:cs="Times New Roman"/>
          <w:sz w:val="24"/>
          <w:szCs w:val="24"/>
        </w:rPr>
        <w:t xml:space="preserve"> for amorphous polymers to 0.5 W m</w:t>
      </w:r>
      <w:r w:rsidRPr="00276063">
        <w:rPr>
          <w:rFonts w:ascii="Times New Roman" w:hAnsi="Times New Roman" w:cs="Times New Roman"/>
          <w:sz w:val="24"/>
          <w:szCs w:val="24"/>
          <w:vertAlign w:val="superscript"/>
        </w:rPr>
        <w:t>-1</w:t>
      </w:r>
      <w:r>
        <w:rPr>
          <w:rFonts w:ascii="Times New Roman" w:hAnsi="Times New Roman" w:cs="Times New Roman"/>
          <w:sz w:val="24"/>
          <w:szCs w:val="24"/>
        </w:rPr>
        <w:t xml:space="preserve"> K</w:t>
      </w:r>
      <w:r w:rsidRPr="00BA4CCE">
        <w:rPr>
          <w:rFonts w:ascii="Times New Roman" w:hAnsi="Times New Roman" w:cs="Times New Roman"/>
          <w:szCs w:val="24"/>
          <w:vertAlign w:val="superscript"/>
        </w:rPr>
        <w:t>-1</w:t>
      </w:r>
      <w:r>
        <w:rPr>
          <w:rFonts w:ascii="Times New Roman" w:hAnsi="Times New Roman" w:cs="Times New Roman"/>
          <w:sz w:val="24"/>
          <w:szCs w:val="24"/>
        </w:rPr>
        <w:t xml:space="preserve"> for highly crystalline polymers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"10.1016/j.progpolymsci.2010.11.004", "ISBN" : "0079-6700", "ISSN" : "00796700", "PMID" : "15867920", "abstract" : "Thermally conductive polymer composites offer new possibilities for replacing metal parts in several applications, including power electronics, electric motors and generators, heat exchangers, etc., thanks to the polymer advantages such as light weight, corrosion resistance and ease of processing. Current interest to improve the thermal conductivity of polymers is focused on the selective addition of nanofillers with high thermal conductivity. Unusually high thermal conductivity makes carbon nanotube (CNT) the best promising candidate material for thermally conductive composites. However, the thermal conductivities of polymer/CNT nanocomposites are relatively low compared with expectations from the intrinsic thermal conductivity of CNTs. The challenge primarily comes from the large interfacial thermal resistance between the CNT and the surrounding polymer matrix, which hinders the transfer of phonon dominating heat conduction in polymer and CNT. This article reviews the status of worldwide research in the thermal conductivity of CNTs and their polymer nanocomposites. The dependence of thermal conductivity of nanotubes on the atomic structure, the tube size, the morphology, the defect and the purification is reviewed. The roles of particle/polymer and particle/particle interfaces on the thermal conductivity of polymer/CNT nanocomposites are discussed in detail, as well as the relationship between the thermal conductivity and the micro- and nano-structure of the composites. \u00a9 2010 Elsevier Ltd.", "author" : [ { "dropping-particle" : "", "family" : "Han", "given" : "Zhidong", "non-dropping-particle" : "", "parse-names" : false, "suffix" : "" }, { "dropping-particle" : "", "family" : "Fina", "given" : "Alberto", "non-dropping-particle" : "", "parse-names" : false, "suffix" : "" } ], "container-title" : "Progress in Polymer Science", "id" : "ITEM-1", "issue" : "7", "issued" : { "date-parts" : [ [ "2011" ] ] }, "page" : "914-944", "publisher" : "Elsevier Ltd", "title" : "Thermal conductivity of carbon nanotubes and their polymer nanocomposites: A review", "type" : "article-journal", "volume" : "36" }, "uris" : [ "http://www.mendeley.com/documents/?uuid=412531e2-177e-43a7-93d8-16ce0c8c0fac" ] } ], "mendeley" : { "formattedCitation" : "[90]", "plainTextFormattedCitation" : "[90]", "previouslyFormattedCitation" : "[90]"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[90]</w:t>
      </w:r>
      <w:r>
        <w:rPr>
          <w:rFonts w:ascii="Times New Roman" w:hAnsi="Times New Roman" w:cs="Times New Roman"/>
          <w:sz w:val="24"/>
          <w:szCs w:val="24"/>
        </w:rPr>
        <w:fldChar w:fldCharType="end"/>
      </w:r>
      <w:r>
        <w:rPr>
          <w:rFonts w:ascii="Times New Roman" w:hAnsi="Times New Roman" w:cs="Times New Roman"/>
          <w:sz w:val="24"/>
          <w:szCs w:val="24"/>
        </w:rPr>
        <w:t xml:space="preserve">, The thermal conductivity of polymers has been enhanced by incorporation of thermally conductive fillers, such as carbon black, carbon nanotubes, graphite, ceramic and metal particle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"author" : [ { "dropping-particle" : "", "family" : "Kelly", "given" : "B. T.", "non-dropping-particle" : "", "parse-names" : false, "suffix" : "" } ], "id" : "ITEM-1", "issued" : { "date-parts" : [ [ "1981" ] ] }, "publisher" : "Applied Science", "title" : "Physics Of Graphite", "type" : "book" }, "uris" : [ "http://www.mendeley.com/documents/?uuid=ca8bde5e-f24c-4b4d-a036-ca3e6d215b2e" ] }, { "id" : "ITEM-2", "itemData" : { "author" : [ { "dropping-particle" : "", "family" : "Wolff S", "given" : "Wang MJ", "non-dropping-particle" : "", "parse-names" : false, "suffix" : "" } ], "edition" : "2nd", "id" : "ITEM-2", "issued" : { "date-parts" : [ [ "1993" ] ] }, "publisher" : "New York: Marcel Dekker", "title" : "Carbon black science &amp; technology", "type" : "book" }, "uris" : [ "http://www.mendeley.com/documents/?uuid=316773d8-5e7f-4f14-96dc-f557c51f7ddf" ] }, { "id" : "ITEM-3", "itemData" : { "author" : [ { "dropping-particle" : "", "family" : "Wypych", "given" : "G.", "non-dropping-particle" : "", "parse-names" : false, "suffix" : "" } ], "id" : "ITEM-3", "issued" : { "date-parts" : [ [ "2000" ] ] }, "publisher" : "Toronto: ChemTec Publishing", "title" : "Handbook of fillers: physical properties of fillers and filled materials", "type" : "book" }, "uris" : [ "http://www.mendeley.com/documents/?uuid=0809c9b8-c30a-4e41-ba84-148b5571f324" ] }, { "id" : "ITEM-4", "itemData" : { "author" : [ { "dropping-particle" : "", "family" : "HO.", "given" : "Pierson", "non-dropping-particle" : "", "parse-names" : false, "suffix" : "" } ], "id" : "ITEM-4", "issued" : { "date-parts" : [ [ "1993" ] ] }, "publisher" : "Noyes Publications", "title" : "Handbook of carbon, graphite, diamond and fullerenes: properties. Processing and applications.", "type" : "book" }, "uris" : [ "http://www.mendeley.com/documents/?uuid=460a5bca-e46e-4023-a343-3a3396b9b037" ] } ], "mendeley" : { "formattedCitation" : "[91\u201394]", "plainTextFormattedCitation" : "[91\u201394]", "previouslyFormattedCitation" : "[91\u201394]"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[91–94]</w:t>
      </w:r>
      <w:r>
        <w:rPr>
          <w:rFonts w:ascii="Times New Roman" w:hAnsi="Times New Roman" w:cs="Times New Roman"/>
          <w:sz w:val="24"/>
          <w:szCs w:val="24"/>
        </w:rPr>
        <w:fldChar w:fldCharType="end"/>
      </w:r>
      <w:r>
        <w:rPr>
          <w:rFonts w:ascii="Times New Roman" w:hAnsi="Times New Roman" w:cs="Times New Roman"/>
          <w:sz w:val="24"/>
          <w:szCs w:val="24"/>
        </w:rPr>
        <w:t>. Graphene is expected to be a promising candidate for the enhancement of thermal conductivity of polymers due to its high thermal conductivity (5000 W m</w:t>
      </w:r>
      <w:r w:rsidRPr="00A6597A">
        <w:rPr>
          <w:rFonts w:ascii="Times New Roman" w:hAnsi="Times New Roman" w:cs="Times New Roman"/>
          <w:sz w:val="24"/>
          <w:szCs w:val="24"/>
          <w:vertAlign w:val="superscript"/>
        </w:rPr>
        <w:t>-1</w:t>
      </w:r>
      <w:r>
        <w:rPr>
          <w:rFonts w:ascii="Times New Roman" w:hAnsi="Times New Roman" w:cs="Times New Roman"/>
          <w:sz w:val="24"/>
          <w:szCs w:val="24"/>
        </w:rPr>
        <w:t xml:space="preserve"> K</w:t>
      </w:r>
      <w:r w:rsidRPr="00A6597A">
        <w:rPr>
          <w:rFonts w:ascii="Times New Roman" w:hAnsi="Times New Roman" w:cs="Times New Roman"/>
          <w:sz w:val="24"/>
          <w:szCs w:val="24"/>
          <w:vertAlign w:val="superscript"/>
        </w:rPr>
        <w:t>-1</w:t>
      </w:r>
      <w:r>
        <w:rPr>
          <w:rFonts w:ascii="Times New Roman" w:hAnsi="Times New Roman" w:cs="Times New Roman"/>
          <w:sz w:val="24"/>
          <w:szCs w:val="24"/>
        </w:rPr>
        <w:t xml:space="preserve"> at room temperature) large specific surface area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"ITEM-1", "issue" : "6", "issued" : { "date-parts" : [ [ "2010" ] ] }, "page" : "711-723", "title" : "Graphene oxide, highly reduced graphene oxide, and graphene: Versatile building blocks for carbon-based materials", "type" : "article-journal", "volume" : "6" }, "uris" : [ "http://www.mendeley.com/documents/?uuid=90e9afa4-4b34-4e67-8977-31ce6b3dfab0" ] } ], "mendeley" : { "formattedCitation" : "[22]", "plainTextFormattedCitation" : "[22]", "previouslyFormattedCitation" : "[22]"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[22]</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384C474A" w14:textId="218ED1FB"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The interfacial thermal resistance is </w:t>
      </w:r>
      <w:r>
        <w:rPr>
          <w:rFonts w:ascii="Times New Roman" w:hAnsi="Times New Roman" w:cs="Times New Roman" w:hint="eastAsia"/>
          <w:sz w:val="24"/>
          <w:szCs w:val="24"/>
        </w:rPr>
        <w:t xml:space="preserve">the barrier to heat flow </w:t>
      </w:r>
      <w:r>
        <w:rPr>
          <w:rFonts w:ascii="Times New Roman" w:hAnsi="Times New Roman" w:cs="Times New Roman"/>
          <w:sz w:val="24"/>
          <w:szCs w:val="24"/>
        </w:rPr>
        <w:t xml:space="preserve">due to the differences between electronic and vibrational properties in different materials. It is associated with the interfaces between nanofillers and polymeric matrix. Theoretically, fully exfoliated graphitic fillers, large aspect ratio and flat surface of graphitic fillers, and the reduced size of fillers, could increase the interfaces between fillers and polymeric matrix, resulting in a lower interfacial thermal resistance. Therefore, more transmission of phonons carried out at the interfaces, resulting in an higher thermal conductivity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"10.1002/pc", "ISBN" : "0967-3911", "ISSN" : "09673911", "PMID" : "871301", "abstract" : "This paper describes the fatigue behaviour of newly developed all-polypropylene (all-PP) tapes and composites, with reference to the composite processing conditions, testing temperature and making a comparison with commercial alternatives. All-PP tapes are highly oriented and their failure behaviour follows that of other highly oriented polymers. All-PP woven composites fail ultimately due to PP tape failure. However, this failure mode is accompanied by delamination of fabrics in the woven structure. Consolidation pressure plays a decisive role in controlling the interlaminar properties and hence the delamination resistance and furthermore the fatigue limit of the composite. Comparison of all-PP woven composites with commercial alternatives based on glass and natural fibres reveals the excellent relative performance of all-PP composites under fatigue loads. Fatigue properties of all-PP composites are however sensitive to the testing temperature, and elevated temperatures can lead to a rapid reduction of the fatigue resistance of these all-polymer systems.", "author" : [ { "dropping-particle" : "", "family" : "Kim", "given" : "Sumin", "non-dropping-particle" : "", "parse-names" : false, "suffix" : "" }, { "dropping-particle" : "", "family" : "Do", "given" : "Inhwan", "non-dropping-particle" : "", "parse-names" : false, "suffix" : "" }, { "dropping-particle" : "", "family" : "Lawrence", "given" : "T.", "non-dropping-particle" : "", "parse-names" : false, "suffix" : "" } ], "container-title" : "Polymers Composites", "id" : "ITEM-1", "issued" : { "date-parts" : [ [ "2010" ] ] }, "page" : "755-761", "title" : "Fatigue properties of highly oriented polypropylene tapes and all-polypropylene composites", "type" : "article-journal", "volume" : "10" }, "uris" : [ "http://www.mendeley.com/documents/?uuid=60173a66-a2e1-42f7-b663-fd41d1ee35f7" ] }, { "id" : "ITEM-2", "itemData" : { "DOI" : "10.1002/polb", "ISBN" : "1548-2634", "ISSN" : "00323888", "PMID" : "16277439", "abstract" : "A new type of phase separation in the polyelectrolyte solutions consisting of several types of charged macromolecules differing in their degree of ionization is predicted via a general thermodynamic consideration. We show that even a small difference in the degree of ionization of otherwise equivalent components results in their spatial separation occurring upon decreasing the temperature much earlier than precipitation of the components from the solution. Some implications of charge fractionation in biological processes are discussed.", "author" : [ { "dropping-particle" : "", "family" : "SEEMA ANSARI", "given" : "EMMANUEL P.Giannelis", "non-dropping-particle" : "", "parse-names" : false, "suffix" : "" } ], "container-title" : "Journal of Polymer Science Part B: Polymer Physics", "id" : "ITEM-2", "issued" : { "date-parts" : [ [ "2009" ] ] }, "page" : "888-897", "title" : "Functionalized graphene sheet-poly(vinylidene fluoride)conductive nanocomposites", "type" : "article-journal", "volume" : "47" }, "uris" : [ "http://www.mendeley.com/documents/?uuid=a7bf5522-2130-4e4a-8683-4e1ce81cb075" ] }, { "id" : "ITEM-3", "itemData" : { "DOI" : "10.1016/j.tca.2006.11.002", "author" : [ { "dropping-particle" : "", "family" : "Leszczy", "given" : "A", "non-dropping-particle" : "", "parse-names" : false, "suffix" : "" }, { "dropping-particle" : "", "family" : "Njuguna", "given" : "J", "non-dropping-particle" : "", "parse-names" : false, "suffix" : "" }, { "dropping-particle" : "", "family" : "Pielichowski", "given" : "K", "non-dropping-particle" : "", "parse-names" : false, "suffix" : "" }, { "dropping-particle" : "", "family" : "Banerjee", "given" : "J R", "non-dropping-particle" : "", "parse-names" : false, "suffix" : "" } ], "container-title" : "Thermochimicaacta", "id" : "ITEM-3", "issued" : { "date-parts" : [ [ "2007" ] ] }, "page" : "75-96", "title" : "Polymer/montmorillonite nanocomposites with improved thermal properties Part I . Factors influencing thermal stability and mechanisms of thermal stability improvement", "type" : "article-journal", "volume" : "453" }, "uris" : [ "http://www.mendeley.com/documents/?uuid=4fd9b9fb-ee64-4a10-96a7-52a5fedf41cf" ] }, { "id" : "ITEM-4", "itemData" : { "DOI" : "10.1002/polb.21956", "ISBN" : "0887-6266", "ISSN" : "08876266", "abstract" : "We have prepared a series of polylactide/exfoliated graphite (PLA/EG) nanocomposites by melt-compounding and investigated their morphology, structures, thermal stability, mechanical, and electrical properties. For PLA/EG nanocomposites, EG was prepared by the acid treatment and following rapid thermal expansion of micron-sized crystalline natural graphite (NG), and it was characterized to be composed of disordered graphite nanoplatelets. It was revealed that graphite nanoplatelets of PLA/EG nanocomposites were dispersed homogeneously in the PLA matrix without forming the crystalline aggregates, unlike PLA/NG composites. Thermal degradation temperatures of PLA/EG nanocomposites increased substantially with the increment of EG content up to similar to 3 wt %, whereas those of PLA/NG composites remained constant regardless of the NG content. For instance, thermal degradation temperature of PLA/EG nanocomposite with only 0.5 wt EG was improved by similar to 10 K over PLA homopolymer. Young's moduli of PLA/EG nanocomposites increased noticeably with the increment of EG content up to similar to 3 wt %, compared with PLA/NG composites. The percolation threshold for electrical conduction of PLA/EG nanocomposites was found to be at 3-5 wt % EG, which is far lower graphite content than that (10-15 wt A NG) of PLA/NG composites. (C) 2010 Wiley Periodicals, Inc. J Polym Sci Part B: Polym Phys 48: 850-858, 2010", "author" : [ { "dropping-particle" : "", "family" : "Kim", "given" : "IL Hwan", "non-dropping-particle" : "", "parse-names" : false, "suffix" : "" }, { "dropping-particle" : "", "family" : "Jeong", "given" : "Young Gyu", "non-dropping-particle" : "", "parse-names" : false, "suffix" : "" } ], "container-title" : "Journal of Polymer Science, Part B: Polymer Physics", "id" : "ITEM-4", "issue" : "8", "issued" : { "date-parts" : [ [ "2010" ] ] }, "page" : "850-858", "title" : "Polylactide/exfoliated graphite nanocomposites with enhanced thermal stability, mechanical modulus, and electrical conductivity", "type" : "article-journal", "volume" : "48" }, "uris" : [ "http://www.mendeley.com/documents/?uuid=561a4169-4b5b-4297-b92e-7a1bb46d8e64" ] } ], "mendeley" : { "formattedCitation" : "[78,95\u201397]", "plainTextFormattedCitation" : "[78,95\u201397]", "previouslyFormattedCitation" : "[78,95\u201397]"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[78,95–97]</w:t>
      </w:r>
      <w:r>
        <w:rPr>
          <w:rFonts w:ascii="Times New Roman" w:hAnsi="Times New Roman" w:cs="Times New Roman"/>
          <w:sz w:val="24"/>
          <w:szCs w:val="24"/>
        </w:rPr>
        <w:fldChar w:fldCharType="end"/>
      </w:r>
      <w:r>
        <w:rPr>
          <w:rFonts w:ascii="Times New Roman" w:hAnsi="Times New Roman" w:cs="Times New Roman"/>
          <w:sz w:val="24"/>
          <w:szCs w:val="24"/>
        </w:rPr>
        <w:t xml:space="preserve">. Moreover, the covalent bonding between filler and matrix can reduce the phonon scattering at the interfaces, resulting in an improved thermal conductivity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"mendeley" : { "formattedCitation" : "[61]", "plainTextFormattedCitation" : "[61]", "previouslyFormattedCitation" : "[61]"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[61]</w:t>
      </w:r>
      <w:r>
        <w:rPr>
          <w:rFonts w:ascii="Times New Roman" w:hAnsi="Times New Roman" w:cs="Times New Roman"/>
          <w:sz w:val="24"/>
          <w:szCs w:val="24"/>
        </w:rPr>
        <w:fldChar w:fldCharType="end"/>
      </w:r>
      <w:r>
        <w:rPr>
          <w:rFonts w:ascii="Times New Roman" w:hAnsi="Times New Roman" w:cs="Times New Roman"/>
          <w:sz w:val="24"/>
          <w:szCs w:val="24"/>
        </w:rPr>
        <w:t>. To date, some works have been published that the significant improvement on thermal conductivity of polymers can be improved by addition graphitic fillers. Teng et al. investigated the effects of different nanofillers on the thermal conductivity of epoxy, as shown in Figure 2.10. The significant improvements of thermal conductivity are observed in graphene/epoxy and Py-PGMA-graphene/epoxy, which is much higher than that of MWCNs/epoxy. This is due to the higher aspect ratio and flat surface of graphene than MWCNT, resulting in large interfaces and lower barrier for phonon transport. Py-</w:t>
      </w:r>
      <w:r w:rsidRPr="007A4726">
        <w:rPr>
          <w:rFonts w:ascii="Times New Roman" w:hAnsi="Times New Roman" w:cs="Times New Roman"/>
          <w:sz w:val="24"/>
          <w:szCs w:val="24"/>
        </w:rPr>
        <w:t xml:space="preserve"> Py-PGMA-graphene/epoxy</w:t>
      </w:r>
      <w:r>
        <w:rPr>
          <w:rFonts w:ascii="Times New Roman" w:hAnsi="Times New Roman" w:cs="Times New Roman"/>
          <w:sz w:val="24"/>
          <w:szCs w:val="24"/>
        </w:rPr>
        <w:t xml:space="preserve"> exhibits the highest thermal conductivity. This is presumably contributed to two reasons: 1) Py-PGMA modified GNS can be dispersed well in polymeric matrix due to its excellent solubility in solvent, resulting in an increased interface between filler and matrix. 2) The functional groups on </w:t>
      </w:r>
      <w:r w:rsidRPr="00013E09">
        <w:rPr>
          <w:rFonts w:ascii="Times New Roman" w:hAnsi="Times New Roman" w:cs="Times New Roman"/>
          <w:sz w:val="24"/>
          <w:szCs w:val="24"/>
        </w:rPr>
        <w:t>Py-PGMA-graphene/epoxy</w:t>
      </w:r>
      <w:r>
        <w:rPr>
          <w:rFonts w:ascii="Times New Roman" w:hAnsi="Times New Roman" w:cs="Times New Roman"/>
          <w:sz w:val="24"/>
          <w:szCs w:val="24"/>
        </w:rPr>
        <w:t xml:space="preserve"> can form covalent bonds with polymerix matrix, resulting in a strong interfacial interaction. Therefore, the interfacial thermal resistance is lower than that for graphene/epoxy, resulting in a superior thermal conductivity over graphene/epoxy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"10.1016/j.carbon.2011.06.095", "ISBN" : "0008-6223", "ISSN" : "00086223", "PMID" : "19957928", "abstract" : "Non-covalent functionalization was used to functionalize graphene nanosheets (GNSs) through p-p stacking of pyrene molecules with a functional segmented polymer chain, which results in a remarkable improvement in the thermal conductivity of GNS-filled polymer composites. The functional segmented poly(glycidyl methacrylate) containing localized pyrene groups (Py-PGMA) was prepared by atom transfer radical polymerization, and Py-PGMA was characterized by nuclear magnetic resonance spectroscopy. Raman spectra, X-ray photoelectron spectroscopy and thermogravimetric analysis reveal the characteristics of Py-PGMA-GNS. Differential scanning calorimetry indicated that the functional groups on Py-PGMA-GNSs can generate covalent bonds with the epoxy matrix, and further form a cross-linked structure in Py-PGMA-GNS/epoxy composites. The Py-PGMA on the GNS surface not only plays an important role to facilitate a homogeneous dispersion in the polymer matrix but also improves the GNS-polymer interaction, which results in a high contact area. Consequently, the thermal conductivity of integrated Py-PGMA-GNS/epoxy composites exhibited a remarkable improvement and is much higher than epoxy reinforced by multi-walled carbon nanotubes or GNSs. The thermal conductivity of 4 phr Py- PGMA-GNS/epoxy has about 20% (higher than that of pristine GNS/epoxy) and 267% (higher than pristine MWCNT/epoxy). \u00a9 2011 Elsevier Ltd. All rights reserved.", "author" : [ { "dropping-particle" : "", "family" : "Teng", "given" : "Chih Chun", "non-dropping-particle" : "", "parse-names" : false, "suffix" : "" }, { "dropping-particle" : "", "family" : "Ma", "given" : "Chen Chi M.", "non-dropping-particle" : "", "parse-names" : false, "suffix" : "" }, { "dropping-particle" : "", "family" : "Lu", "given" : "Chu Hua", "non-dropping-particle" : "", "parse-names" : false, "suffix" : "" }, { "dropping-particle" : "", "family" : "Yang", "given" : "Shin Yi", "non-dropping-particle" : "", "parse-names" : false, "suffix" : "" }, { "dropping-particle" : "", "family" : "Lee", "given" : "Shie Heng", "non-dropping-particle" : "", "parse-names" : false, "suffix" : "" }, { "dropping-particle" : "", "family" : "Hsiao", "given" : "Min Chien", "non-dropping-particle" : "", "parse-names" : false, "suffix" : "" }, { "dropping-particle" : "", "family" : "Yen", "given" : "Ming Yu", "non-dropping-particle" : "", "parse-names" : false, "suffix" : "" }, { "dropping-particle" : "", "family" : "Chiou", "given" : "Kuo Chan", "non-dropping-particle" : "", "parse-names" : false, "suffix" : "" }, { "dropping-particle" : "", "family" : "Lee", "given" : "Tzong Ming", "non-dropping-particle" : "", "parse-names" : false, "suffix" : "" } ], "container-title" : "Carbon", "id" : "ITEM-1", "issue" : "15", "issued" : { "date-parts" : [ [ "2011" ] ] }, "page" : "5107-5116", "publisher" : "Elsevier Ltd", "title" : "Thermal conductivity and structure of non-covalent functionalized graphene/epoxy composites", "type" : "article-journal", "volume" : "49" }, "uris" : [ "http://www.mendeley.com/documents/?uuid=11b3a644-7eba-465c-9d58-bc8c0be7913e" ] } ], "mendeley" : { "formattedCitation" : "[98]", "plainTextFormattedCitation" : "[98]", "previouslyFormattedCitation" : "[98]"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[98]</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6157C469" w14:textId="454FD0D9" w:rsidR="003C6953" w:rsidRDefault="003C6953" w:rsidP="003C6953">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3A6AD61B" wp14:editId="78D9599D">
            <wp:extent cx="3495675" cy="2705100"/>
            <wp:effectExtent l="0" t="0" r="9525" b="0"/>
            <wp:docPr id="81" name="Picture 8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5675" cy="2705100"/>
                    </a:xfrm>
                    <a:prstGeom prst="rect">
                      <a:avLst/>
                    </a:prstGeom>
                    <a:noFill/>
                    <a:ln>
                      <a:noFill/>
                    </a:ln>
                  </pic:spPr>
                </pic:pic>
              </a:graphicData>
            </a:graphic>
          </wp:inline>
        </w:drawing>
      </w:r>
    </w:p>
    <w:p w14:paraId="7F16EAE0" w14:textId="6E575063" w:rsidR="003C6953" w:rsidRDefault="00C560D3" w:rsidP="0005778C">
      <w:pPr>
        <w:pStyle w:val="Caption"/>
        <w:ind w:firstLine="0"/>
        <w:rPr>
          <w:rFonts w:cs="Times New Roman"/>
          <w:szCs w:val="24"/>
        </w:rPr>
      </w:pPr>
      <w:bookmarkStart w:id="42" w:name="_Toc502661649"/>
      <w:bookmarkStart w:id="43" w:name="_Toc518823387"/>
      <w:r>
        <w:t>Figure 2.</w:t>
      </w:r>
      <w:r w:rsidR="0005778C">
        <w:fldChar w:fldCharType="begin"/>
      </w:r>
      <w:r w:rsidR="0005778C">
        <w:instrText xml:space="preserve"> SEQ Figure_2. \* ARABIC </w:instrText>
      </w:r>
      <w:r w:rsidR="0005778C">
        <w:fldChar w:fldCharType="separate"/>
      </w:r>
      <w:r w:rsidR="00551ED9">
        <w:rPr>
          <w:noProof/>
        </w:rPr>
        <w:t>10</w:t>
      </w:r>
      <w:r w:rsidR="0005778C">
        <w:fldChar w:fldCharType="end"/>
      </w:r>
      <w:r w:rsidR="0005778C">
        <w:t xml:space="preserve">. </w:t>
      </w:r>
      <w:r w:rsidR="003C6953" w:rsidRPr="005D0B2C">
        <w:rPr>
          <w:rFonts w:cs="Times New Roman"/>
          <w:szCs w:val="24"/>
        </w:rPr>
        <w:t xml:space="preserve">Thermal conductivity </w:t>
      </w:r>
      <w:r w:rsidR="003C6953">
        <w:rPr>
          <w:rFonts w:cs="Times New Roman"/>
          <w:szCs w:val="24"/>
        </w:rPr>
        <w:t xml:space="preserve">with various filler contents of MWCNTs/epoxy, </w:t>
      </w:r>
      <w:r w:rsidR="003C6953" w:rsidRPr="005D0B2C">
        <w:rPr>
          <w:rFonts w:cs="Times New Roman"/>
          <w:szCs w:val="24"/>
        </w:rPr>
        <w:t>graphene/epoxy, and Py-PGMA–graphene</w:t>
      </w:r>
      <w:r w:rsidR="003C6953">
        <w:rPr>
          <w:rFonts w:cs="Times New Roman"/>
          <w:szCs w:val="24"/>
        </w:rPr>
        <w:t xml:space="preserve"> (Reproduced from reference </w:t>
      </w:r>
      <w:r w:rsidR="003C6953">
        <w:rPr>
          <w:rFonts w:cs="Times New Roman"/>
          <w:szCs w:val="24"/>
        </w:rPr>
        <w:fldChar w:fldCharType="begin" w:fldLock="1"/>
      </w:r>
      <w:r w:rsidR="00D973A8">
        <w:rPr>
          <w:rFonts w:cs="Times New Roman"/>
          <w:szCs w:val="24"/>
        </w:rPr>
        <w:instrText>ADDIN CSL_CITATION { "citationItems" : [ { "id" : "ITEM-1", "itemData" : { "DOI" : "10.1016/j.carbon.2011.06.095", "ISBN" : "0008-6223", "ISSN" : "00086223", "PMID" : "19957928", "abstract" : "Non-covalent functionalization was used to functionalize graphene nanosheets (GNSs) through p-p stacking of pyrene molecules with a functional segmented polymer chain, which results in a remarkable improvement in the thermal conductivity of GNS-filled polymer composites. The functional segmented poly(glycidyl methacrylate) containing localized pyrene groups (Py-PGMA) was prepared by atom transfer radical polymerization, and Py-PGMA was characterized by nuclear magnetic resonance spectroscopy. Raman spectra, X-ray photoelectron spectroscopy and thermogravimetric analysis reveal the characteristics of Py-PGMA-GNS. Differential scanning calorimetry indicated that the functional groups on Py-PGMA-GNSs can generate covalent bonds with the epoxy matrix, and further form a cross-linked structure in Py-PGMA-GNS/epoxy composites. The Py-PGMA on the GNS surface not only plays an important role to facilitate a homogeneous dispersion in the polymer matrix but also improves the GNS-polymer interaction, which results in a high contact area. Consequently, the thermal conductivity of integrated Py-PGMA-GNS/epoxy composites exhibited a remarkable improvement and is much higher than epoxy reinforced by multi-walled carbon nanotubes or GNSs. The thermal conductivity of 4 phr Py- PGMA-GNS/epoxy has about 20% (higher than that of pristine GNS/epoxy) and 267% (higher than pristine MWCNT/epoxy). \u00a9 2011 Elsevier Ltd. All rights reserved.", "author" : [ { "dropping-particle" : "", "family" : "Teng", "given" : "Chih Chun", "non-dropping-particle" : "", "parse-names" : false, "suffix" : "" }, { "dropping-particle" : "", "family" : "Ma", "given" : "Chen Chi M.", "non-dropping-particle" : "", "parse-names" : false, "suffix" : "" }, { "dropping-particle" : "", "family" : "Lu", "given" : "Chu Hua", "non-dropping-particle" : "", "parse-names" : false, "suffix" : "" }, { "dropping-particle" : "", "family" : "Yang", "given" : "Shin Yi", "non-dropping-particle" : "", "parse-names" : false, "suffix" : "" }, { "dropping-particle" : "", "family" : "Lee", "given" : "Shie Heng", "non-dropping-particle" : "", "parse-names" : false, "suffix" : "" }, { "dropping-particle" : "", "family" : "Hsiao", "given" : "Min Chien", "non-dropping-particle" : "", "parse-names" : false, "suffix" : "" }, { "dropping-particle" : "", "family" : "Yen", "given" : "Ming Yu", "non-dropping-particle" : "", "parse-names" : false, "suffix" : "" }, { "dropping-particle" : "", "family" : "Chiou", "given" : "Kuo Chan", "non-dropping-particle" : "", "parse-names" : false, "suffix" : "" }, { "dropping-particle" : "", "family" : "Lee", "given" : "Tzong Ming", "non-dropping-particle" : "", "parse-names" : false, "suffix" : "" } ], "container-title" : "Carbon", "id" : "ITEM-1", "issue" : "15", "issued" : { "date-parts" : [ [ "2011" ] ] }, "page" : "5107-5116", "publisher" : "Elsevier Ltd", "title" : "Thermal conductivity and structure of non-covalent functionalized graphene/epoxy composites", "type" : "article-journal", "volume" : "49" }, "uris" : [ "http://www.mendeley.com/documents/?uuid=11b3a644-7eba-465c-9d58-bc8c0be7913e" ] } ], "mendeley" : { "formattedCitation" : "[98]", "plainTextFormattedCitation" : "[98]", "previouslyFormattedCitation" : "[98]" }, "properties" : {  }, "schema" : "https://github.com/citation-style-language/schema/raw/master/csl-citation.json" }</w:instrText>
      </w:r>
      <w:r w:rsidR="003C6953">
        <w:rPr>
          <w:rFonts w:cs="Times New Roman"/>
          <w:szCs w:val="24"/>
        </w:rPr>
        <w:fldChar w:fldCharType="separate"/>
      </w:r>
      <w:r w:rsidR="003C6953" w:rsidRPr="0080714B">
        <w:rPr>
          <w:rFonts w:cs="Times New Roman"/>
          <w:noProof/>
          <w:szCs w:val="24"/>
        </w:rPr>
        <w:t>[98]</w:t>
      </w:r>
      <w:r w:rsidR="003C6953">
        <w:rPr>
          <w:rFonts w:cs="Times New Roman"/>
          <w:szCs w:val="24"/>
        </w:rPr>
        <w:fldChar w:fldCharType="end"/>
      </w:r>
      <w:r w:rsidR="003C6953">
        <w:rPr>
          <w:rFonts w:cs="Times New Roman"/>
          <w:szCs w:val="24"/>
        </w:rPr>
        <w:t>).</w:t>
      </w:r>
      <w:bookmarkEnd w:id="42"/>
      <w:bookmarkEnd w:id="43"/>
    </w:p>
    <w:p w14:paraId="2D3D8172" w14:textId="77777777" w:rsidR="003C6953" w:rsidRPr="008A4BED" w:rsidRDefault="003C6953" w:rsidP="003C6953">
      <w:pPr>
        <w:spacing w:after="0"/>
        <w:jc w:val="both"/>
        <w:rPr>
          <w:rFonts w:ascii="Times New Roman" w:hAnsi="Times New Roman" w:cs="Times New Roman"/>
          <w:sz w:val="24"/>
          <w:szCs w:val="24"/>
        </w:rPr>
      </w:pPr>
    </w:p>
    <w:p w14:paraId="2B9BC5D0" w14:textId="3A520C38"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The thermal stability of polymers are defined by the onset temperature, the temperature of maximum mass loss rate, and char yield. Extensive work has been reported that the incorporation of graphitic nanofillers can improve the thermal stability of polymers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"10.1002/polb.21956", "ISBN" : "0887-6266", "ISSN" : "08876266", "abstract" : "We have prepared a series of polylactide/exfoliated graphite (PLA/EG) nanocomposites by melt-compounding and investigated their morphology, structures, thermal stability, mechanical, and electrical properties. For PLA/EG nanocomposites, EG was prepared by the acid treatment and following rapid thermal expansion of micron-sized crystalline natural graphite (NG), and it was characterized to be composed of disordered graphite nanoplatelets. It was revealed that graphite nanoplatelets of PLA/EG nanocomposites were dispersed homogeneously in the PLA matrix without forming the crystalline aggregates, unlike PLA/NG composites. Thermal degradation temperatures of PLA/EG nanocomposites increased substantially with the increment of EG content up to similar to 3 wt %, whereas those of PLA/NG composites remained constant regardless of the NG content. For instance, thermal degradation temperature of PLA/EG nanocomposite with only 0.5 wt EG was improved by similar to 10 K over PLA homopolymer. Young's moduli of PLA/EG nanocomposites increased noticeably with the increment of EG content up to similar to 3 wt %, compared with PLA/NG composites. The percolation threshold for electrical conduction of PLA/EG nanocomposites was found to be at 3-5 wt % EG, which is far lower graphite content than that (10-15 wt A NG) of PLA/NG composites. (C) 2010 Wiley Periodicals, Inc. J Polym Sci Part B: Polym Phys 48: 850-858, 2010", "author" : [ { "dropping-particle" : "", "family" : "Kim", "given" : "IL Hwan", "non-dropping-particle" : "", "parse-names" : false, "suffix" : "" }, { "dropping-particle" : "", "family" : "Jeong", "given" : "Young Gyu", "non-dropping-particle" : "", "parse-names" : false, "suffix" : "" } ], "container-title" : "Journal of Polymer Science, Part B: Polymer Physics", "id" : "ITEM-1", "issue" : "8", "issued" : { "date-parts" : [ [ "2010" ] ] }, "page" : "850-858", "title" : "Polylactide/exfoliated graphite nanocomposites with enhanced thermal stability, mechanical modulus, and electrical conductivity", "type" : "article-journal", "volume" : "48" }, "uris" : [ "http://www.mendeley.com/documents/?uuid=561a4169-4b5b-4297-b92e-7a1bb46d8e64" ] }, { "id" : "ITEM-2", "itemData" : { "DOI" : "10.1002/pc", "ISBN" : "0967-3911", "ISSN" : "09673911", "PMID" : "871301", "abstract" : "This paper describes the fatigue behaviour of newly developed all-polypropylene (all-PP) tapes and composites, with reference to the composite processing conditions, testing temperature and making a comparison with commercial alternatives. All-PP tapes are highly oriented and their failure behaviour follows that of other highly oriented polymers. All-PP woven composites fail ultimately due to PP tape failure. However, this failure mode is accompanied by delamination of fabrics in the woven structure. Consolidation pressure plays a decisive role in controlling the interlaminar properties and hence the delamination resistance and furthermore the fatigue limit of the composite. Comparison of all-PP woven composites with commercial alternatives based on glass and natural fibres reveals the excellent relative performance of all-PP composites under fatigue loads. Fatigue properties of all-PP composites are however sensitive to the testing temperature, and elevated temperatures can lead to a rapid reduction of the fatigue resistance of these all-polymer systems.", "author" : [ { "dropping-particle" : "", "family" : "Kim", "given" : "Sumin", "non-dropping-particle" : "", "parse-names" : false, "suffix" : "" }, { "dropping-particle" : "", "family" : "Do", "given" : "Inhwan", "non-dropping-particle" : "", "parse-names" : false, "suffix" : "" }, { "dropping-particle" : "", "family" : "Lawrence", "given" : "T.", "non-dropping-particle" : "", "parse-names" : false, "suffix" : "" } ], "container-title" : "Polymers Composites", "id" : "ITEM-2", "issued" : { "date-parts" : [ [ "2010" ] ] }, "page" : "755-761", "title" : "Fatigue properties of highly oriented polypropylene tapes and all-polypropylene composites", "type" : "article-journal", "volume" : "10" }, "uris" : [ "http://www.mendeley.com/documents/?uuid=60173a66-a2e1-42f7-b663-fd41d1ee35f7" ] }, { "id" : "ITEM-3", "itemData" : { "DOI" : "10.1002/polb", "ISBN" : "1548-2634", "ISSN" : "00323888", "PMID" : "16277439", "abstract" : "A new type of phase separation in the polyelectrolyte solutions consisting of several types of charged macromolecules differing in their degree of ionization is predicted via a general thermodynamic consideration. We show that even a small difference in the degree of ionization of otherwise equivalent components results in their spatial separation occurring upon decreasing the temperature much earlier than precipitation of the components from the solution. Some implications of charge fractionation in biological processes are discussed.", "author" : [ { "dropping-particle" : "", "family" : "SEEMA ANSARI", "given" : "EMMANUEL P.Giannelis", "non-dropping-particle" : "", "parse-names" : false, "suffix" : "" } ], "container-title" : "Journal of Polymer Science Part B: Polymer Physics", "id" : "ITEM-3", "issued" : { "date-parts" : [ [ "2009" ] ] }, "page" : "888-897", "title" : "Functionalized graphene sheet-poly(vinylidene fluoride)conductive nanocomposites", "type" : "article-journal", "volume" : "47" }, "uris" : [ "http://www.mendeley.com/documents/?uuid=a7bf5522-2130-4e4a-8683-4e1ce81cb075" ] } ], "mendeley" : { "formattedCitation" : "[78,95,97]", "plainTextFormattedCitation" : "[78,95,97]", "previouslyFormattedCitation" : "[78,95,97]"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[78,95,97]</w:t>
      </w:r>
      <w:r>
        <w:rPr>
          <w:rFonts w:ascii="Times New Roman" w:hAnsi="Times New Roman" w:cs="Times New Roman"/>
          <w:sz w:val="24"/>
          <w:szCs w:val="24"/>
        </w:rPr>
        <w:fldChar w:fldCharType="end"/>
      </w:r>
      <w:r>
        <w:rPr>
          <w:rFonts w:ascii="Times New Roman" w:hAnsi="Times New Roman" w:cs="Times New Roman"/>
          <w:sz w:val="24"/>
          <w:szCs w:val="24"/>
        </w:rPr>
        <w:t>. T</w:t>
      </w:r>
      <w:r>
        <w:rPr>
          <w:rFonts w:ascii="Times New Roman" w:hAnsi="Times New Roman" w:cs="Times New Roman" w:hint="eastAsia"/>
          <w:sz w:val="24"/>
          <w:szCs w:val="24"/>
        </w:rPr>
        <w:t>h</w:t>
      </w:r>
      <w:r>
        <w:rPr>
          <w:rFonts w:ascii="Times New Roman" w:hAnsi="Times New Roman" w:cs="Times New Roman"/>
          <w:sz w:val="24"/>
          <w:szCs w:val="24"/>
        </w:rPr>
        <w:t xml:space="preserve">e mechanism of the improvement of polymer nanocomposites by nanofillers is not clear yet. It is usually well accepted that good dispersion and strong interfacial adhesion are beneficial for the enhancement of thermal stability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"10.1016/j.tca.2006.11.002", "author" : [ { "dropping-particle" : "", "family" : "Leszczy", "given" : "A", "non-dropping-particle" : "", "parse-names" : false, "suffix" : "" }, { "dropping-particle" : "", "family" : "Njuguna", "given" : "J", "non-dropping-particle" : "", "parse-names" : false, "suffix" : "" }, { "dropping-particle" : "", "family" : "Pielichowski", "given" : "K", "non-dropping-particle" : "", "parse-names" : false, "suffix" : "" }, { "dropping-particle" : "", "family" : "Banerjee", "given" : "J R", "non-dropping-particle" : "", "parse-names" : false, "suffix" : "" } ], "container-title" : "Thermochimicaacta", "id" : "ITEM-1", "issued" : { "date-parts" : [ [ "2007" ] ] }, "page" : "75-96", "title" : "Polymer/montmorillonite nanocomposites with improved thermal properties Part I . Factors influencing thermal stability and mechanisms of thermal stability improvement", "type" : "article-journal", "volume" : "453" }, "uris" : [ "http://www.mendeley.com/documents/?uuid=4fd9b9fb-ee64-4a10-96a7-52a5fedf41cf" ] } ], "mendeley" : { "formattedCitation" : "[96]", "plainTextFormattedCitation" : "[96]", "previouslyFormattedCitation" : "[96]"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[96]</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2007669" w14:textId="77777777" w:rsidR="003C6953" w:rsidRPr="00E6519A" w:rsidRDefault="003C6953" w:rsidP="003C6953">
      <w:pPr>
        <w:spacing w:after="0" w:line="480" w:lineRule="auto"/>
        <w:ind w:firstLine="426"/>
        <w:jc w:val="both"/>
        <w:rPr>
          <w:rFonts w:ascii="Times New Roman" w:hAnsi="Times New Roman" w:cs="Times New Roman"/>
          <w:sz w:val="24"/>
          <w:szCs w:val="24"/>
        </w:rPr>
      </w:pPr>
    </w:p>
    <w:p w14:paraId="36CB5650" w14:textId="6C2C1EF9" w:rsidR="003C6953" w:rsidRDefault="00165B0C" w:rsidP="003C6953">
      <w:pPr>
        <w:pStyle w:val="Heading3"/>
        <w:spacing w:before="0"/>
      </w:pPr>
      <w:bookmarkStart w:id="44" w:name="_Toc518823241"/>
      <w:r>
        <w:t>2.</w:t>
      </w:r>
      <w:r w:rsidR="003C6953">
        <w:t>5.2.3. Electrical conductivity</w:t>
      </w:r>
      <w:bookmarkEnd w:id="44"/>
      <w:r w:rsidR="003C6953">
        <w:t xml:space="preserve"> </w:t>
      </w:r>
    </w:p>
    <w:p w14:paraId="31BB0F6F" w14:textId="5CDCE035"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One of the most promising aspects of graphene-based materials is their potential for electronic devices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"mendeley" : { "formattedCitation" : "[61]", "plainTextFormattedCitation" : "[61]", "previouslyFormattedCitation" : "[61]"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[61]</w:t>
      </w:r>
      <w:r>
        <w:rPr>
          <w:rFonts w:ascii="Times New Roman" w:hAnsi="Times New Roman" w:cs="Times New Roman"/>
          <w:sz w:val="24"/>
          <w:szCs w:val="24"/>
        </w:rPr>
        <w:fldChar w:fldCharType="end"/>
      </w:r>
      <w:r>
        <w:rPr>
          <w:rFonts w:ascii="Times New Roman" w:hAnsi="Times New Roman" w:cs="Times New Roman"/>
          <w:sz w:val="24"/>
          <w:szCs w:val="24"/>
        </w:rPr>
        <w:t>. Paper-like graphene is measured to be highly electrical conductive, and the electrical conductivity is approximately 35,100 S m</w:t>
      </w:r>
      <w:r w:rsidRPr="003F3831">
        <w:rPr>
          <w:rFonts w:ascii="Times New Roman" w:hAnsi="Times New Roman" w:cs="Times New Roman"/>
          <w:sz w:val="24"/>
          <w:szCs w:val="24"/>
          <w:vertAlign w:val="superscript"/>
        </w:rPr>
        <w:t>-1</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"10.1038/nmat1849", "ISBN" : "1476-1122", "ISSN" : "1476-1122", "PMID" : "17330084", "abstract" : "Graphene is a rapidly rising star on the horizon of materials science and\\ncondensed matter physics. This strictly two-dimensional material exhibits\\nexceptionally high crystal and electronic quality and, despite its short\\nhistory, has already revealed a cornucopia of new physics and potential\\napplications, which are briefly discussed here. Whereas one can be certain of\\nthe realness of applications only when commercial products appear, graphene no\\nlonger requires any further proof of its importance in terms of fundamental\\nphysics. Owing to its unusual electronic spectrum, graphene has led to the\\nemergence of a new paradigm of 'relativistic' condensed matter physics, where\\nquantum relativistic phenomena, some of which are unobservable in high energy\\nphysics, can now be mimicked and tested in table-top experiments. More\\ngenerally, graphene represents a conceptually new class of materials that are\\nonly one atom thick and, on this basis, offers new inroads into low-dimensional\\nphysics that has never ceased to surprise and continues to provide a fertile\\nground for applications.", "author" : [ { "dropping-particle" : "", "family" : "Geim", "given" : "A. K.", "non-dropping-particle" : "", "parse-names" : false, "suffix" : "" }, { "dropping-particle" : "", "family" : "Novoselov", "given" : "K.S. S.", "non-dropping-particle" : "", "parse-names" : false, "suffix" : "" } ], "container-title" : "Nature Materials", "id" : "ITEM-1", "issue" : "3", "issued" : { "date-parts" : [ [ "2007" ] ] }, "page" : "183-191", "title" : "The rise of graphene", "type" : "article-journal", "volume" : "6" }, "uris" : [ "http://www.mendeley.com/documents/?uuid=5b87a258-0a66-4af1-a8ee-01ec6ec15ea9" ] }, { "id" : "ITEM-2",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"ITEM-2", "issue" : "6", "issued" : { "date-parts" : [ [ "2010" ] ] }, "page" : "711-723", "title" : "Graphene oxide, highly reduced graphene oxide, and graphene: Versatile building blocks for carbon-based materials", "type" : "article-journal", "volume" : "6" }, "uris" : [ "http://www.mendeley.com/documents/?uuid=90e9afa4-4b34-4e67-8977-31ce6b3dfab0" ] } ], "mendeley" : { "formattedCitation" : "[22,99]", "plainTextFormattedCitation" : "[22,99]", "previouslyFormattedCitation" : "[22,99]"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[22,99]</w:t>
      </w:r>
      <w:r>
        <w:rPr>
          <w:rFonts w:ascii="Times New Roman" w:hAnsi="Times New Roman" w:cs="Times New Roman"/>
          <w:sz w:val="24"/>
          <w:szCs w:val="24"/>
        </w:rPr>
        <w:fldChar w:fldCharType="end"/>
      </w:r>
      <w:r>
        <w:rPr>
          <w:rFonts w:ascii="Times New Roman" w:hAnsi="Times New Roman" w:cs="Times New Roman"/>
          <w:sz w:val="24"/>
          <w:szCs w:val="24"/>
        </w:rPr>
        <w:t xml:space="preserve">. Therefore, it is potential for improving the conductivity of both conductive polymers and insulating polymer. Once dispersed in polymer matrix, nanofillers form a tunneling surrounded by thin polymer layers, where the current flows through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"10.1016/S0300-9440(00)00140-5", "ISBN" : "0300-9440", "ISSN" : "03009440", "abstract" : "Conducting polymer composites are, as a rule, strongly disordered systems. The concepts of the percolation theory and of the fractal geometry are widely used to describe the properties of such systems and to establish the quantitative relationship between the composite structure and its conductivity. Thorough study of the electrical properties of composites based on these theoretical notions allows to draw some specific conclusions about the structural features of a system. The basic notions of the percolation theory and of fractal geometry and the application of these theories to the description of electrophysical properties of metal-filled polymer film composite are reviewed. The aggregate formation in curing polymer films is studied. The main feature of the systems studied is the fact that, after the transition of the polymer matrix to the glassy state, the system becomes `frozen'. This makes possible the study of aggregates structure at a specified state of film formation and to determine the fractal parameters of the aggregates. The relationship between the fractal characteristics of aggregates in dilute dispersion and percolation cluster is demonstrated. The electrophysical properties of metal-filled films are shown to exhibit a number of anomalies near the percolation threshold. The frequency dependence of the conductivity of metal-filled polymer films is considered. The determination of the mechanism of conductivity is based on these data. The geometric concepts of the structure of the conducting skeleton is based on the voltage-current sample characteristics. It is shown that the frequency dependence of the conductivity is determined by the interlayers between particles, where the transfer of charge carriers occurs by combining quantum-mechanical tunneling transition and the mechanism of jumping over localized energy states. The physical nature of the multiple percolation thresholds in metal-filled polymer films is discussed. The influence of external effects on the position of the percolation threshold and on the change of the conductivity mechanism in the composite is also considered.", "author" : [ { "dropping-particle" : "", "family" : "Roldughin", "given" : "V. I.", "non-dropping-particle" : "", "parse-names" : false, "suffix" : "" }, { "dropping-particle" : "V.", "family" : "Vysotskii", "given" : "V.", "non-dropping-particle" : "", "parse-names" : false, "suffix" : "" } ], "container-title" : "Progress in Organic Coatings", "id" : "ITEM-1", "issue" : "2-4", "issued" : { "date-parts" : [ [ "2000" ] ] }, "page" : "81-100", "title" : "Percolation properties of metal-filled polymer films, structure and mechanisms of conductivity", "type" : "article-journal", "volume" : "39" }, "uris" : [ "http://www.mendeley.com/documents/?uuid=71499517-8cd2-4948-b3b9-8e18ebe8f977" ] } ], "mendeley" : { "formattedCitation" : "[100]", "plainTextFormattedCitation" : "[100]", "previouslyFormattedCitation" : "[100]"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[100]</w:t>
      </w:r>
      <w:r>
        <w:rPr>
          <w:rFonts w:ascii="Times New Roman" w:hAnsi="Times New Roman" w:cs="Times New Roman"/>
          <w:sz w:val="24"/>
          <w:szCs w:val="24"/>
        </w:rPr>
        <w:fldChar w:fldCharType="end"/>
      </w:r>
      <w:r>
        <w:rPr>
          <w:rFonts w:ascii="Times New Roman" w:hAnsi="Times New Roman" w:cs="Times New Roman"/>
          <w:sz w:val="24"/>
          <w:szCs w:val="24"/>
        </w:rPr>
        <w:t xml:space="preserve">. The tunneling resistance is a barrier for the current flow associated to the electrical conductivity. </w:t>
      </w:r>
    </w:p>
    <w:p w14:paraId="704BDD07" w14:textId="6247017A"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Electrical percolation threshold is the minimum nanofiller content for polymer material, where a conductive network of nanofillers is formed for current transfer. The alignment of the filler plays an important role on percolation threshold. When the anisotropic nanofillers are aligned under external forces like compression force, the interconnectivity between fillers are negatively affected, resulting in an increased percolation threshold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"10.1016/S0009-2614(00)01013-7", "ISBN" : "0009-2614", "ISSN" : "00092614", "abstract" : "This Letter describes the production of single-wall carbon nanotube (SWNT) - polymer composites with enhanced mechanical and electrical properties and exceptional nanotube alignment. A combination of solvent casting and melt mixing was used to disperse SWNT materials in poly(methyl methacrylate) (PMMA). Composite films showed higher conductivity along the flow direction than perpendicular to it. Composite fibers were melt spun to achieve draw ratios between 20 and 3600. The elastic modulus and yield strength of SWNT-PMMA composite fibers increased with nanotube loading and draw ratio. Polarized resonant Raman spectroscopy indicates that the nanotubes in the fibers are well aligned, with mosaic distribution FWHMs as small as 4 degrees. (C) 2000 Elsevier Science B.V. All rights reserved.", "author" : [ { "dropping-particle" : "", "family" : "Haggenmueller", "given" : "R.", "non-dropping-particle" : "", "parse-names" : false, "suffix" : "" }, { "dropping-particle" : "", "family" : "Gommans", "given" : "H.H.", "non-dropping-particle" : "", "parse-names" : false, "suffix" : "" }, { "dropping-particle" : "", "family" : "Rinzler", "given" : "A.G.", "non-dropping-particle" : "", "parse-names" : false, "suffix" : "" }, { "dropping-particle" : "", "family" : "Fischer", "given" : "J.E.", "non-dropping-particle" : "", "parse-names" : false, "suffix" : "" }, { "dropping-particle" : "", "family" : "Winey", "given" : "K.I.", "non-dropping-particle" : "", "parse-names" : false, "suffix" : "" } ], "container-title" : "Chemical Physics Letters", "id" : "ITEM-1", "issue" : "3-4", "issued" : { "date-parts" : [ [ "2000" ] ] }, "page" : "219-225", "title" : "Aligned single-wall carbon nanotubes in composites by melt processing methods", "type" : "article-journal", "volume" : "330" }, "uris" : [ "http://www.mendeley.com/documents/?uuid=4c8e37c8-fb95-4290-91c3-899dd618ac69" ] }, { "id" : "ITEM-2", "itemData" : { "author" : [ { "dropping-particle" : "", "family" : "Kale", "given" : "Sohan", "non-dropping-particle" : "", "parse-names" : false, "suffix" : "" }, { "dropping-particle" : "", "family" : "Sabet", "given" : "Fereshteh A", "non-dropping-particle" : "", "parse-names" : false, "suffix" : "" }, { "dropping-particle" : "", "family" : "Jasiuk", "given" : "Iwona", "non-dropping-particle" : "", "parse-names" : false, "suffix" : "" }, { "dropping-particle" : "", "family" : "Ostoja-starzewski", "given" : "Martin", "non-dropping-particle" : "", "parse-names" : false, "suffix" : "" } ], "container-title" : "Applied Physics", "id" : "ITEM-2", "issued" : { "date-parts" : [ [ "2016" ] ] }, "page" : "1-11", "title" : "Effect of filler alignment on percolation in polymer nanocomposites using tunneling-percolation model", "type" : "article-journal", "volume" : "120" }, "uris" : [ "http://www.mendeley.com/documents/?uuid=17c69d85-72ef-4755-8450-c95ef40c7e4b" ] } ], "mendeley" : { "formattedCitation" : "[101,102]", "plainTextFormattedCitation" : "[101,102]", "previouslyFormattedCitation" : "[101,102]"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[101,102]</w:t>
      </w:r>
      <w:r>
        <w:rPr>
          <w:rFonts w:ascii="Times New Roman" w:hAnsi="Times New Roman" w:cs="Times New Roman"/>
          <w:sz w:val="24"/>
          <w:szCs w:val="24"/>
        </w:rPr>
        <w:fldChar w:fldCharType="end"/>
      </w:r>
      <w:r>
        <w:rPr>
          <w:rFonts w:ascii="Times New Roman" w:hAnsi="Times New Roman" w:cs="Times New Roman"/>
          <w:sz w:val="24"/>
          <w:szCs w:val="24"/>
        </w:rPr>
        <w:t xml:space="preserve">. For example, Kim developed polycarbonate/graphene composites by injection molding. The anisotropic disk-like modified graphene get aligned under external force. The electrical percolation threshold is one order of magnitude higher over that of poly(propylene)/graphene prepared by compression molding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"10.1016/j.polymer.2009.05.038", "ISBN" : "0032-3861", "ISSN" : "00323861", "abstract" : "Polycarbonate composites reinforced with graphite and functionalized graphene sheets (FGS) were produced using melt compounding. Composite samples with different degrees of graphite orientation were processed via injection, compression molding and long-term annealing. Electron microscopy and X-ray scattering revealed that FGS was nearly exfoliated. However, graphite remained multi-layer even after melt processing. Flow induced orientation of graphite was observed from both injection and compression molded samples. Graphite particles in samples after long-term annealing exhibited more random orientation. Composites with the exfoliated FGS required a smaller amount of reinforcement for rigidity and connectivity percolation, as determined by melt rheology and electrical conductivity measurements. FGS also showed better performance in suppressing gas permeability of polycarbonate. However, improvements by FGS dispersion in tensile modulus and dimensional stability were not as significant. This may be due to defects in the sheet structure formed during oxidation and pyrolysis used to exfoliate. \u00a9 2009 Elsevier Ltd. All rights reserved.", "author" : [ { "dropping-particle" : "", "family" : "Kim", "given" : "Hyunwoo", "non-dropping-particle" : "", "parse-names" : false, "suffix" : "" }, { "dropping-particle" : "", "family" : "Macosko", "given" : "Christopher W.", "non-dropping-particle" : "", "parse-names" : false, "suffix" : "" } ], "container-title" : "Polymer", "id" : "ITEM-1", "issue" : "15", "issued" : { "date-parts" : [ [ "2009" ] ] }, "page" : "3797-3809", "publisher" : "Elsevier Ltd", "title" : "Processing-property relationships of polycarbonate/graphene composites", "type" : "article-journal", "volume" : "50" }, "uris" : [ "http://www.mendeley.com/documents/?uuid=5263503e-9182-4b4a-b671-e56cdda416e9" ] } ], "mendeley" : { "formattedCitation" : "[103]", "plainTextFormattedCitation" : "[103]", "previouslyFormattedCitation" : "[103]"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[103]</w:t>
      </w:r>
      <w:r>
        <w:rPr>
          <w:rFonts w:ascii="Times New Roman" w:hAnsi="Times New Roman" w:cs="Times New Roman"/>
          <w:sz w:val="24"/>
          <w:szCs w:val="24"/>
        </w:rPr>
        <w:fldChar w:fldCharType="end"/>
      </w:r>
      <w:r>
        <w:rPr>
          <w:rFonts w:ascii="Times New Roman" w:hAnsi="Times New Roman" w:cs="Times New Roman"/>
          <w:sz w:val="24"/>
          <w:szCs w:val="24"/>
        </w:rPr>
        <w:t>.</w:t>
      </w:r>
    </w:p>
    <w:p w14:paraId="296B4F3A" w14:textId="0A967A23"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As well known, the dispersion of nanofillers is the key for the performance of polymer nanocomposites, including mechanical properties, thermal properties, grass transition temperature, etc. However, high dispersion quality may not necessary for a low electrical percolation threshold and high conductivity. For a well dispersed system, the polymer may coat the surface of nanofillers, which would prevent the contact area between fillers, leading to a higher tunneling resistance and percolation threshold. It is observed that the fillers segregated from matrix can form an conductive network rather than homogeneously dispersed nanofillers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"mendeley" : { "formattedCitation" : "[61]", "plainTextFormattedCitation" : "[61]", "previouslyFormattedCitation" : "[61]"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[61]</w:t>
      </w:r>
      <w:r>
        <w:rPr>
          <w:rFonts w:ascii="Times New Roman" w:hAnsi="Times New Roman" w:cs="Times New Roman"/>
          <w:sz w:val="24"/>
          <w:szCs w:val="24"/>
        </w:rPr>
        <w:fldChar w:fldCharType="end"/>
      </w:r>
      <w:r>
        <w:rPr>
          <w:rFonts w:ascii="Times New Roman" w:hAnsi="Times New Roman" w:cs="Times New Roman"/>
          <w:sz w:val="24"/>
          <w:szCs w:val="24"/>
        </w:rPr>
        <w:t xml:space="preserve">. Besides, percolation threshold is also determined by the experimental process, and the intrinsic properties of fillers. Folded, winkled nanofillers would also reduce the contact area between fillers, resulting in an increased percolation threshold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"10.1021/nl8035367", "author" : [ { "dropping-particle" : "", "family" : "Eda", "given" : "Goki", "non-dropping-particle" : "", "parse-names" : false, "suffix" : "" }, { "dropping-particle" : "", "family" : "Chhowalla", "given" : "Manish", "non-dropping-particle" : "", "parse-names" : false, "suffix" : "" } ], "container-title" : "Nano Letters", "id" : "ITEM-1", "issue" : "January", "issued" : { "date-parts" : [ [ "2009" ] ] }, "page" : "814-818", "title" : "Graphene-based Composite Thin Films for Electronics Graphene-based Composite Thin Films for Electronics", "type" : "article-journal", "volume" : "9" }, "uris" : [ "http://www.mendeley.com/documents/?uuid=5f25421a-6ee3-4748-86ea-66dd21bd6ff6" ] } ], "mendeley" : { "formattedCitation" : "[104]", "plainTextFormattedCitation" : "[104]", "previouslyFormattedCitation" : "[104]"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[104]</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4CB3D50" w14:textId="7F4F6E7F"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The insulating polymer can be turned into electrical conductive by incorporating with conductive nanofillers like graphene. Electrical conductivity of polymer composites is determined by the filler content, the conductivity of fillers, the intrinsic of fillers, and the percolation threshold between fillers and polymers. When the filler content reaches the percolation threshold, the conductivity can be calculated by simple power-law expression below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"mendeley" : { "formattedCitation" : "[61]", "plainTextFormattedCitation" : "[61]", "previouslyFormattedCitation" : "[61]"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[61]</w:t>
      </w:r>
      <w:r>
        <w:rPr>
          <w:rFonts w:ascii="Times New Roman" w:hAnsi="Times New Roman" w:cs="Times New Roman"/>
          <w:sz w:val="24"/>
          <w:szCs w:val="24"/>
        </w:rPr>
        <w:fldChar w:fldCharType="end"/>
      </w:r>
      <w:r>
        <w:rPr>
          <w:rFonts w:ascii="Times New Roman" w:hAnsi="Times New Roman" w:cs="Times New Roman"/>
          <w:sz w:val="24"/>
          <w:szCs w:val="24"/>
        </w:rPr>
        <w:t>:</w:t>
      </w:r>
    </w:p>
    <w:p w14:paraId="53FBE65A" w14:textId="5787F5B1" w:rsidR="003C6953" w:rsidRDefault="00B72F48" w:rsidP="003C6953">
      <w:pPr>
        <w:spacing w:after="0" w:line="480" w:lineRule="auto"/>
        <w:ind w:firstLine="284"/>
        <w:jc w:val="center"/>
        <w:rPr>
          <w:rFonts w:ascii="Times New Roman" w:hAnsi="Times New Roman" w:cs="Times New Roman"/>
          <w:b/>
          <w:sz w:val="24"/>
          <w:szCs w:val="24"/>
        </w:rPr>
      </w:pPr>
      <m:oMath>
        <m:sSub>
          <m:sSubPr>
            <m:ctrlPr>
              <w:rPr>
                <w:rFonts w:ascii="Cambria Math" w:hAnsi="Cambria Math" w:cs="Times New Roman"/>
                <w:b/>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 xml:space="preserve">c  </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 xml:space="preserve">f  </m:t>
            </m:r>
          </m:sub>
        </m:sSub>
        <m:sSup>
          <m:sSupPr>
            <m:ctrlPr>
              <w:rPr>
                <w:rFonts w:ascii="Cambria Math" w:hAnsi="Cambria Math" w:cs="Times New Roman"/>
                <w:b/>
                <w:i/>
                <w:sz w:val="24"/>
                <w:szCs w:val="24"/>
              </w:rPr>
            </m:ctrlPr>
          </m:sSupPr>
          <m:e>
            <m:r>
              <m:rPr>
                <m:sty m:val="bi"/>
              </m:rPr>
              <w:rPr>
                <w:rFonts w:ascii="Cambria Math" w:hAnsi="Cambria Math" w:cs="Times New Roman"/>
                <w:sz w:val="24"/>
                <w:szCs w:val="24"/>
              </w:rPr>
              <m:t xml:space="preserve">(φ -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φ</m:t>
                </m:r>
              </m:e>
              <m:sub>
                <m:r>
                  <m:rPr>
                    <m:sty m:val="bi"/>
                  </m:rPr>
                  <w:rPr>
                    <w:rFonts w:ascii="Cambria Math" w:hAnsi="Cambria Math" w:cs="Times New Roman"/>
                    <w:sz w:val="24"/>
                    <w:szCs w:val="24"/>
                  </w:rPr>
                  <m:t>c</m:t>
                </m:r>
              </m:sub>
            </m:sSub>
            <m:r>
              <m:rPr>
                <m:sty m:val="bi"/>
              </m:rPr>
              <w:rPr>
                <w:rFonts w:ascii="Cambria Math" w:hAnsi="Cambria Math" w:cs="Times New Roman"/>
                <w:sz w:val="24"/>
                <w:szCs w:val="24"/>
              </w:rPr>
              <m:t>)</m:t>
            </m:r>
          </m:e>
          <m:sup>
            <m:r>
              <m:rPr>
                <m:sty m:val="bi"/>
              </m:rPr>
              <w:rPr>
                <w:rFonts w:ascii="Cambria Math" w:hAnsi="Cambria Math" w:cs="Times New Roman"/>
                <w:sz w:val="24"/>
                <w:szCs w:val="24"/>
              </w:rPr>
              <m:t>t</m:t>
            </m:r>
          </m:sup>
        </m:sSup>
      </m:oMath>
      <w:r w:rsidR="003C6953" w:rsidRPr="00DE39C0">
        <w:rPr>
          <w:rFonts w:ascii="Times New Roman" w:hAnsi="Times New Roman" w:cs="Times New Roman"/>
          <w:b/>
          <w:sz w:val="24"/>
          <w:szCs w:val="24"/>
        </w:rPr>
        <w:t xml:space="preserve"> </w:t>
      </w:r>
      <w:r w:rsidR="003C6953">
        <w:rPr>
          <w:rFonts w:ascii="Times New Roman" w:hAnsi="Times New Roman" w:cs="Times New Roman"/>
          <w:b/>
          <w:sz w:val="24"/>
          <w:szCs w:val="24"/>
        </w:rPr>
        <w:t xml:space="preserve">            </w:t>
      </w:r>
      <w:r w:rsidR="003C6953" w:rsidRPr="00DE39C0">
        <w:rPr>
          <w:rFonts w:ascii="Times New Roman" w:hAnsi="Times New Roman" w:cs="Times New Roman"/>
          <w:b/>
          <w:sz w:val="24"/>
          <w:szCs w:val="24"/>
        </w:rPr>
        <w:t xml:space="preserve"> (</w:t>
      </w:r>
      <w:r w:rsidR="008A66C3">
        <w:rPr>
          <w:rFonts w:ascii="Times New Roman" w:hAnsi="Times New Roman" w:cs="Times New Roman"/>
          <w:b/>
          <w:sz w:val="24"/>
          <w:szCs w:val="24"/>
        </w:rPr>
        <w:t>2.</w:t>
      </w:r>
      <w:r w:rsidR="003C6953" w:rsidRPr="00DE39C0">
        <w:rPr>
          <w:rFonts w:ascii="Times New Roman" w:hAnsi="Times New Roman" w:cs="Times New Roman"/>
          <w:b/>
          <w:sz w:val="24"/>
          <w:szCs w:val="24"/>
        </w:rPr>
        <w:t>1)</w:t>
      </w:r>
    </w:p>
    <w:p w14:paraId="01C0DEB2" w14:textId="77777777" w:rsidR="003C6953" w:rsidRDefault="003C6953" w:rsidP="003C6953">
      <w:pPr>
        <w:spacing w:after="0" w:line="480" w:lineRule="auto"/>
        <w:rPr>
          <w:rFonts w:ascii="Times New Roman" w:hAnsi="Times New Roman" w:cs="Times New Roman"/>
          <w:sz w:val="24"/>
          <w:szCs w:val="24"/>
        </w:rPr>
      </w:pPr>
      <w:r w:rsidRPr="00DE39C0">
        <w:rPr>
          <w:rFonts w:ascii="Times New Roman" w:hAnsi="Times New Roman" w:cs="Times New Roman"/>
          <w:sz w:val="24"/>
          <w:szCs w:val="24"/>
        </w:rPr>
        <w:t xml:space="preserve">Where </w:t>
      </w:r>
      <m:oMath>
        <m:sSub>
          <m:sSubPr>
            <m:ctrlPr>
              <w:rPr>
                <w:rFonts w:ascii="Cambria Math" w:hAnsi="Cambria Math" w:cs="Times New Roman"/>
                <w:sz w:val="24"/>
                <w:szCs w:val="24"/>
              </w:rPr>
            </m:ctrlPr>
          </m:sSubPr>
          <m:e>
            <m:r>
              <w:rPr>
                <w:rFonts w:ascii="Cambria Math" w:hAnsi="Cambria Math" w:cs="Times New Roman"/>
                <w:sz w:val="24"/>
                <w:szCs w:val="24"/>
              </w:rPr>
              <m:t>σ</m:t>
            </m:r>
          </m:e>
          <m:sub>
            <m:r>
              <w:rPr>
                <w:rFonts w:ascii="Cambria Math" w:hAnsi="Cambria Math" w:cs="Times New Roman"/>
                <w:sz w:val="24"/>
                <w:szCs w:val="24"/>
              </w:rPr>
              <m:t xml:space="preserve">c  </m:t>
            </m:r>
          </m:sub>
        </m:sSub>
      </m:oMath>
      <w:r w:rsidRPr="00DE39C0">
        <w:rPr>
          <w:rFonts w:ascii="Times New Roman" w:hAnsi="Times New Roman" w:cs="Times New Roman"/>
          <w:sz w:val="24"/>
          <w:szCs w:val="24"/>
        </w:rPr>
        <w:t xml:space="preserve">is the electrical conductivity of composite, </w:t>
      </w:r>
      <m:oMath>
        <m:sSub>
          <m:sSubPr>
            <m:ctrlPr>
              <w:rPr>
                <w:rFonts w:ascii="Cambria Math" w:hAnsi="Cambria Math" w:cs="Times New Roman"/>
                <w:i/>
                <w:sz w:val="24"/>
                <w:szCs w:val="24"/>
              </w:rPr>
            </m:ctrlPr>
          </m:sSubPr>
          <m:e>
            <m:r>
              <w:rPr>
                <w:rFonts w:ascii="Cambria Math" w:hAnsi="Cambria Math" w:cs="Times New Roman"/>
                <w:sz w:val="24"/>
                <w:szCs w:val="24"/>
              </w:rPr>
              <m:t>σ</m:t>
            </m:r>
          </m:e>
          <m:sub>
            <m:r>
              <w:rPr>
                <w:rFonts w:ascii="Cambria Math" w:hAnsi="Cambria Math" w:cs="Times New Roman"/>
                <w:sz w:val="24"/>
                <w:szCs w:val="24"/>
              </w:rPr>
              <m:t xml:space="preserve">f  </m:t>
            </m:r>
          </m:sub>
        </m:sSub>
      </m:oMath>
      <w:r w:rsidRPr="00DE39C0">
        <w:rPr>
          <w:rFonts w:ascii="Times New Roman" w:hAnsi="Times New Roman" w:cs="Times New Roman"/>
          <w:sz w:val="24"/>
          <w:szCs w:val="24"/>
        </w:rPr>
        <w:t xml:space="preserve">is the conductivity of filler, </w:t>
      </w:r>
      <m:oMath>
        <m:r>
          <w:rPr>
            <w:rFonts w:ascii="Cambria Math" w:hAnsi="Cambria Math" w:cs="Times New Roman"/>
            <w:sz w:val="24"/>
            <w:szCs w:val="24"/>
          </w:rPr>
          <m:t>φ</m:t>
        </m:r>
      </m:oMath>
      <w:r w:rsidRPr="00DE39C0">
        <w:rPr>
          <w:rFonts w:ascii="Times New Roman" w:hAnsi="Times New Roman" w:cs="Times New Roman"/>
          <w:sz w:val="24"/>
          <w:szCs w:val="24"/>
        </w:rPr>
        <w:t xml:space="preserve"> is filler volume, </w:t>
      </w:r>
      <m:oMath>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c</m:t>
            </m:r>
          </m:sub>
        </m:sSub>
      </m:oMath>
      <w:r w:rsidRPr="00DE39C0">
        <w:rPr>
          <w:rFonts w:ascii="Times New Roman" w:hAnsi="Times New Roman" w:cs="Times New Roman"/>
          <w:sz w:val="24"/>
          <w:szCs w:val="24"/>
        </w:rPr>
        <w:t xml:space="preserve"> is the percolation threshold</w:t>
      </w:r>
      <w:r>
        <w:rPr>
          <w:rFonts w:ascii="Times New Roman" w:hAnsi="Times New Roman" w:cs="Times New Roman"/>
          <w:sz w:val="24"/>
          <w:szCs w:val="24"/>
        </w:rPr>
        <w:t xml:space="preserve">. </w:t>
      </w:r>
    </w:p>
    <w:p w14:paraId="5F2BF787" w14:textId="77777777" w:rsidR="003C6953" w:rsidRPr="00DE39C0" w:rsidRDefault="003C6953" w:rsidP="003C6953">
      <w:pPr>
        <w:spacing w:after="0" w:line="480" w:lineRule="auto"/>
        <w:rPr>
          <w:rFonts w:ascii="Times New Roman" w:hAnsi="Times New Roman" w:cs="Times New Roman"/>
          <w:sz w:val="24"/>
          <w:szCs w:val="24"/>
        </w:rPr>
      </w:pPr>
    </w:p>
    <w:p w14:paraId="34C3DDF9" w14:textId="749C9D5D" w:rsidR="003C6953" w:rsidRDefault="00165B0C" w:rsidP="003C6953">
      <w:pPr>
        <w:pStyle w:val="Heading3"/>
        <w:spacing w:before="0"/>
        <w:rPr>
          <w:rFonts w:cs="Times New Roman"/>
        </w:rPr>
      </w:pPr>
      <w:bookmarkStart w:id="45" w:name="_Toc518823242"/>
      <w:r>
        <w:t>2.</w:t>
      </w:r>
      <w:r w:rsidR="003C6953">
        <w:t xml:space="preserve">5.2.4. Glass transition temperature </w:t>
      </w:r>
      <w:r w:rsidR="003C6953">
        <w:rPr>
          <w:rFonts w:cs="Times New Roman"/>
        </w:rPr>
        <w:t>(</w:t>
      </w:r>
      <w:r w:rsidR="003C6953" w:rsidRPr="0065170F">
        <w:rPr>
          <w:rFonts w:cs="Times New Roman"/>
          <w:i/>
        </w:rPr>
        <w:t>T</w:t>
      </w:r>
      <w:r w:rsidR="003C6953" w:rsidRPr="0065170F">
        <w:rPr>
          <w:rFonts w:cs="Times New Roman"/>
          <w:i/>
          <w:vertAlign w:val="subscript"/>
        </w:rPr>
        <w:t>g</w:t>
      </w:r>
      <w:r w:rsidR="003C6953">
        <w:rPr>
          <w:rFonts w:cs="Times New Roman"/>
        </w:rPr>
        <w:t>)</w:t>
      </w:r>
      <w:bookmarkEnd w:id="45"/>
    </w:p>
    <w:p w14:paraId="59276176" w14:textId="5227B09B"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Glass transition temperature is a temperature range in which the glass transition happens. It is reported that the incorporation of graphitic fillers can change </w:t>
      </w:r>
      <w:r w:rsidRPr="0065170F">
        <w:rPr>
          <w:rFonts w:ascii="Times New Roman" w:hAnsi="Times New Roman" w:cs="Times New Roman"/>
          <w:i/>
          <w:sz w:val="24"/>
          <w:szCs w:val="24"/>
        </w:rPr>
        <w:t>T</w:t>
      </w:r>
      <w:r w:rsidRPr="0065170F">
        <w:rPr>
          <w:rFonts w:ascii="Times New Roman" w:hAnsi="Times New Roman" w:cs="Times New Roman"/>
          <w:i/>
          <w:sz w:val="24"/>
          <w:szCs w:val="24"/>
          <w:vertAlign w:val="subscript"/>
        </w:rPr>
        <w:t>g</w:t>
      </w:r>
      <w:r>
        <w:rPr>
          <w:rFonts w:ascii="Times New Roman" w:hAnsi="Times New Roman" w:cs="Times New Roman"/>
          <w:sz w:val="24"/>
          <w:szCs w:val="24"/>
        </w:rPr>
        <w:t xml:space="preserve">. Fundamentally, the interface between fillers and polymeric matrix can restrict the mobility of polymer chains at low graphitic filler content. However, some aggregations happens as an increased filler content, resulting in some free interfaces. Therefore, the ability to constrain the mobility of polymer chains are reduced, resulting in reduced </w:t>
      </w:r>
      <w:r w:rsidRPr="00966CFD">
        <w:rPr>
          <w:rFonts w:ascii="Times New Roman" w:hAnsi="Times New Roman" w:cs="Times New Roman"/>
          <w:i/>
          <w:sz w:val="24"/>
          <w:szCs w:val="24"/>
        </w:rPr>
        <w:t>T</w:t>
      </w:r>
      <w:r w:rsidRPr="00966CFD">
        <w:rPr>
          <w:rFonts w:ascii="Times New Roman" w:hAnsi="Times New Roman" w:cs="Times New Roman"/>
          <w:i/>
          <w:sz w:val="24"/>
          <w:szCs w:val="24"/>
          <w:vertAlign w:val="subscript"/>
        </w:rPr>
        <w:t>g</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"10.1038/nmat1870", "ISBN" : "1476-1122", "ISSN" : "14764660", "PMID" : "17369831", "abstract" : "Owing to the improvement of properties including conductivity, toughness and permeability, polymer nanocomposites are slated for applications ranging from membranes to fuel cells. The enhancement of polymer properties by the addition of inorganic nanoparticles is a complex function of interfacial interactions, interfacial area and the distribution of inter-nanofiller distances. The latter two factors depend on nanofiller dispersion, making it difficult to develop a fundamental understanding of their effects on nanocomposite properties. Here, we design model poly(methyl methacrylate)-silica and poly(2-vinyl pyridine)-silica nanocomposites consisting of polymer films confined between silica slides. We compare the dependence of the glass-transition temperature (Tg) and physical ageing on the interlayer distance in model nanocomposites with the dependence of silica nanoparticle content in real nanocomposites. We show that model nanocomposites provide a simple way to gain insight into the effect of interparticle spacing on Tg and to predict the approximate ageing response of real nanocomposites.", "author" : [ { "dropping-particle" : "", "family" : "Rittigstein", "given" : "Perla", "non-dropping-particle" : "", "parse-names" : false, "suffix" : "" }, { "dropping-particle" : "", "family" : "Priestley", "given" : "Rodney D.", "non-dropping-particle" : "", "parse-names" : false, "suffix" : "" }, { "dropping-particle" : "", "family" : "Broadbelt", "given" : "Linda J.", "non-dropping-particle" : "", "parse-names" : false, "suffix" : "" }, { "dropping-particle" : "", "family" : "Torkelson", "given" : "John M.", "non-dropping-particle" : "", "parse-names" : false, "suffix" : "" } ], "container-title" : "Nature Materials", "id" : "ITEM-1", "issue" : "4", "issued" : { "date-parts" : [ [ "2007" ] ] }, "page" : "278-282", "title" : "Model polymer nanocomposites provide an understanding of confinement effects in real nanocomposites", "type" : "article-journal", "volume" : "6" }, "uris" : [ "http://www.mendeley.com/documents/?uuid=2f4363c4-2e0c-470a-a335-c646d57523d7" ] } ], "mendeley" : { "formattedCitation" : "[105]", "plainTextFormattedCitation" : "[105]", "previouslyFormattedCitation" : "[105]"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[105]</w:t>
      </w:r>
      <w:r>
        <w:rPr>
          <w:rFonts w:ascii="Times New Roman" w:hAnsi="Times New Roman" w:cs="Times New Roman"/>
          <w:sz w:val="24"/>
          <w:szCs w:val="24"/>
        </w:rPr>
        <w:fldChar w:fldCharType="end"/>
      </w:r>
      <w:r>
        <w:rPr>
          <w:rFonts w:ascii="Times New Roman" w:hAnsi="Times New Roman" w:cs="Times New Roman"/>
          <w:sz w:val="24"/>
          <w:szCs w:val="24"/>
        </w:rPr>
        <w:t xml:space="preserve">. Moreover, the strength at the interfaces is another factor to affect </w:t>
      </w:r>
      <w:r w:rsidRPr="0005198C">
        <w:rPr>
          <w:rFonts w:ascii="Times New Roman" w:hAnsi="Times New Roman" w:cs="Times New Roman"/>
          <w:i/>
          <w:sz w:val="24"/>
          <w:szCs w:val="24"/>
        </w:rPr>
        <w:t>T</w:t>
      </w:r>
      <w:r w:rsidRPr="0005198C">
        <w:rPr>
          <w:rFonts w:ascii="Times New Roman" w:hAnsi="Times New Roman" w:cs="Times New Roman"/>
          <w:i/>
          <w:sz w:val="24"/>
          <w:szCs w:val="24"/>
          <w:vertAlign w:val="subscript"/>
        </w:rPr>
        <w:t>g</w:t>
      </w:r>
      <w:r>
        <w:rPr>
          <w:rFonts w:ascii="Times New Roman" w:hAnsi="Times New Roman" w:cs="Times New Roman"/>
          <w:sz w:val="24"/>
          <w:szCs w:val="24"/>
        </w:rPr>
        <w:t xml:space="preserve">. A strong strength at interfaces like chemical and covalent bonding between graphitic fillers is beneficial to </w:t>
      </w:r>
      <w:r w:rsidRPr="0005198C">
        <w:rPr>
          <w:rFonts w:ascii="Times New Roman" w:hAnsi="Times New Roman" w:cs="Times New Roman"/>
          <w:i/>
          <w:sz w:val="24"/>
          <w:szCs w:val="24"/>
        </w:rPr>
        <w:t>T</w:t>
      </w:r>
      <w:r w:rsidRPr="0005198C">
        <w:rPr>
          <w:rFonts w:ascii="Times New Roman" w:hAnsi="Times New Roman" w:cs="Times New Roman"/>
          <w:i/>
          <w:sz w:val="24"/>
          <w:szCs w:val="24"/>
          <w:vertAlign w:val="subscript"/>
        </w:rPr>
        <w:t>g</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"10.1016/j.compscitech.2008.11.022", "ISBN" : "0266-3538", "ISSN" : "02663538", "abstract" : "Experimental data suggests that well dispersed nanoparticles within a polymer matrix induce a significant interphase zone of altered polymer mobility surrounding each nanoparticle, which can lead to a percolating interphase network inside of the composite. To investigate this concept and the nature of the interphase, a two-dimensional finite element model is developed to study the impact of interphase zones on the overall properties of the composite. Thirty non-overlapping identical circular inclusions are randomly distributed in the matrix with layers of interphase surrounding the inclusions. The simulation results clearly show that the loss moduli of composites are either broadened or shifted corresponding to the absence or presence of a geometrically percolating interphase network. Our numerical study correlates well with experimental data showing broadening of loss peaks for unfunctionalized composites and a large shift of the loss modulus for functionalized nanotube polymer composites. Further, our results indicate the existence of a gradient in properties of the interphase layer and that incorporating this gradient into modeling is critical to reflect the behavior of polymer nanocomposites. \u00a9 2008 Elsevier Ltd.", "author" : [ { "dropping-particle" : "", "family" : "Qiao", "given" : "Rui", "non-dropping-particle" : "", "parse-names" : false, "suffix" : "" }, { "dropping-particle" : "", "family" : "Catherine Brinson", "given" : "L.", "non-dropping-particle" : "", "parse-names" : false, "suffix" : "" } ], "container-title" : "Composites Science and Technology", "id" : "ITEM-1", "issue" : "3-4", "issued" : { "date-parts" : [ [ "2009" ] ] }, "page" : "491-499", "publisher" : "Elsevier Ltd", "title" : "Simulation of interphase percolation and gradients in polymer nanocomposites", "type" : "article-journal", "volume" : "69" }, "uris" : [ "http://www.mendeley.com/documents/?uuid=2f4c92fb-bd1b-4a1e-96bd-ec5feef885ad" ] }, { "id" : "ITEM-2", "itemData" : { "DOI" : "10.1038/nmat1870", "ISBN" : "1476-1122", "ISSN" : "14764660", "PMID" : "17369831", "abstract" : "Owing to the improvement of properties including conductivity, toughness and permeability, polymer nanocomposites are slated for applications ranging from membranes to fuel cells. The enhancement of polymer properties by the addition of inorganic nanoparticles is a complex function of interfacial interactions, interfacial area and the distribution of inter-nanofiller distances. The latter two factors depend on nanofiller dispersion, making it difficult to develop a fundamental understanding of their effects on nanocomposite properties. Here, we design model poly(methyl methacrylate)-silica and poly(2-vinyl pyridine)-silica nanocomposites consisting of polymer films confined between silica slides. We compare the dependence of the glass-transition temperature (Tg) and physical ageing on the interlayer distance in model nanocomposites with the dependence of silica nanoparticle content in real nanocomposites. We show that model nanocomposites provide a simple way to gain insight into the effect of interparticle spacing on Tg and to predict the approximate ageing response of real nanocomposites.", "author" : [ { "dropping-particle" : "", "family" : "Rittigstein", "given" : "Perla", "non-dropping-particle" : "", "parse-names" : false, "suffix" : "" }, { "dropping-particle" : "", "family" : "Priestley", "given" : "Rodney D.", "non-dropping-particle" : "", "parse-names" : false, "suffix" : "" }, { "dropping-particle" : "", "family" : "Broadbelt", "given" : "Linda J.", "non-dropping-particle" : "", "parse-names" : false, "suffix" : "" }, { "dropping-particle" : "", "family" : "Torkelson", "given" : "John M.", "non-dropping-particle" : "", "parse-names" : false, "suffix" : "" } ], "container-title" : "Nature Materials", "id" : "ITEM-2", "issue" : "4", "issued" : { "date-parts" : [ [ "2007" ] ] }, "page" : "278-282", "title" : "Model polymer nanocomposites provide an understanding of confinement effects in real nanocomposites", "type" : "article-journal", "volume" : "6" }, "uris" : [ "http://www.mendeley.com/documents/?uuid=2f4363c4-2e0c-470a-a335-c646d57523d7" ] } ], "mendeley" : { "formattedCitation" : "[105,106]", "plainTextFormattedCitation" : "[105,106]", "previouslyFormattedCitation" : "[105,106]"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[105,106]</w:t>
      </w:r>
      <w:r>
        <w:rPr>
          <w:rFonts w:ascii="Times New Roman" w:hAnsi="Times New Roman" w:cs="Times New Roman"/>
          <w:sz w:val="24"/>
          <w:szCs w:val="24"/>
        </w:rPr>
        <w:fldChar w:fldCharType="end"/>
      </w:r>
      <w:r>
        <w:rPr>
          <w:rFonts w:ascii="Times New Roman" w:hAnsi="Times New Roman" w:cs="Times New Roman"/>
          <w:sz w:val="24"/>
          <w:szCs w:val="24"/>
        </w:rPr>
        <w:t>.</w:t>
      </w:r>
    </w:p>
    <w:p w14:paraId="56D2DB0F" w14:textId="77777777" w:rsidR="003C6953" w:rsidRPr="00210D5C" w:rsidRDefault="003C6953" w:rsidP="003C6953">
      <w:pPr>
        <w:spacing w:after="0" w:line="480" w:lineRule="auto"/>
        <w:jc w:val="both"/>
        <w:rPr>
          <w:rFonts w:ascii="Times New Roman" w:hAnsi="Times New Roman" w:cs="Times New Roman"/>
          <w:sz w:val="24"/>
          <w:szCs w:val="24"/>
        </w:rPr>
      </w:pPr>
    </w:p>
    <w:p w14:paraId="722ABD91" w14:textId="14C82063" w:rsidR="003C6953" w:rsidRPr="00AC5392" w:rsidRDefault="00165B0C" w:rsidP="003C6953">
      <w:pPr>
        <w:pStyle w:val="Heading3"/>
        <w:spacing w:before="0"/>
      </w:pPr>
      <w:bookmarkStart w:id="46" w:name="_Toc518823243"/>
      <w:r>
        <w:t>2.</w:t>
      </w:r>
      <w:r w:rsidR="003C6953">
        <w:t>5.2.5. Morphology of polymer/graphene nanocomposites</w:t>
      </w:r>
      <w:bookmarkEnd w:id="46"/>
    </w:p>
    <w:p w14:paraId="6CB74BD3" w14:textId="77777777" w:rsidR="003C6953" w:rsidRDefault="003C6953" w:rsidP="003C6953">
      <w:pPr>
        <w:spacing w:after="0" w:line="480" w:lineRule="auto"/>
        <w:jc w:val="both"/>
        <w:rPr>
          <w:rFonts w:ascii="Times New Roman" w:hAnsi="Times New Roman" w:cs="Times New Roman"/>
          <w:color w:val="222222"/>
          <w:sz w:val="24"/>
          <w:szCs w:val="24"/>
          <w:shd w:val="clear" w:color="auto" w:fill="FFFFFF"/>
        </w:rPr>
      </w:pPr>
      <w:r>
        <w:t xml:space="preserve"> </w:t>
      </w:r>
      <w:r>
        <w:rPr>
          <w:rFonts w:ascii="Times New Roman" w:hAnsi="Times New Roman" w:cs="Times New Roman"/>
          <w:sz w:val="24"/>
          <w:szCs w:val="24"/>
        </w:rPr>
        <w:t xml:space="preserve">The enhancement on the properties of polymer nanocomposites, such as mechanical properties, thermal stability, thermal conductivity, and glass transition temperature, etc. strongly depends on the microstructure of nanocomposites. Effective characterization of polymer composites plays an important role on the relationship between structure and properties. </w:t>
      </w:r>
      <w:r w:rsidRPr="00C536B1">
        <w:rPr>
          <w:rFonts w:ascii="Times New Roman" w:hAnsi="Times New Roman" w:cs="Times New Roman"/>
          <w:sz w:val="24"/>
          <w:szCs w:val="24"/>
        </w:rPr>
        <w:t>Scanning Electron Microscopy (SEM)</w:t>
      </w:r>
      <w:r>
        <w:rPr>
          <w:rFonts w:ascii="Times New Roman" w:hAnsi="Times New Roman" w:cs="Times New Roman"/>
          <w:sz w:val="24"/>
          <w:szCs w:val="24"/>
        </w:rPr>
        <w:t xml:space="preserve"> and </w:t>
      </w:r>
      <w:r w:rsidRPr="00576CF9">
        <w:rPr>
          <w:rFonts w:ascii="Times New Roman" w:hAnsi="Times New Roman" w:cs="Times New Roman"/>
          <w:color w:val="222222"/>
          <w:sz w:val="24"/>
          <w:szCs w:val="24"/>
          <w:shd w:val="clear" w:color="auto" w:fill="FFFFFF"/>
        </w:rPr>
        <w:t xml:space="preserve">Transmission electron microscopy (TEM) </w:t>
      </w:r>
      <w:r>
        <w:rPr>
          <w:rFonts w:ascii="Times New Roman" w:hAnsi="Times New Roman" w:cs="Times New Roman"/>
          <w:color w:val="222222"/>
          <w:sz w:val="24"/>
          <w:szCs w:val="24"/>
          <w:shd w:val="clear" w:color="auto" w:fill="FFFFFF"/>
        </w:rPr>
        <w:t xml:space="preserve">are most common techniques for investigation of dispersion of nanofillers and the microstructure of graphene-based polymer nanocomposites. </w:t>
      </w:r>
    </w:p>
    <w:p w14:paraId="4EE4CA13" w14:textId="53B7F9EA"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color w:val="222222"/>
          <w:sz w:val="24"/>
          <w:szCs w:val="24"/>
          <w:shd w:val="clear" w:color="auto" w:fill="FFFFFF"/>
        </w:rPr>
        <w:t xml:space="preserve">A </w:t>
      </w:r>
      <w:r w:rsidRPr="00CC16A7">
        <w:rPr>
          <w:rFonts w:ascii="Times New Roman" w:hAnsi="Times New Roman" w:cs="Times New Roman"/>
          <w:color w:val="222222"/>
          <w:sz w:val="24"/>
          <w:szCs w:val="24"/>
          <w:shd w:val="clear" w:color="auto" w:fill="FFFFFF"/>
        </w:rPr>
        <w:t>scanning electron microscope (SEM</w:t>
      </w:r>
      <w:r>
        <w:rPr>
          <w:rFonts w:ascii="Times New Roman" w:hAnsi="Times New Roman" w:cs="Times New Roman"/>
          <w:color w:val="222222"/>
          <w:sz w:val="24"/>
          <w:szCs w:val="24"/>
          <w:shd w:val="clear" w:color="auto" w:fill="FFFFFF"/>
        </w:rPr>
        <w:t xml:space="preserve">) is a type of electron microscope that produce images of a sample by scanning the surface with a beam of electrons. The electrons react with atoms of sample, producing various signals that contains the information about the surface topography and composition of the sample. Normally, SEM provides images with </w:t>
      </w:r>
      <w:r w:rsidRPr="00CE548B">
        <w:rPr>
          <w:rFonts w:ascii="Times New Roman" w:hAnsi="Times New Roman" w:cs="Times New Roman"/>
          <w:sz w:val="24"/>
          <w:szCs w:val="24"/>
        </w:rPr>
        <w:t>magnificati</w:t>
      </w:r>
      <w:r>
        <w:rPr>
          <w:rFonts w:ascii="Times New Roman" w:hAnsi="Times New Roman" w:cs="Times New Roman"/>
          <w:sz w:val="24"/>
          <w:szCs w:val="24"/>
        </w:rPr>
        <w:t>ons up to ~X50,000 allowing sub</w:t>
      </w:r>
      <w:r w:rsidRPr="00CE548B">
        <w:rPr>
          <w:rFonts w:ascii="Times New Roman" w:hAnsi="Times New Roman" w:cs="Times New Roman"/>
          <w:sz w:val="24"/>
          <w:szCs w:val="24"/>
        </w:rPr>
        <w:t>micron-scale features to be seen i.e. well beyond the range of optical microscopes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"author" : [ { "dropping-particle" : "", "family" : "Stokes", "given" : "Debbie J", "non-dropping-particle" : "", "parse-names" : false, "suffix" : "" } ], "editor" : [ { "dropping-particle" : "", "family" : "Rainforth", "given" : "Mark", "non-dropping-particle" : "", "parse-names" : false, "suffix" : "" } ], "id" : "ITEM-1", "issued" : { "date-parts" : [ [ "0" ] ] }, "publisher" : "John Wiley &amp; Sons", "title" : "Principles and Practice of Variable Pressure Environmental Scanning Electron Microscopy", "type" : "book" }, "uris" : [ "http://www.mendeley.com/documents/?uuid=005be6c9-d212-4697-b062-b3796437a6cb" ] } ], "mendeley" : { "formattedCitation" : "[107]", "plainTextFormattedCitation" : "[107]", "previouslyFormattedCitation" : "[107]"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[107]</w:t>
      </w:r>
      <w:r>
        <w:rPr>
          <w:rFonts w:ascii="Times New Roman" w:hAnsi="Times New Roman" w:cs="Times New Roman"/>
          <w:sz w:val="24"/>
          <w:szCs w:val="24"/>
        </w:rPr>
        <w:fldChar w:fldCharType="end"/>
      </w:r>
      <w:r w:rsidRPr="00CE548B">
        <w:rPr>
          <w:rFonts w:ascii="Times New Roman" w:hAnsi="Times New Roman" w:cs="Times New Roman"/>
          <w:sz w:val="24"/>
          <w:szCs w:val="24"/>
        </w:rPr>
        <w:t>.</w:t>
      </w:r>
      <w:r>
        <w:rPr>
          <w:rFonts w:ascii="Times New Roman" w:hAnsi="Times New Roman" w:cs="Times New Roman"/>
          <w:sz w:val="24"/>
          <w:szCs w:val="24"/>
        </w:rPr>
        <w:t xml:space="preserve"> SEM plays a vital role for assessing the morphology of composites and the microstructure-properties correlation. However, the dimension of nanofillers is only few orders magnitude below the wavelength of electron beam. Thus, it is not a good technique to assess the detailed morphologic property of nanocomposites </w:t>
      </w:r>
      <w:r>
        <w:rPr>
          <w:rFonts w:ascii="Times New Roman" w:hAnsi="Times New Roman" w:cs="Times New Roman"/>
          <w:sz w:val="24"/>
          <w:szCs w:val="24"/>
        </w:rPr>
        <w:fldChar w:fldCharType="begin" w:fldLock="1"/>
      </w:r>
      <w:r w:rsidR="00D973A8">
        <w:rPr>
          <w:rFonts w:ascii="Times New Roman" w:hAnsi="Times New Roman" w:cs="Times New Roman"/>
          <w:sz w:val="24"/>
          <w:szCs w:val="24"/>
        </w:rPr>
        <w:instrText>ADDIN CSL_CITATION { "citationItems" : [ { "id" : "ITEM-1", "itemData" : { "DOI" : "10.1080/15583720903048094", "ISBN" : "1558-3724 %[ January 28, 2010", "ISSN" : "15583724", "abstract" : "Electron microscopy (EM), complemented by other techniques, has played a very important role in the elucidation of morphology and structure-property correlations of polymers including homopolymers, copolymers, blends, and composite materials. When employed vigilantly by an experienced microscopist with proper care during sample preparation, electron microscopy most reliably characterizes every detail concerned with the morphology of polymers on various length scales. EM identifies the structure and properties of specific locations of polymers and the information is not restricted to the average values. &lt;br /&gt;&lt;br /&gt;The significance of the EM in nanocomposites science and technology arises principally from two causes. First, electron microscopic information is much more detailed than that from other sources. Using electron microscopy, information of the morphology of polymer matrix as well as of the filler and the adhesion between them can be simultaneously assessed with nanometer resolution. Second, electron microscopy allows studying the response of all the structural details of the composite towards applied load (sometimes even in situ) enabling the design of tailored materials. Electron microscopy is the only technique which provides very direct evidence of intercalation and exfoliation of the filler in the polymer matrix allowing straightforward quantification of morphological features of the polymer nanocomposites. &lt;br /&gt;&lt;br /&gt;This paper aims at highlighting the importance of different microscopic techniques in the study of the structure and properties of polymer nanocomposites (PNCs) with special reference to electron microscopy and scanning force microscopy as nanoanalytical tools. It will be shown that the selection of specific microscopy technique and preparation methods is crucial for the artifacts free imaging of the PNCs. The choice of the microscopic technique depends basically on the class of composite materials at hand. Besides the discussion of classical nanocomposites based on inorganic fillers, a brief account of polymer-polymer composites and bionanocomposites will be presented.", "author" : [ { "dropping-particle" : "", "family" : "Adhikari", "given" : "Rameshwar", "non-dropping-particle" : "", "parse-names" : false, "suffix" : "" }, { "dropping-particle" : "", "family" : "Michler", "given" : "Goerg H.", "non-dropping-particle" : "", "parse-names" : false, "suffix" : "" } ], "container-title" : "Polymer Reviews", "id" : "ITEM-1", "issue" : "3", "issued" : { "date-parts" : [ [ "2009" ] ] }, "page" : "141-180", "title" : "Polymer nanocomposites characterization by microscopy", "type" : "article-journal", "volume" : "49" }, "uris" : [ "http://www.mendeley.com/documents/?uuid=4e42f8a7-cca4-43d5-8e7c-1ee55f94093a" ] } ], "mendeley" : { "formattedCitation" : "[108]", "plainTextFormattedCitation" : "[108]", "previouslyFormattedCitation" : "[108]" }, "properties" : {  }, "schema" : "https://github.com/citation-style-language/schema/raw/master/csl-citation.json" }</w:instrText>
      </w:r>
      <w:r>
        <w:rPr>
          <w:rFonts w:ascii="Times New Roman" w:hAnsi="Times New Roman" w:cs="Times New Roman"/>
          <w:sz w:val="24"/>
          <w:szCs w:val="24"/>
        </w:rPr>
        <w:fldChar w:fldCharType="separate"/>
      </w:r>
      <w:r w:rsidRPr="0080714B">
        <w:rPr>
          <w:rFonts w:ascii="Times New Roman" w:hAnsi="Times New Roman" w:cs="Times New Roman"/>
          <w:noProof/>
          <w:sz w:val="24"/>
          <w:szCs w:val="24"/>
        </w:rPr>
        <w:t>[108]</w:t>
      </w:r>
      <w:r>
        <w:rPr>
          <w:rFonts w:ascii="Times New Roman" w:hAnsi="Times New Roman" w:cs="Times New Roman"/>
          <w:sz w:val="24"/>
          <w:szCs w:val="24"/>
        </w:rPr>
        <w:fldChar w:fldCharType="end"/>
      </w:r>
      <w:r>
        <w:rPr>
          <w:rFonts w:ascii="Times New Roman" w:hAnsi="Times New Roman" w:cs="Times New Roman"/>
          <w:sz w:val="24"/>
          <w:szCs w:val="24"/>
        </w:rPr>
        <w:t>.</w:t>
      </w:r>
    </w:p>
    <w:p w14:paraId="3A290E73" w14:textId="7CD422EC" w:rsidR="003C6953" w:rsidRPr="00576CF9"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TEM is a microscopy technique in which an electron beam is transmitted through a specimen to form an image. Owing to its significant higher resolution over SEM, TEM is an important method to investigate composites at nanoscale.  The techniques used to process graphene-based polymer nanocomposites can affect the microstructure of polymers and the orientation of graphitic fillers. Figure 2.11 shows the morphological differences in </w:t>
      </w:r>
      <w:r w:rsidRPr="002639D4">
        <w:rPr>
          <w:rFonts w:ascii="Times New Roman" w:hAnsi="Times New Roman" w:cs="Times New Roman"/>
          <w:color w:val="222222"/>
          <w:sz w:val="24"/>
          <w:szCs w:val="24"/>
          <w:shd w:val="clear" w:color="auto" w:fill="FFFFFF"/>
        </w:rPr>
        <w:t>pol</w:t>
      </w:r>
      <w:r>
        <w:rPr>
          <w:rFonts w:ascii="Times New Roman" w:hAnsi="Times New Roman" w:cs="Times New Roman"/>
          <w:color w:val="222222"/>
          <w:sz w:val="24"/>
          <w:szCs w:val="24"/>
          <w:shd w:val="clear" w:color="auto" w:fill="FFFFFF"/>
        </w:rPr>
        <w:t xml:space="preserve"> </w:t>
      </w:r>
      <w:r w:rsidRPr="002639D4">
        <w:rPr>
          <w:rFonts w:ascii="Times New Roman" w:hAnsi="Times New Roman" w:cs="Times New Roman"/>
          <w:color w:val="222222"/>
          <w:sz w:val="24"/>
          <w:szCs w:val="24"/>
          <w:shd w:val="clear" w:color="auto" w:fill="FFFFFF"/>
        </w:rPr>
        <w:t>y(urethane)</w:t>
      </w:r>
      <w:r>
        <w:rPr>
          <w:rFonts w:ascii="Times New Roman" w:hAnsi="Times New Roman" w:cs="Times New Roman"/>
          <w:color w:val="222222"/>
          <w:sz w:val="24"/>
          <w:szCs w:val="24"/>
          <w:shd w:val="clear" w:color="auto" w:fill="FFFFFF"/>
        </w:rPr>
        <w:t xml:space="preserve"> composites with various nanofillers produced by different techniques. When composites are processed by injection molding, graphitic fillers may show aligned state near the surface while more random orientation near the interior </w:t>
      </w:r>
      <w:r>
        <w:rPr>
          <w:rFonts w:ascii="Times New Roman" w:hAnsi="Times New Roman" w:cs="Times New Roman"/>
          <w:color w:val="222222"/>
          <w:sz w:val="24"/>
          <w:szCs w:val="24"/>
          <w:shd w:val="clear" w:color="auto" w:fill="FFFFFF"/>
        </w:rPr>
        <w:fldChar w:fldCharType="begin" w:fldLock="1"/>
      </w:r>
      <w:r w:rsidR="00D973A8">
        <w:rPr>
          <w:rFonts w:ascii="Times New Roman" w:hAnsi="Times New Roman" w:cs="Times New Roman"/>
          <w:color w:val="222222"/>
          <w:sz w:val="24"/>
          <w:szCs w:val="24"/>
          <w:shd w:val="clear" w:color="auto" w:fill="FFFFFF"/>
        </w:rPr>
        <w:instrText>ADDIN CSL_CITATION { "citationItems" : [ { "id" : "ITEM-1", "itemData" : { "DOI" : "10.1016/j.polymer.2009.05.038", "ISBN" : "0032-3861", "ISSN" : "00323861", "abstract" : "Polycarbonate composites reinforced with graphite and functionalized graphene sheets (FGS) were produced using melt compounding. Composite samples with different degrees of graphite orientation were processed via injection, compression molding and long-term annealing. Electron microscopy and X-ray scattering revealed that FGS was nearly exfoliated. However, graphite remained multi-layer even after melt processing. Flow induced orientation of graphite was observed from both injection and compression molded samples. Graphite particles in samples after long-term annealing exhibited more random orientation. Composites with the exfoliated FGS required a smaller amount of reinforcement for rigidity and connectivity percolation, as determined by melt rheology and electrical conductivity measurements. FGS also showed better performance in suppressing gas permeability of polycarbonate. However, improvements by FGS dispersion in tensile modulus and dimensional stability were not as significant. This may be due to defects in the sheet structure formed during oxidation and pyrolysis used to exfoliate. \u00a9 2009 Elsevier Ltd. All rights reserved.", "author" : [ { "dropping-particle" : "", "family" : "Kim", "given" : "Hyunwoo", "non-dropping-particle" : "", "parse-names" : false, "suffix" : "" }, { "dropping-particle" : "", "family" : "Macosko", "given" : "Christopher W.", "non-dropping-particle" : "", "parse-names" : false, "suffix" : "" } ], "container-title" : "Polymer", "id" : "ITEM-1", "issue" : "15", "issued" : { "date-parts" : [ [ "2009" ] ] }, "page" : "3797-3809", "publisher" : "Elsevier Ltd", "title" : "Processing-property relationships of polycarbonate/graphene composites", "type" : "article-journal", "volume" : "50" }, "uris" : [ "http://www.mendeley.com/documents/?uuid=5263503e-9182-4b4a-b671-e56cdda416e9" ] } ], "mendeley" : { "formattedCitation" : "[103]", "plainTextFormattedCitation" : "[103]", "previouslyFormattedCitation" : "[103]" }, "properties" : {  }, "schema" : "https://github.com/citation-style-language/schema/raw/master/csl-citation.json" }</w:instrText>
      </w:r>
      <w:r>
        <w:rPr>
          <w:rFonts w:ascii="Times New Roman" w:hAnsi="Times New Roman" w:cs="Times New Roman"/>
          <w:color w:val="222222"/>
          <w:sz w:val="24"/>
          <w:szCs w:val="24"/>
          <w:shd w:val="clear" w:color="auto" w:fill="FFFFFF"/>
        </w:rPr>
        <w:fldChar w:fldCharType="separate"/>
      </w:r>
      <w:r w:rsidRPr="0080714B">
        <w:rPr>
          <w:rFonts w:ascii="Times New Roman" w:hAnsi="Times New Roman" w:cs="Times New Roman"/>
          <w:noProof/>
          <w:color w:val="222222"/>
          <w:sz w:val="24"/>
          <w:szCs w:val="24"/>
          <w:shd w:val="clear" w:color="auto" w:fill="FFFFFF"/>
        </w:rPr>
        <w:t>[103]</w:t>
      </w:r>
      <w:r>
        <w:rPr>
          <w:rFonts w:ascii="Times New Roman" w:hAnsi="Times New Roman" w:cs="Times New Roman"/>
          <w:color w:val="222222"/>
          <w:sz w:val="24"/>
          <w:szCs w:val="24"/>
          <w:shd w:val="clear" w:color="auto" w:fill="FFFFFF"/>
        </w:rPr>
        <w:fldChar w:fldCharType="end"/>
      </w:r>
      <w:r>
        <w:rPr>
          <w:rFonts w:ascii="Times New Roman" w:hAnsi="Times New Roman" w:cs="Times New Roman"/>
          <w:color w:val="222222"/>
          <w:sz w:val="24"/>
          <w:szCs w:val="24"/>
          <w:shd w:val="clear" w:color="auto" w:fill="FFFFFF"/>
        </w:rPr>
        <w:t xml:space="preserve">. Composites prepared by melt mixing method, graphitic fillers may exhibit more oriented and stacked structure, as shown in Figure 2.11(b). However, composites prepared by solution and in situ polymerization methods, random oriented and exfoliated graphitic fillers may be favoured, as shown in Figure 2.11(c, d) </w:t>
      </w:r>
      <w:r>
        <w:rPr>
          <w:rFonts w:ascii="Times New Roman" w:hAnsi="Times New Roman" w:cs="Times New Roman"/>
          <w:color w:val="222222"/>
          <w:sz w:val="24"/>
          <w:szCs w:val="24"/>
          <w:shd w:val="clear" w:color="auto" w:fill="FFFFFF"/>
        </w:rPr>
        <w:fldChar w:fldCharType="begin" w:fldLock="1"/>
      </w:r>
      <w:r w:rsidR="00D973A8">
        <w:rPr>
          <w:rFonts w:ascii="Times New Roman" w:hAnsi="Times New Roman" w:cs="Times New Roman"/>
          <w:color w:val="222222"/>
          <w:sz w:val="24"/>
          <w:szCs w:val="24"/>
          <w:shd w:val="clear" w:color="auto" w:fill="FFFFFF"/>
        </w:rPr>
        <w:instrText>ADDIN CSL_CITATION { "citationItems" : [ { "id" : "ITEM-1", "itemData" : { "author" : [ { "dropping-particle" : "", "family" : "Kim", "given" : "Hyunwoo", "non-dropping-particle" : "", "parse-names" : false, "suffix" : "" }, { "dropping-particle" : "", "family" : "Miura", "given" : "Yutaka", "non-dropping-particle" : "", "parse-names" : false, "suffix" : "" }, { "dropping-particle" : "", "family" : "Macosko", "given" : "Christopher W.", "non-dropping-particle" : "", "parse-names" : false, "suffix" : "" } ], "container-title" : "Chemistry of Materials", "id" : "ITEM-1", "issued" : { "date-parts" : [ [ "2010" ] ] }, "page" : "3441-3450", "title" : "Graphene/polyurethane nanocomposites for improved gas barrier and electrical conductivity", "type" : "article-journal", "volume" : "22" }, "uris" : [ "http://www.mendeley.com/documents/?uuid=4e5514be-0815-4b7a-943a-c2de1542d17d" ] } ], "mendeley" : { "formattedCitation" : "[82]", "plainTextFormattedCitation" : "[82]", "previouslyFormattedCitation" : "[82]" }, "properties" : {  }, "schema" : "https://github.com/citation-style-language/schema/raw/master/csl-citation.json" }</w:instrText>
      </w:r>
      <w:r>
        <w:rPr>
          <w:rFonts w:ascii="Times New Roman" w:hAnsi="Times New Roman" w:cs="Times New Roman"/>
          <w:color w:val="222222"/>
          <w:sz w:val="24"/>
          <w:szCs w:val="24"/>
          <w:shd w:val="clear" w:color="auto" w:fill="FFFFFF"/>
        </w:rPr>
        <w:fldChar w:fldCharType="separate"/>
      </w:r>
      <w:r w:rsidRPr="0080714B">
        <w:rPr>
          <w:rFonts w:ascii="Times New Roman" w:hAnsi="Times New Roman" w:cs="Times New Roman"/>
          <w:noProof/>
          <w:color w:val="222222"/>
          <w:sz w:val="24"/>
          <w:szCs w:val="24"/>
          <w:shd w:val="clear" w:color="auto" w:fill="FFFFFF"/>
        </w:rPr>
        <w:t>[82]</w:t>
      </w:r>
      <w:r>
        <w:rPr>
          <w:rFonts w:ascii="Times New Roman" w:hAnsi="Times New Roman" w:cs="Times New Roman"/>
          <w:color w:val="222222"/>
          <w:sz w:val="24"/>
          <w:szCs w:val="24"/>
          <w:shd w:val="clear" w:color="auto" w:fill="FFFFFF"/>
        </w:rPr>
        <w:fldChar w:fldCharType="end"/>
      </w:r>
      <w:r>
        <w:rPr>
          <w:rFonts w:ascii="Times New Roman" w:hAnsi="Times New Roman" w:cs="Times New Roman"/>
          <w:color w:val="222222"/>
          <w:sz w:val="24"/>
          <w:szCs w:val="24"/>
          <w:shd w:val="clear" w:color="auto" w:fill="FFFFFF"/>
        </w:rPr>
        <w:t>.</w:t>
      </w:r>
    </w:p>
    <w:p w14:paraId="541C198F" w14:textId="77777777" w:rsidR="003C6953" w:rsidRPr="00CC16A7" w:rsidRDefault="003C6953" w:rsidP="003C6953">
      <w:pPr>
        <w:spacing w:after="0" w:line="480" w:lineRule="auto"/>
        <w:ind w:firstLine="284"/>
        <w:jc w:val="center"/>
        <w:rPr>
          <w:rFonts w:ascii="Times New Roman" w:hAnsi="Times New Roman" w:cs="Times New Roman"/>
          <w:color w:val="222222"/>
          <w:sz w:val="24"/>
          <w:szCs w:val="24"/>
          <w:shd w:val="clear" w:color="auto" w:fill="FFFFFF"/>
        </w:rPr>
      </w:pPr>
      <w:r w:rsidRPr="002639D4">
        <w:rPr>
          <w:rFonts w:ascii="Times New Roman" w:hAnsi="Times New Roman" w:cs="Times New Roman"/>
          <w:noProof/>
          <w:color w:val="222222"/>
          <w:sz w:val="24"/>
          <w:szCs w:val="24"/>
          <w:shd w:val="clear" w:color="auto" w:fill="FFFFFF"/>
          <w:lang w:val="en-GB"/>
        </w:rPr>
        <w:drawing>
          <wp:inline distT="0" distB="0" distL="0" distR="0" wp14:anchorId="56978C87" wp14:editId="0EF6ECBA">
            <wp:extent cx="4630309" cy="4112785"/>
            <wp:effectExtent l="0" t="0" r="0" b="2540"/>
            <wp:docPr id="77" name="Picture 77" descr="C:\Users\cassi\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assi\Desktop\7.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38725" cy="4120260"/>
                    </a:xfrm>
                    <a:prstGeom prst="rect">
                      <a:avLst/>
                    </a:prstGeom>
                    <a:noFill/>
                    <a:ln>
                      <a:noFill/>
                    </a:ln>
                  </pic:spPr>
                </pic:pic>
              </a:graphicData>
            </a:graphic>
          </wp:inline>
        </w:drawing>
      </w:r>
    </w:p>
    <w:p w14:paraId="550D5D3D" w14:textId="7ED5F873" w:rsidR="003C6953" w:rsidRDefault="008639A9" w:rsidP="0005778C">
      <w:pPr>
        <w:pStyle w:val="Caption"/>
        <w:ind w:firstLine="0"/>
        <w:rPr>
          <w:rFonts w:cs="Times New Roman"/>
          <w:color w:val="222222"/>
          <w:szCs w:val="24"/>
          <w:shd w:val="clear" w:color="auto" w:fill="FFFFFF"/>
        </w:rPr>
      </w:pPr>
      <w:bookmarkStart w:id="47" w:name="_Toc502661650"/>
      <w:bookmarkStart w:id="48" w:name="_Toc518823388"/>
      <w:r>
        <w:t>Figure 2.</w:t>
      </w:r>
      <w:r w:rsidR="0005778C">
        <w:fldChar w:fldCharType="begin"/>
      </w:r>
      <w:r w:rsidR="0005778C">
        <w:instrText xml:space="preserve"> SEQ Figure_2. \* ARABIC </w:instrText>
      </w:r>
      <w:r w:rsidR="0005778C">
        <w:fldChar w:fldCharType="separate"/>
      </w:r>
      <w:r w:rsidR="00551ED9">
        <w:rPr>
          <w:noProof/>
        </w:rPr>
        <w:t>11</w:t>
      </w:r>
      <w:r w:rsidR="0005778C">
        <w:fldChar w:fldCharType="end"/>
      </w:r>
      <w:r w:rsidR="0005778C">
        <w:t xml:space="preserve">. </w:t>
      </w:r>
      <w:r w:rsidR="003C6953" w:rsidRPr="002639D4">
        <w:rPr>
          <w:rFonts w:cs="Times New Roman"/>
          <w:color w:val="222222"/>
          <w:szCs w:val="24"/>
          <w:shd w:val="clear" w:color="auto" w:fill="FFFFFF"/>
        </w:rPr>
        <w:t>TEM images</w:t>
      </w:r>
      <w:r w:rsidR="003C6953">
        <w:rPr>
          <w:rFonts w:cs="Times New Roman"/>
          <w:color w:val="222222"/>
          <w:szCs w:val="24"/>
          <w:shd w:val="clear" w:color="auto" w:fill="FFFFFF"/>
        </w:rPr>
        <w:t xml:space="preserve"> of</w:t>
      </w:r>
      <w:r w:rsidR="003C6953" w:rsidRPr="002639D4">
        <w:rPr>
          <w:rFonts w:cs="Times New Roman"/>
          <w:color w:val="222222"/>
          <w:szCs w:val="24"/>
          <w:shd w:val="clear" w:color="auto" w:fill="FFFFFF"/>
        </w:rPr>
        <w:t xml:space="preserve"> poly(urethane) filled with </w:t>
      </w:r>
      <w:r w:rsidR="003C6953">
        <w:rPr>
          <w:rFonts w:cs="Times New Roman"/>
          <w:color w:val="222222"/>
          <w:szCs w:val="24"/>
          <w:shd w:val="clear" w:color="auto" w:fill="FFFFFF"/>
        </w:rPr>
        <w:t xml:space="preserve">various nanofillers: </w:t>
      </w:r>
      <w:r w:rsidR="003C6953" w:rsidRPr="002639D4">
        <w:rPr>
          <w:rFonts w:cs="Times New Roman"/>
          <w:color w:val="222222"/>
          <w:szCs w:val="24"/>
          <w:shd w:val="clear" w:color="auto" w:fill="FFFFFF"/>
        </w:rPr>
        <w:t>(a) une</w:t>
      </w:r>
      <w:r w:rsidR="003C6953">
        <w:rPr>
          <w:rFonts w:cs="Times New Roman"/>
          <w:color w:val="222222"/>
          <w:szCs w:val="24"/>
          <w:shd w:val="clear" w:color="auto" w:fill="FFFFFF"/>
        </w:rPr>
        <w:t xml:space="preserve">xfoliated graphite, </w:t>
      </w:r>
      <w:r w:rsidR="003C6953" w:rsidRPr="002639D4">
        <w:rPr>
          <w:rFonts w:cs="Times New Roman"/>
          <w:color w:val="222222"/>
          <w:szCs w:val="24"/>
          <w:shd w:val="clear" w:color="auto" w:fill="FFFFFF"/>
        </w:rPr>
        <w:t>(b) TEGO,</w:t>
      </w:r>
      <w:r w:rsidR="003C6953">
        <w:rPr>
          <w:rFonts w:cs="Times New Roman"/>
          <w:color w:val="222222"/>
          <w:szCs w:val="24"/>
          <w:shd w:val="clear" w:color="auto" w:fill="FFFFFF"/>
        </w:rPr>
        <w:t xml:space="preserve"> prepared by melt mixing. </w:t>
      </w:r>
      <w:r w:rsidR="003C6953" w:rsidRPr="002639D4">
        <w:rPr>
          <w:rFonts w:cs="Times New Roman"/>
          <w:color w:val="222222"/>
          <w:szCs w:val="24"/>
          <w:shd w:val="clear" w:color="auto" w:fill="FFFFFF"/>
        </w:rPr>
        <w:t>(c) and (d) show TEGO/polyurethane composites produced by solution blending and in situ polymerization,</w:t>
      </w:r>
      <w:r w:rsidR="003C6953">
        <w:rPr>
          <w:rFonts w:cs="Times New Roman"/>
          <w:color w:val="222222"/>
          <w:szCs w:val="24"/>
          <w:shd w:val="clear" w:color="auto" w:fill="FFFFFF"/>
        </w:rPr>
        <w:t xml:space="preserve"> </w:t>
      </w:r>
      <w:r w:rsidR="003C6953" w:rsidRPr="002639D4">
        <w:rPr>
          <w:rFonts w:cs="Times New Roman"/>
          <w:color w:val="222222"/>
          <w:szCs w:val="24"/>
          <w:shd w:val="clear" w:color="auto" w:fill="FFFFFF"/>
        </w:rPr>
        <w:t>respectively</w:t>
      </w:r>
      <w:r w:rsidR="003C6953">
        <w:rPr>
          <w:rFonts w:cs="Times New Roman"/>
          <w:color w:val="222222"/>
          <w:szCs w:val="24"/>
          <w:shd w:val="clear" w:color="auto" w:fill="FFFFFF"/>
        </w:rPr>
        <w:t xml:space="preserve"> </w:t>
      </w:r>
      <w:r w:rsidR="003C6953">
        <w:rPr>
          <w:rFonts w:cs="Times New Roman"/>
          <w:szCs w:val="24"/>
        </w:rPr>
        <w:t>(Reproduced from reference</w:t>
      </w:r>
      <w:r w:rsidR="003C6953">
        <w:rPr>
          <w:rFonts w:cs="Times New Roman"/>
          <w:color w:val="222222"/>
          <w:szCs w:val="24"/>
          <w:shd w:val="clear" w:color="auto" w:fill="FFFFFF"/>
        </w:rPr>
        <w:t xml:space="preserve"> </w:t>
      </w:r>
      <w:r w:rsidR="003C6953">
        <w:rPr>
          <w:rFonts w:cs="Times New Roman"/>
          <w:color w:val="222222"/>
          <w:szCs w:val="24"/>
          <w:shd w:val="clear" w:color="auto" w:fill="FFFFFF"/>
        </w:rPr>
        <w:fldChar w:fldCharType="begin" w:fldLock="1"/>
      </w:r>
      <w:r w:rsidR="00D973A8">
        <w:rPr>
          <w:rFonts w:cs="Times New Roman"/>
          <w:color w:val="222222"/>
          <w:szCs w:val="24"/>
          <w:shd w:val="clear" w:color="auto" w:fill="FFFFFF"/>
        </w:rPr>
        <w:instrText>ADDIN CSL_CITATION { "citationItems" : [ { "id" : "ITEM-1", "itemData" : { "author" : [ { "dropping-particle" : "", "family" : "Kim", "given" : "Hyunwoo", "non-dropping-particle" : "", "parse-names" : false, "suffix" : "" }, { "dropping-particle" : "", "family" : "Miura", "given" : "Yutaka", "non-dropping-particle" : "", "parse-names" : false, "suffix" : "" }, { "dropping-particle" : "", "family" : "Macosko", "given" : "Christopher W.", "non-dropping-particle" : "", "parse-names" : false, "suffix" : "" } ], "container-title" : "Chemistry of Materials", "id" : "ITEM-1", "issued" : { "date-parts" : [ [ "2010" ] ] }, "page" : "3441-3450", "title" : "Graphene/polyurethane nanocomposites for improved gas barrier and electrical conductivity", "type" : "article-journal", "volume" : "22" }, "uris" : [ "http://www.mendeley.com/documents/?uuid=4e5514be-0815-4b7a-943a-c2de1542d17d" ] } ], "mendeley" : { "formattedCitation" : "[82]", "plainTextFormattedCitation" : "[82]", "previouslyFormattedCitation" : "[82]" }, "properties" : {  }, "schema" : "https://github.com/citation-style-language/schema/raw/master/csl-citation.json" }</w:instrText>
      </w:r>
      <w:r w:rsidR="003C6953">
        <w:rPr>
          <w:rFonts w:cs="Times New Roman"/>
          <w:color w:val="222222"/>
          <w:szCs w:val="24"/>
          <w:shd w:val="clear" w:color="auto" w:fill="FFFFFF"/>
        </w:rPr>
        <w:fldChar w:fldCharType="separate"/>
      </w:r>
      <w:r w:rsidR="003C6953" w:rsidRPr="0080714B">
        <w:rPr>
          <w:rFonts w:cs="Times New Roman"/>
          <w:noProof/>
          <w:color w:val="222222"/>
          <w:szCs w:val="24"/>
          <w:shd w:val="clear" w:color="auto" w:fill="FFFFFF"/>
        </w:rPr>
        <w:t>[82]</w:t>
      </w:r>
      <w:r w:rsidR="003C6953">
        <w:rPr>
          <w:rFonts w:cs="Times New Roman"/>
          <w:color w:val="222222"/>
          <w:szCs w:val="24"/>
          <w:shd w:val="clear" w:color="auto" w:fill="FFFFFF"/>
        </w:rPr>
        <w:fldChar w:fldCharType="end"/>
      </w:r>
      <w:r w:rsidR="003C6953">
        <w:rPr>
          <w:rFonts w:cs="Times New Roman"/>
          <w:color w:val="222222"/>
          <w:szCs w:val="24"/>
          <w:shd w:val="clear" w:color="auto" w:fill="FFFFFF"/>
        </w:rPr>
        <w:t>).</w:t>
      </w:r>
      <w:bookmarkEnd w:id="47"/>
      <w:bookmarkEnd w:id="48"/>
    </w:p>
    <w:p w14:paraId="65C89CA6" w14:textId="1F737F79" w:rsidR="003C6953" w:rsidRDefault="003C6953" w:rsidP="003C6953">
      <w:pPr>
        <w:spacing w:after="0" w:line="360" w:lineRule="auto"/>
        <w:jc w:val="both"/>
        <w:rPr>
          <w:rFonts w:ascii="Times New Roman" w:hAnsi="Times New Roman" w:cs="Times New Roman"/>
          <w:color w:val="222222"/>
          <w:sz w:val="24"/>
          <w:szCs w:val="24"/>
          <w:shd w:val="clear" w:color="auto" w:fill="FFFFFF"/>
        </w:rPr>
      </w:pPr>
    </w:p>
    <w:p w14:paraId="2CEE0C71" w14:textId="77777777" w:rsidR="003C6953" w:rsidRDefault="003C6953" w:rsidP="003C6953">
      <w:pPr>
        <w:spacing w:after="0" w:line="360" w:lineRule="auto"/>
        <w:jc w:val="both"/>
        <w:rPr>
          <w:rFonts w:ascii="Times New Roman" w:hAnsi="Times New Roman" w:cs="Times New Roman"/>
          <w:color w:val="222222"/>
          <w:sz w:val="24"/>
          <w:szCs w:val="24"/>
          <w:shd w:val="clear" w:color="auto" w:fill="FFFFFF"/>
        </w:rPr>
      </w:pPr>
    </w:p>
    <w:p w14:paraId="7CBEC246" w14:textId="10709A28" w:rsidR="003C6953" w:rsidRDefault="00165B0C" w:rsidP="003C6953">
      <w:pPr>
        <w:pStyle w:val="Heading1"/>
        <w:spacing w:before="0"/>
        <w:jc w:val="left"/>
      </w:pPr>
      <w:bookmarkStart w:id="49" w:name="_Toc518823244"/>
      <w:r>
        <w:t>2.</w:t>
      </w:r>
      <w:r w:rsidR="003C6953">
        <w:t>6. Bio-based hyperbranched polymer/graphene nanocomposites</w:t>
      </w:r>
      <w:bookmarkEnd w:id="49"/>
    </w:p>
    <w:p w14:paraId="3D3004D2" w14:textId="6D15DC32" w:rsidR="003C6953" w:rsidRDefault="00165B0C" w:rsidP="003C6953">
      <w:pPr>
        <w:pStyle w:val="Heading2"/>
        <w:spacing w:before="0"/>
      </w:pPr>
      <w:bookmarkStart w:id="50" w:name="_Toc518823245"/>
      <w:r>
        <w:t>2.</w:t>
      </w:r>
      <w:r w:rsidR="003C6953">
        <w:t>6.1. Bio-based polymers</w:t>
      </w:r>
      <w:bookmarkEnd w:id="50"/>
      <w:r w:rsidR="003C6953">
        <w:t xml:space="preserve"> </w:t>
      </w:r>
    </w:p>
    <w:p w14:paraId="7635BCD6" w14:textId="3A33290A" w:rsidR="003C6953" w:rsidRDefault="003C6953" w:rsidP="003C6953">
      <w:pPr>
        <w:spacing w:after="0" w:line="480" w:lineRule="auto"/>
        <w:jc w:val="both"/>
        <w:rPr>
          <w:rFonts w:ascii="Times New Roman" w:hAnsi="Times New Roman" w:cs="Times New Roman"/>
          <w:sz w:val="24"/>
          <w:szCs w:val="24"/>
        </w:rPr>
      </w:pPr>
      <w:r w:rsidRPr="00FD3406">
        <w:rPr>
          <w:rFonts w:ascii="Times New Roman" w:hAnsi="Times New Roman" w:cs="Times New Roman"/>
          <w:sz w:val="24"/>
          <w:szCs w:val="24"/>
        </w:rPr>
        <w:t>Currently, the consumptions of chemical and energy are increasing dramatically due to the rapid increasing in energy demand. More than 90% of organic chemicals and 80% of energy in the world are derived from fossil fuels [1]. However, the extraction of petroleum and utilization of these petrochemicals cause seriously environmental problems [1,2]. In order to solve this issue, researchers have been looking for new candidates to replace/reduce the consumptions of the conventional fossil resources. Bio-based polymers are the products derived from renewable resources, namely biomass, including plants, agricultural food, animal wastes, sugar, trees, etc. Nowadays only 3-4% of biomass has been used for food and non-food applications</w:t>
      </w:r>
      <w:r>
        <w:rPr>
          <w:rFonts w:ascii="Times New Roman" w:hAnsi="Times New Roman" w:cs="Times New Roman"/>
          <w:sz w:val="24"/>
          <w:szCs w:val="24"/>
        </w:rPr>
        <w:t xml:space="preserve"> </w:t>
      </w:r>
      <w:r w:rsidRPr="00FD3406">
        <w:rPr>
          <w:rFonts w:ascii="Times New Roman" w:hAnsi="Times New Roman" w:cs="Times New Roman"/>
          <w:sz w:val="24"/>
          <w:szCs w:val="24"/>
        </w:rPr>
        <w:t>[1]. Therefore, these renewable, recyclable, sustainable novel bio-based products and their applications are attracting increasing a</w:t>
      </w:r>
      <w:r>
        <w:rPr>
          <w:rFonts w:ascii="Times New Roman" w:hAnsi="Times New Roman" w:cs="Times New Roman"/>
          <w:sz w:val="24"/>
          <w:szCs w:val="24"/>
        </w:rPr>
        <w:t xml:space="preserve">ttention of researchers [1,3]. </w:t>
      </w:r>
      <w:r w:rsidRPr="00FD3406">
        <w:rPr>
          <w:rFonts w:ascii="Times New Roman" w:hAnsi="Times New Roman" w:cs="Times New Roman"/>
          <w:sz w:val="24"/>
          <w:szCs w:val="24"/>
        </w:rPr>
        <w:t>Bio-based polymers are classified into three main: nature polymers, such as proteins, starch, cellulose [4]; polymers from microbial fermentation, such as polyhydroxybutyrate (PHB), polyhydroxyalkanoate (PHA) [5]; synthesis polymers from natural monomers, such as PLA [6,7]. Up to date, numerous bio-based synthetic polymers have been prepared successfully such as bio-based polyesters which are made from broccoli seed oil via a two-step process (epoxidation of double carbon bond followed by ring opening with dicarboxylic acids) [8], polylactic acid (PLA) produced from 100 % renewable resources like cornstarch, tapioca roots, chips and sugar beets, aliphatic-aromatic copolymers poly(butylene succinate-co-butylene furandicarboxylate) (PBSF) synthesized from  2,5-fulrandicarboxylic acid (FA), succinic acid (SA), and 1,4-butanediol (BDO)</w:t>
      </w:r>
      <w:r>
        <w:rPr>
          <w:rFonts w:ascii="Times New Roman" w:hAnsi="Times New Roman" w:cs="Times New Roman"/>
          <w:sz w:val="24"/>
          <w:szCs w:val="24"/>
        </w:rPr>
        <w:t xml:space="preserve"> </w:t>
      </w:r>
      <w:r w:rsidRPr="00FD3406">
        <w:rPr>
          <w:rFonts w:ascii="Times New Roman" w:hAnsi="Times New Roman" w:cs="Times New Roman"/>
          <w:sz w:val="24"/>
          <w:szCs w:val="24"/>
        </w:rPr>
        <w:t>[9]. Bio-based polymers can be decomposed into H2O, CO2, and humus by bacteria or other living organisms. They have been employed in biomedical and pharmaceutical applications like sutures, stents, drug delivery, and tissue engineering due to its biocompatible, biodegradable, versatile properties and good mechanical properties [1,6,7].</w:t>
      </w:r>
    </w:p>
    <w:p w14:paraId="57BA4417" w14:textId="77777777" w:rsidR="00182B31" w:rsidRPr="00FD3406" w:rsidRDefault="00182B31" w:rsidP="003C6953">
      <w:pPr>
        <w:spacing w:after="0" w:line="480" w:lineRule="auto"/>
        <w:jc w:val="both"/>
        <w:rPr>
          <w:rFonts w:ascii="Times New Roman" w:hAnsi="Times New Roman" w:cs="Times New Roman"/>
          <w:sz w:val="24"/>
          <w:szCs w:val="24"/>
        </w:rPr>
      </w:pPr>
    </w:p>
    <w:p w14:paraId="069A41B3" w14:textId="7D7748C4" w:rsidR="003C6953" w:rsidRDefault="00165B0C" w:rsidP="003C6953">
      <w:pPr>
        <w:pStyle w:val="Heading2"/>
        <w:spacing w:before="0"/>
      </w:pPr>
      <w:bookmarkStart w:id="51" w:name="_Toc518823246"/>
      <w:r>
        <w:t>2.</w:t>
      </w:r>
      <w:r w:rsidR="003C6953">
        <w:t>6.2. Hyperbranched polymers</w:t>
      </w:r>
      <w:bookmarkEnd w:id="51"/>
      <w:r w:rsidR="003C6953">
        <w:t xml:space="preserve"> </w:t>
      </w:r>
    </w:p>
    <w:p w14:paraId="66D72F7D" w14:textId="21179CBE" w:rsidR="003C6953" w:rsidRDefault="003C6953" w:rsidP="003C6953">
      <w:pPr>
        <w:spacing w:after="0" w:line="480" w:lineRule="auto"/>
        <w:jc w:val="both"/>
        <w:rPr>
          <w:rFonts w:ascii="Times New Roman" w:eastAsia="DengXian" w:hAnsi="Times New Roman" w:cs="Times New Roman"/>
          <w:sz w:val="24"/>
          <w:szCs w:val="24"/>
        </w:rPr>
      </w:pPr>
      <w:r w:rsidRPr="00FD3406">
        <w:rPr>
          <w:rFonts w:ascii="Times New Roman" w:eastAsia="DengXian" w:hAnsi="Times New Roman" w:cs="Times New Roman"/>
          <w:color w:val="000000"/>
          <w:sz w:val="24"/>
          <w:szCs w:val="24"/>
        </w:rPr>
        <w:t xml:space="preserve">Hyperbranched Dendritic </w:t>
      </w:r>
      <w:r w:rsidRPr="00FD3406">
        <w:rPr>
          <w:rFonts w:ascii="Times New Roman" w:eastAsia="DengXian" w:hAnsi="Times New Roman" w:cs="Times New Roman"/>
          <w:sz w:val="24"/>
          <w:szCs w:val="24"/>
        </w:rPr>
        <w:t>polymers are classified into dendrimers and hyperbranched polymers. D</w:t>
      </w:r>
      <w:r w:rsidRPr="00FD3406">
        <w:rPr>
          <w:rFonts w:ascii="Times New Roman" w:eastAsia="DengXian" w:hAnsi="Times New Roman" w:cs="Times New Roman" w:hint="eastAsia"/>
          <w:sz w:val="24"/>
          <w:szCs w:val="24"/>
        </w:rPr>
        <w:t xml:space="preserve">ue to their unique properties and chemical architecture, these type polymers possesses good solubility, low viscosity, allowing them </w:t>
      </w:r>
      <w:r w:rsidRPr="00FD3406">
        <w:rPr>
          <w:rFonts w:ascii="Times New Roman" w:eastAsia="DengXian" w:hAnsi="Times New Roman" w:cs="Times New Roman"/>
          <w:sz w:val="24"/>
          <w:szCs w:val="24"/>
        </w:rPr>
        <w:t xml:space="preserve">to </w:t>
      </w:r>
      <w:r w:rsidRPr="00FD3406">
        <w:rPr>
          <w:rFonts w:ascii="Times New Roman" w:eastAsia="DengXian" w:hAnsi="Times New Roman" w:cs="Times New Roman" w:hint="eastAsia"/>
          <w:sz w:val="24"/>
          <w:szCs w:val="24"/>
        </w:rPr>
        <w:t xml:space="preserve">be utilized in applications like rheology, drug delivery, </w:t>
      </w:r>
      <w:r w:rsidRPr="00FD3406">
        <w:rPr>
          <w:rFonts w:ascii="Times New Roman" w:eastAsia="DengXian" w:hAnsi="Times New Roman" w:cs="Times New Roman"/>
          <w:sz w:val="24"/>
          <w:szCs w:val="24"/>
        </w:rPr>
        <w:t>self-healing</w:t>
      </w:r>
      <w:r w:rsidRPr="00FD3406">
        <w:rPr>
          <w:rFonts w:ascii="Times New Roman" w:eastAsia="DengXian" w:hAnsi="Times New Roman" w:cs="Times New Roman" w:hint="eastAsia"/>
          <w:sz w:val="24"/>
          <w:szCs w:val="24"/>
        </w:rPr>
        <w:t xml:space="preserve">, and </w:t>
      </w:r>
      <w:r w:rsidRPr="00FD3406">
        <w:rPr>
          <w:rFonts w:ascii="Times New Roman" w:eastAsia="DengXian" w:hAnsi="Times New Roman" w:cs="Times New Roman"/>
          <w:sz w:val="24"/>
          <w:szCs w:val="24"/>
        </w:rPr>
        <w:t>energy</w:t>
      </w:r>
      <w:r w:rsidRPr="00FD3406">
        <w:rPr>
          <w:rFonts w:ascii="Times New Roman" w:eastAsia="DengXian" w:hAnsi="Times New Roman" w:cs="Times New Roman" w:hint="eastAsia"/>
          <w:sz w:val="24"/>
          <w:szCs w:val="24"/>
        </w:rPr>
        <w:t xml:space="preserve"> transfer, etc</w:t>
      </w:r>
      <w:r w:rsidRPr="00FD3406">
        <w:rPr>
          <w:rFonts w:ascii="Times New Roman" w:eastAsia="DengXian" w:hAnsi="Times New Roman" w:cs="Times New Roman"/>
          <w:sz w:val="24"/>
          <w:szCs w:val="24"/>
        </w:rPr>
        <w:t xml:space="preserve">. </w:t>
      </w:r>
      <w:r w:rsidRPr="00FD3406">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"10.1002/pi.2993", "ISSN" : "09598103", "author" : [ { "dropping-particle" : "", "family" : "Cao", "given" : "Hongliang", "non-dropping-particle" : "", "parse-names" : false, "suffix" : "" }, { "dropping-particle" : "", "family" : "Zheng", "given" : "Yu", "non-dropping-particle" : "", "parse-names" : false, "suffix" : "" }, { "dropping-particle" : "", "family" : "Zhou", "given" : "Jian", "non-dropping-particle" : "", "parse-names" : false, "suffix" : "" }, { "dropping-particle" : "", "family" : "Wang", "given" : "Wenxin", "non-dropping-particle" : "", "parse-names" : false, "suffix" : "" }, { "dropping-particle" : "", "family" : "Pandit", "given" : "Abhay", "non-dropping-particle" : "", "parse-names" : false, "suffix" : "" } ], "container-title" : "Polymer International", "id" : "ITEM-1", "issued" : { "date-parts" : [ [ "2011" ] ] }, "page" : "630-634", "title" : "A novel hyperbranched polyester made from aconitic acid (B3) and di(ethylene glycol) (A2)", "type" : "article-journal", "volume" : "60" }, "uris" : [ "http://www.mendeley.com/documents/?uuid=1cf7efbc-2752-4c72-a696-10ba3bfb7a61" ] }, { "id" : "ITEM-2", "itemData" : { "DOI" : "10.1088/0954-0083/13/2/304", "ISBN" : "0954-0083", "ISSN" : "09540083", "abstract" : "A review with 30 refs.  Hyperbranched arom. polyamides and copolymers were prepd. by direct polycondensation in the presence of condensation agents.  Three strategies were described: (1) self-polycondensation of ABx-type monomers, (2) copolymn. of AB2 and AB monomers and (3) polymn. of A2 and B3 monomers.  The self-polycondensation of ABx monomers proceeded without gelation to form sol. powdery polymers.  The degree of branching of the hyperbranched polyamides was greatly influenced by the structure of the monomers.  Copolymn. of AB2 and AB monomers allowed control of the branching d. of the resulting polymers.  Spectroscopic measurements revealed that the copolymers were composed of five kinds of repeating units.  The good soly. and adequate soln. viscosity of the copolymers allowed the prepn. of transparent yellow films by casting the copolymer soln. onto a glass plate.  The polymn. of A2 and B3 monomers was also investigated as a novel route to prep. hyperbranched polyamides without using ABx-type monomers.  Gelation during the polymn. could be avoided by the optimization of the reaction conditions.  The structure and properties of the resulting polymers were compared with the hyperbranched polyamide prepd. from the corresponding AB2 monomer. [on SciFinder(R)]", "author" : [ { "dropping-particle" : "", "family" : "Jikei", "given" : "Mitsutoshi", "non-dropping-particle" : "", "parse-names" : false, "suffix" : "" }, { "dropping-particle" : "", "family" : "Kakimoto", "given" : "Masa-aki", "non-dropping-particle" : "", "parse-names" : false, "suffix" : "" } ], "container-title" : "High Performance Polymers", "id" : "ITEM-2", "issued" : { "date-parts" : [ [ "2001" ] ] }, "page" : "33-43", "title" : "Hyperbranched aromatic polyamides prepared by direct polycondensation", "type" : "article-journal", "volume" : "13" }, "uris" : [ "http://www.mendeley.com/documents/?uuid=a00d3bb6-0a57-44ec-b3ca-2be2ba4e9a49" ] } ], "mendeley" : { "formattedCitation" : "[4,5]", "plainTextFormattedCitation" : "[4,5]", "previouslyFormattedCitation" : "[4,5]" }, "properties" : {  }, "schema" : "https://github.com/citation-style-language/schema/raw/master/csl-citation.json" }</w:instrText>
      </w:r>
      <w:r w:rsidRPr="00FD3406">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[4,5]</w:t>
      </w:r>
      <w:r w:rsidRPr="00FD3406">
        <w:rPr>
          <w:rFonts w:ascii="Times New Roman" w:eastAsia="DengXian" w:hAnsi="Times New Roman" w:cs="Times New Roman"/>
          <w:sz w:val="24"/>
          <w:szCs w:val="24"/>
        </w:rPr>
        <w:fldChar w:fldCharType="end"/>
      </w:r>
      <w:r w:rsidRPr="00FD3406">
        <w:rPr>
          <w:rFonts w:ascii="Times New Roman" w:eastAsia="DengXian" w:hAnsi="Times New Roman" w:cs="Times New Roman"/>
          <w:sz w:val="24"/>
          <w:szCs w:val="24"/>
        </w:rPr>
        <w:t xml:space="preserve">. Dendrimers are normally synthesized by a multi-step method, resulting in regular and highly branched three-dimensional well-defined architecture </w:t>
      </w:r>
      <w:r w:rsidRPr="00FD3406">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"10.1002/pi.2993", "ISSN" : "09598103", "author" : [ { "dropping-particle" : "", "family" : "Cao", "given" : "Hongliang", "non-dropping-particle" : "", "parse-names" : false, "suffix" : "" }, { "dropping-particle" : "", "family" : "Zheng", "given" : "Yu", "non-dropping-particle" : "", "parse-names" : false, "suffix" : "" }, { "dropping-particle" : "", "family" : "Zhou", "given" : "Jian", "non-dropping-particle" : "", "parse-names" : false, "suffix" : "" }, { "dropping-particle" : "", "family" : "Wang", "given" : "Wenxin", "non-dropping-particle" : "", "parse-names" : false, "suffix" : "" }, { "dropping-particle" : "", "family" : "Pandit", "given" : "Abhay", "non-dropping-particle" : "", "parse-names" : false, "suffix" : "" } ], "container-title" : "Polymer International", "id" : "ITEM-1", "issued" : { "date-parts" : [ [ "2011" ] ] }, "page" : "630-634", "title" : "A novel hyperbranched polyester made from aconitic acid (B3) and di(ethylene glycol) (A2)", "type" : "article-journal", "volume" : "60" }, "uris" : [ "http://www.mendeley.com/documents/?uuid=1cf7efbc-2752-4c72-a696-10ba3bfb7a61" ] }, { "id" : "ITEM-2", "itemData" : { "DOI" : "10.1126/science.8134834", "ISBN" : "0036-8075", "ISSN" : "0036-8075", "PMID" : "8134834", "abstract" : "The interaction of polymers with their environment depends largely on the functional groups they carry. Interfaces between different polymers or between polymers and other surfaces can be strengthened through the design of molecular interactions such as hydrogen bonding and through the control of polymer architecture. The placement of functional groups at polymer chain ends or in well-defined segments can determine the ultimate properties. Three-dimensional synthetic polymers such as dendrimers can be fashioned to encapsulate reactive sites or provide highly controlled surfaces and interfaces.", "author" : [ { "dropping-particle" : "", "family" : "Frechet", "given" : "J M", "non-dropping-particle" : "", "parse-names" : false, "suffix" : "" } ], "container-title" : "Science", "id" : "ITEM-2", "issue" : "5154", "issued" : { "date-parts" : [ [ "1994" ] ] }, "page" : "1710-1715", "title" : "Functional polymers and dendrimers: reactivity, molecular architecture, and interfacial energy", "type" : "article-journal", "volume" : "263" }, "uris" : [ "http://www.mendeley.com/documents/?uuid=0f21835a-929a-4a07-af09-ad4395439024" ] }, { "id" : "ITEM-3", "itemData" : { "DOI" : "10.1002/pola.10301", "ISBN" : "1099-0518", "ISSN" : "0887624X", "abstract" : "A brief historical perspective relating the discovery of dendrimers and other dendritic polymers is presented. Dendritic polymers are recognized as the fourth major class of macromolecular architecture consisting of four sub- classes, namely, (1) random hyperbranched, (2) dendrigrafts, (3) dendrons, and (4) dendrimers. The previous literature is reviewed with anecdotal events leading to implications for dendrimers in the emerging science of nanotechnology. \u00a9 2002 Wiley Periodicals, Inc. J Polym Sci Part A: Polym Chem 40: 2719\u20132728, 2002", "author" : [ { "dropping-particle" : "", "family" : "Tomalia", "given" : "Donald A.", "non-dropping-particle" : "", "parse-names" : false, "suffix" : "" }, { "dropping-particle" : "", "family" : "Fr\u00e9chet", "given" : "Jean M J", "non-dropping-particle" : "", "parse-names" : false, "suffix" : "" } ], "container-title" : "Journal of Polymer Science, Part A: Polymer Chemistry", "id" : "ITEM-3", "issue" : "16", "issued" : { "date-parts" : [ [ "2002" ] ] }, "page" : "2719-2728", "title" : "Discovery of dendrimers and dendritic polymers: A brief historical perspective", "type" : "article-journal", "volume" : "40" }, "uris" : [ "http://www.mendeley.com/documents/?uuid=f56edd62-0efd-4652-99a3-32efc865fe4d" ] } ], "mendeley" : { "formattedCitation" : "[4,109,110]", "plainTextFormattedCitation" : "[4,109,110]", "previouslyFormattedCitation" : "[4,109,110]" }, "properties" : {  }, "schema" : "https://github.com/citation-style-language/schema/raw/master/csl-citation.json" }</w:instrText>
      </w:r>
      <w:r w:rsidRPr="00FD3406">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[4,109,110]</w:t>
      </w:r>
      <w:r w:rsidRPr="00FD3406">
        <w:rPr>
          <w:rFonts w:ascii="Times New Roman" w:eastAsia="DengXian" w:hAnsi="Times New Roman" w:cs="Times New Roman"/>
          <w:sz w:val="24"/>
          <w:szCs w:val="24"/>
        </w:rPr>
        <w:fldChar w:fldCharType="end"/>
      </w:r>
      <w:r w:rsidRPr="00FD3406">
        <w:rPr>
          <w:rFonts w:ascii="Times New Roman" w:eastAsia="DengXian" w:hAnsi="Times New Roman" w:cs="Times New Roman"/>
          <w:sz w:val="24"/>
          <w:szCs w:val="24"/>
        </w:rPr>
        <w:t xml:space="preserve">. Unlike dentrimers, hyperbranched polymers are generally prepared by simple one-pot polymerization procedure that is much less laborious than multi-step method, while polymers have much more random branches and less regular structures. At present, </w:t>
      </w:r>
      <w:r w:rsidRPr="00FD3406">
        <w:rPr>
          <w:rFonts w:ascii="Times New Roman" w:eastAsia="DengXian" w:hAnsi="Times New Roman" w:cs="Times New Roman" w:hint="eastAsia"/>
          <w:sz w:val="24"/>
          <w:szCs w:val="24"/>
        </w:rPr>
        <w:t xml:space="preserve">hyperbranched </w:t>
      </w:r>
      <w:r w:rsidRPr="00FD3406">
        <w:rPr>
          <w:rFonts w:ascii="Times New Roman" w:eastAsia="DengXian" w:hAnsi="Times New Roman" w:cs="Times New Roman"/>
          <w:sz w:val="24"/>
          <w:szCs w:val="24"/>
        </w:rPr>
        <w:t>polymers are generously synthesized by condensation polymerization of AB</w:t>
      </w:r>
      <w:r w:rsidRPr="00FD3406">
        <w:rPr>
          <w:rFonts w:ascii="Times New Roman" w:eastAsia="DengXian" w:hAnsi="Times New Roman" w:cs="Times New Roman"/>
          <w:i/>
          <w:sz w:val="24"/>
          <w:szCs w:val="24"/>
          <w:vertAlign w:val="subscript"/>
        </w:rPr>
        <w:t>x</w:t>
      </w:r>
      <w:r w:rsidRPr="00FD3406">
        <w:rPr>
          <w:rFonts w:ascii="Times New Roman" w:eastAsia="DengXian" w:hAnsi="Times New Roman" w:cs="Times New Roman"/>
          <w:sz w:val="24"/>
          <w:szCs w:val="24"/>
        </w:rPr>
        <w:t>-type</w:t>
      </w:r>
      <w:r w:rsidRPr="00FD3406">
        <w:rPr>
          <w:rFonts w:ascii="Times New Roman" w:eastAsia="DengXian" w:hAnsi="Times New Roman" w:cs="Times New Roman"/>
          <w:i/>
          <w:sz w:val="24"/>
          <w:szCs w:val="24"/>
          <w:vertAlign w:val="subscript"/>
        </w:rPr>
        <w:t xml:space="preserve"> </w:t>
      </w:r>
      <w:r w:rsidRPr="00FD3406">
        <w:rPr>
          <w:rFonts w:ascii="Times New Roman" w:eastAsia="DengXian" w:hAnsi="Times New Roman" w:cs="Times New Roman"/>
          <w:sz w:val="24"/>
          <w:szCs w:val="24"/>
        </w:rPr>
        <w:t>(</w:t>
      </w:r>
      <w:r w:rsidRPr="00FD3406">
        <w:rPr>
          <w:rFonts w:ascii="Times New Roman" w:eastAsia="DengXian" w:hAnsi="Times New Roman" w:cs="Times New Roman"/>
          <w:i/>
          <w:sz w:val="24"/>
          <w:szCs w:val="24"/>
        </w:rPr>
        <w:t>x</w:t>
      </w:r>
      <w:r w:rsidRPr="00FD3406">
        <w:rPr>
          <w:rFonts w:ascii="Times New Roman" w:eastAsia="DengXian" w:hAnsi="Times New Roman" w:cs="Times New Roman"/>
          <w:sz w:val="24"/>
          <w:szCs w:val="24"/>
        </w:rPr>
        <w:t xml:space="preserve"> ≥ 2) monomers</w:t>
      </w:r>
      <w:r>
        <w:rPr>
          <w:rFonts w:ascii="Times New Roman" w:eastAsia="DengXian" w:hAnsi="Times New Roman" w:cs="Times New Roman"/>
          <w:sz w:val="24"/>
          <w:szCs w:val="24"/>
        </w:rPr>
        <w:t xml:space="preserve"> </w:t>
      </w:r>
      <w:r w:rsidRPr="00FD3406">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"10.1002/pi.2993", "ISSN" : "09598103", "author" : [ { "dropping-particle" : "", "family" : "Cao", "given" : "Hongliang", "non-dropping-particle" : "", "parse-names" : false, "suffix" : "" }, { "dropping-particle" : "", "family" : "Zheng", "given" : "Yu", "non-dropping-particle" : "", "parse-names" : false, "suffix" : "" }, { "dropping-particle" : "", "family" : "Zhou", "given" : "Jian", "non-dropping-particle" : "", "parse-names" : false, "suffix" : "" }, { "dropping-particle" : "", "family" : "Wang", "given" : "Wenxin", "non-dropping-particle" : "", "parse-names" : false, "suffix" : "" }, { "dropping-particle" : "", "family" : "Pandit", "given" : "Abhay", "non-dropping-particle" : "", "parse-names" : false, "suffix" : "" } ], "container-title" : "Polymer International", "id" : "ITEM-1", "issued" : { "date-parts" : [ [ "2011" ] ] }, "page" : "630-634", "title" : "A novel hyperbranched polyester made from aconitic acid (B3) and di(ethylene glycol) (A2)", "type" : "article-journal", "volume" : "60" }, "uris" : [ "http://www.mendeley.com/documents/?uuid=1cf7efbc-2752-4c72-a696-10ba3bfb7a61" ] }, { "id" : "ITEM-2", "itemData" : { "DOI" : "10.1021/ma102023a", "ISBN" : "0024-9297", "ISSN" : "00249297", "author" : [ { "dropping-particle" : "", "family" : "Xue", "given" : "Zheng", "non-dropping-particle" : "", "parse-names" : false, "suffix" : "" }, { "dropping-particle" : "", "family" : "Finke", "given" : "Aaron D.", "non-dropping-particle" : "", "parse-names" : false, "suffix" : "" }, { "dropping-particle" : "", "family" : "Moore", "given" : "Jeffrey S.", "non-dropping-particle" : "", "parse-names" : false, "suffix" : "" } ], "container-title" : "Macromolecules", "id" : "ITEM-2", "issued" : { "date-parts" : [ [ "2010" ] ] }, "page" : "9277-9282", "title" : "Synthesis of hyperbranched poly(m-phenylene)s via suzuki polycondensation of a branched AB2 monomer", "type" : "article-journal", "volume" : "43" }, "uris" : [ "http://www.mendeley.com/documents/?uuid=a643ea34-4a3b-4505-a526-37bdbd993117" ] }, { "id" : "ITEM-3", "itemData" : { "DOI" : "10.1021/ma00047a001", "ISBN" : "0024-9297", "ISSN" : "00323934", "abstract" : "Highly branched polyphenylenes were synthesized from AB1 type monomers, e.g., 3,s dibromophenylboronic acid (1A) and 3,bdihalophenyl Grignard reagents (1B and 2). Monomers 1 and 2 were polymerized by Pd(0) and Ni(I1) catalyzed aryl-aryl coupling reactions, respectively. Polymers obtained from 1 had molecular weights in the 5000-35 OOO range with polydispersities less than 1.5. They are thermally stable to 550 O C and soluble in many organic solvents. 19C NMR indicates about 70% branching efficiency. A Tg at 236 O C was observed, but the polymer was brittle and did not form films. The melt viscosity of polystyrene was reduced, and the modulus was improved as a bromo functional hyperbranched polymer was added. The bromo polymer was metalated with butyllithium. The resulting lithio polymer reacted with various electrophiles to provide polymers with other end groups which control solubility aa well as thermal properties. Some of these derivatives were used as multifunctional initiators to prepare star polymers, for example, via ring-opening polymerization of propiolactone and anionic polymerization of methyl methacrylate.", "author" : [ { "dropping-particle" : "", "family" : "Kim", "given" : "Y. H.", "non-dropping-particle" : "", "parse-names" : false, "suffix" : "" }, { "dropping-particle" : "", "family" : "Webster", "given" : "O. W.", "non-dropping-particle" : "", "parse-names" : false, "suffix" : "" } ], "container-title" : "Macromolecules", "id" : "ITEM-3", "issued" : { "date-parts" : [ [ "1992" ] ] }, "page" : "5561-5572", "title" : "Hyperbranched polyphenylenes", "type" : "article-journal", "volume" : "25" }, "uris" : [ "http://www.mendeley.com/documents/?uuid=d10e9241-7543-44cb-8b5c-1cc9fa090f68" ] }, { "id" : "ITEM-4", "itemData" : { "author" : [ { "dropping-particle" : "", "family" : "Feast", "given" : "W. James", "non-dropping-particle" : "", "parse-names" : false, "suffix" : "" }, { "dropping-particle" : "", "family" : "Stainton", "given" : "Neil M", "non-dropping-particle" : "", "parse-names" : false, "suffix" : "" }, { "dropping-particle" : "", "family" : "Station", "given" : "Neil M.", "non-dropping-particle" : "", "parse-names" : false, "suffix" : "" } ], "id" : "ITEM-4", "issue" : "3", "issued" : { "date-parts" : [ [ "1995" ] ] }, "page" : "405-411", "title" : "Synthesis, Structure and Properties of some hyperbranched polyesters", "type" : "article-journal", "volume" : "5" }, "uris" : [ "http://www.mendeley.com/documents/?uuid=340efe09-88f4-4b7b-a5a0-feb44183a71f" ] }, { "id" : "ITEM-5", "itemData" : { "DOI" : "10.1021/acs.macromol.6b00994", "ISBN" : "0024-9297", "ISSN" : "15205835", "abstract" : "This article presents the first synthesis of high-molecular-weight hyperbranched polymers (over half a million) in the homopolymerization of a polymerizable trithiocarbonate chain transfer agent (i.e., transmer). Traditional reversible additionfragmentation chain transfer (RAFT) homopolymerization of transmers that used thermal initiator as radical source has been reported to only produce hyperbranched polymers with relatively low molecular weights (&lt;= 10(4)). The first part of this study extensively varied the experimental parameters in RAFT polymerization but could only marginally improve the polymer molecular weights. It was found that the vinyl focal groups were gradually consumed during the polymerization and the radical termination reactions were mainly happening between propagating radicals and primary radicals from the thermal initiator, which failed to increase the polymer molecular weight. In the second part, a new strategy was explored that used copper catalyst to activate the alkyl trithiocarbonate to generate radicals without the use of thermal initiator. This new initiation system eliminated the presence of primary radicals and ensured radical termination reactions only happening between propagating radicals, resulting in the production of hyperbranched polymers with very high molecular weight. When a small amount of atom transfer radical polymerization (ATRP) inimer was added, the concurrent ATRP/RAFT homopolymerization of transmer achieved faster polymerization rate and produced hyperbranched polymers with both high molecular weight and high degree of branching.", "author" : [ { "dropping-particle" : "", "family" : "Wang", "given" : "Xiaofeng", "non-dropping-particle" : "", "parse-names" : false, "suffix" : "" }, { "dropping-particle" : "", "family" : "Shi", "given" : "Yi", "non-dropping-particle" : "", "parse-names" : false, "suffix" : "" }, { "dropping-particle" : "", "family" : "Graff", "given" : "Robert W.", "non-dropping-particle" : "", "parse-names" : false, "suffix" : "" }, { "dropping-particle" : "", "family" : "Cao", "given" : "Xiaosong", "non-dropping-particle" : "", "parse-names" : false, "suffix" : "" }, { "dropping-particle" : "", "family" : "Gao", "given" : "Haifeng", "non-dropping-particle" : "", "parse-names" : false, "suffix" : "" } ], "container-title" : "Macromolecules", "id" : "ITEM-5", "issue" : "17", "issued" : { "date-parts" : [ [ "2016" ] ] }, "page" : "6471-6479", "title" : "Synthesis of Hyperbranched Polymers with High Molecular Weight in the Homopolymerization of Polymerizable Trithiocarbonate Transfer Agent without Thermal Initiator", "type" : "article-journal", "volume" : "49" }, "uris" : [ "http://www.mendeley.com/documents/?uuid=30c569c6-68c8-41fb-a4cb-88bb2ca7db63" ] } ], "mendeley" : { "formattedCitation" : "[4,111\u2013114]", "plainTextFormattedCitation" : "[4,111\u2013114]", "previouslyFormattedCitation" : "[4,111\u2013114]" }, "properties" : {  }, "schema" : "https://github.com/citation-style-language/schema/raw/master/csl-citation.json" }</w:instrText>
      </w:r>
      <w:r w:rsidRPr="00FD3406">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[4,111–114]</w:t>
      </w:r>
      <w:r w:rsidRPr="00FD3406">
        <w:rPr>
          <w:rFonts w:ascii="Times New Roman" w:eastAsia="DengXian" w:hAnsi="Times New Roman" w:cs="Times New Roman"/>
          <w:sz w:val="24"/>
          <w:szCs w:val="24"/>
        </w:rPr>
        <w:fldChar w:fldCharType="end"/>
      </w:r>
      <w:r w:rsidRPr="00FD3406">
        <w:rPr>
          <w:rFonts w:ascii="Times New Roman" w:eastAsia="DengXian" w:hAnsi="Times New Roman" w:cs="Times New Roman"/>
          <w:sz w:val="24"/>
          <w:szCs w:val="24"/>
        </w:rPr>
        <w:t>. However, AB</w:t>
      </w:r>
      <w:r w:rsidRPr="00FD3406">
        <w:rPr>
          <w:rFonts w:ascii="Times New Roman" w:eastAsia="DengXian" w:hAnsi="Times New Roman" w:cs="Times New Roman"/>
          <w:i/>
          <w:sz w:val="24"/>
          <w:szCs w:val="24"/>
          <w:vertAlign w:val="subscript"/>
        </w:rPr>
        <w:t>x</w:t>
      </w:r>
      <w:r>
        <w:rPr>
          <w:rFonts w:ascii="Times New Roman" w:eastAsia="DengXian" w:hAnsi="Times New Roman" w:cs="Times New Roman"/>
          <w:sz w:val="24"/>
          <w:szCs w:val="24"/>
        </w:rPr>
        <w:t>–</w:t>
      </w:r>
      <w:r w:rsidRPr="00FD3406">
        <w:rPr>
          <w:rFonts w:ascii="Times New Roman" w:eastAsia="DengXian" w:hAnsi="Times New Roman" w:cs="Times New Roman"/>
          <w:sz w:val="24"/>
          <w:szCs w:val="24"/>
        </w:rPr>
        <w:t>type monomers are very limited in the commercial industries, so there are fewer works are based on the copolymerization of commercial A</w:t>
      </w:r>
      <w:r w:rsidRPr="00FD3406">
        <w:rPr>
          <w:rFonts w:ascii="Times New Roman" w:eastAsia="DengXian" w:hAnsi="Times New Roman" w:cs="Times New Roman"/>
          <w:i/>
          <w:sz w:val="24"/>
          <w:szCs w:val="24"/>
          <w:vertAlign w:val="subscript"/>
        </w:rPr>
        <w:t>n</w:t>
      </w:r>
      <w:r w:rsidRPr="00FD3406">
        <w:rPr>
          <w:rFonts w:ascii="Times New Roman" w:eastAsia="DengXian" w:hAnsi="Times New Roman" w:cs="Times New Roman"/>
          <w:sz w:val="24"/>
          <w:szCs w:val="24"/>
        </w:rPr>
        <w:t xml:space="preserve"> and B</w:t>
      </w:r>
      <w:r w:rsidRPr="00FD3406">
        <w:rPr>
          <w:rFonts w:ascii="Times New Roman" w:eastAsia="DengXian" w:hAnsi="Times New Roman" w:cs="Times New Roman"/>
          <w:i/>
          <w:sz w:val="24"/>
          <w:szCs w:val="24"/>
          <w:vertAlign w:val="subscript"/>
        </w:rPr>
        <w:t>m</w:t>
      </w:r>
      <w:r w:rsidRPr="00FD3406">
        <w:rPr>
          <w:rFonts w:ascii="Times New Roman" w:eastAsia="DengXian" w:hAnsi="Times New Roman" w:cs="Times New Roman"/>
          <w:sz w:val="24"/>
          <w:szCs w:val="24"/>
        </w:rPr>
        <w:t xml:space="preserve"> monomers which are more available in the industry markets and can be used directly </w:t>
      </w:r>
      <w:r w:rsidRPr="00FD3406">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"10.1088/0954-0083/13/2/304", "ISBN" : "0954-0083", "ISSN" : "09540083", "abstract" : "A review with 30 refs.  Hyperbranched arom. polyamides and copolymers were prepd. by direct polycondensation in the presence of condensation agents.  Three strategies were described: (1) self-polycondensation of ABx-type monomers, (2) copolymn. of AB2 and AB monomers and (3) polymn. of A2 and B3 monomers.  The self-polycondensation of ABx monomers proceeded without gelation to form sol. powdery polymers.  The degree of branching of the hyperbranched polyamides was greatly influenced by the structure of the monomers.  Copolymn. of AB2 and AB monomers allowed control of the branching d. of the resulting polymers.  Spectroscopic measurements revealed that the copolymers were composed of five kinds of repeating units.  The good soly. and adequate soln. viscosity of the copolymers allowed the prepn. of transparent yellow films by casting the copolymer soln. onto a glass plate.  The polymn. of A2 and B3 monomers was also investigated as a novel route to prep. hyperbranched polyamides without using ABx-type monomers.  Gelation during the polymn. could be avoided by the optimization of the reaction conditions.  The structure and properties of the resulting polymers were compared with the hyperbranched polyamide prepd. from the corresponding AB2 monomer. [on SciFinder(R)]", "author" : [ { "dropping-particle" : "", "family" : "Jikei", "given" : "Mitsutoshi", "non-dropping-particle" : "", "parse-names" : false, "suffix" : "" }, { "dropping-particle" : "", "family" : "Kakimoto", "given" : "Masa-aki", "non-dropping-particle" : "", "parse-names" : false, "suffix" : "" } ], "container-title" : "High Performance Polymers", "id" : "ITEM-1", "issued" : { "date-parts" : [ [ "2001" ] ] }, "page" : "33-43", "title" : "Hyperbranched aromatic polyamides prepared by direct polycondensation", "type" : "article-journal", "volume" : "13" }, "uris" : [ "http://www.mendeley.com/documents/?uuid=a00d3bb6-0a57-44ec-b3ca-2be2ba4e9a49" ] }, { "id" : "ITEM-2", "itemData" : { "DOI" : "10.1002/pola", "ISBN" : "0887-624X", "ISSN" : "00323934", "PMID" : "269090300007", "abstract" : "Well-defined trifluoromethylated poly(phenylene oxide)s were synthesized via nucleophilic aromatic substitution (SNAr) reaction by a chain-growth polymerization manner. Poly- merization of potassium 4-fluoro-3-(trifluoromethyl)phenolate in the presence of an appropriate initiator yielded polymers with molecular weights of ?4000 and polydispersity indices of &lt;1.2, which were characterized by 1H nuclear magnetic resonance spectroscopy and gel permeation chromatography. Initiating sites for atom transfer radical polymerization (ATRP) were intro- duced at the either side of chain ends of the poly(phenylene ox- ide), and used for ATRP of styrene and methyl methacrylate, yielding well-defined rod-coil block copolymers. Differential scan- ning calorimetry study indicated that the well-defined trifluoro- methylated poly(phenylene oxide)s showed high crystallinity and were immiscible with polystyrene. V", "author" : [ { "dropping-particle" : "", "family" : "Kudo", "given" : "Hiroto", "non-dropping-particle" : "", "parse-names" : false, "suffix" : "" }, { "dropping-particle" : "", "family" : "Maruyama", "given" : "Ken", "non-dropping-particle" : "", "parse-names" : false, "suffix" : "" }, { "dropping-particle" : "", "family" : "Shindo", "given" : "Syoko", "non-dropping-particle" : "", "parse-names" : false, "suffix" : "" }, { "dropping-particle" : "", "family" : "Nishikubo", "given" : "Tadatomi", "non-dropping-particle" : "", "parse-names" : false, "suffix" : "" }, { "dropping-particle" : "", "family" : "Nishimura", "given" : "Isao", "non-dropping-particle" : "", "parse-names" : false, "suffix" : "" } ], "container-title" : "Journal of Polymer Science Part A: Polymer Chemistry", "id" : "ITEM-2", "issue" : "1", "issued" : { "date-parts" : [ [ "2006" ] ] }, "page" : "3640-3649", "title" : "Syntheses and properties of hyperbranched polybenzoxazole by thermal cyclodehydration of hyperbranched poly[o-(t-butoxycarbonyl)amide] via A2+B3 Approach", "type" : "article-journal", "volume" : "44" }, "uris" : [ "http://www.mendeley.com/documents/?uuid=b584d434-9c5f-4113-87bf-54ca8fea2f3f" ] }, { "id" : "ITEM-3", "itemData" : { "DOI" : "10.1002/1099-0518(200012)38:1+&lt;4850::AID-POLA230&gt;3.0.CO;2-G", "ISBN" : "0887-624X", "ISSN" : "0887624X", "abstract" : "Hyperbranched polymers consisting of arom. or aliph. polyether cores and epoxide chain-end peripheries were prepd. by proton transfer polymn. AB2 diepoxyphenol monomer 1 proved to be well suited for the prepn. of hyperbranched arom. polymer 2 by this proton transfer polymn. The use of chloride-ion catalysis, rather than conventional base catalysis, for the prepn. of polymers from diepoxyphenol 1 offered a unique method to control the ultimate mol. wt. of the polymer product through variations of the initial concn. of monomer 1 in THF. An alternative route to hyperbranched polyether epoxies made use of com. available or easily prepd. aliph. monomers of the types AB2, AB3, and A2 + B3. Although these aliph. polymns. can be initiated with a base, chloride-ion catalysis proved most effective for controlling the polymn. The hyperbranched epoxies were characterized by NMR spectroscopy, gel permeation chromatog., and multi-angle laser light scattering. Chem. modification of the polymers after polymn. was carried out via nucleophilic addn. on the epoxide groups or derivatization of the hydroxy substituents within the hyperbranched polymer structure. Spectroscopic measurements suggested that some such ring-opened materials may adopt reverse unimol. micellar structures in appropriate soln. environments.", "author" : [ { "dropping-particle" : "", "family" : "Emrick", "given" : "Todd", "non-dropping-particle" : "", "parse-names" : false, "suffix" : "" }, { "dropping-particle" : "", "family" : "Chang", "given" : "Han-ting", "non-dropping-particle" : "", "parse-names" : false, "suffix" : "" }, { "dropping-particle" : "", "family" : "Frechet", "given" : "Jean M J", "non-dropping-particle" : "", "parse-names" : false, "suffix" : "" } ], "container-title" : "Journal of Polymer Science Part A: Polymer Chemistry", "id" : "ITEM-3", "issued" : { "date-parts" : [ [ "2000" ] ] }, "page" : "4850-4869", "title" : "The Preparation of Hyperbranched Aromatic and Aliphatic Polyether Epoxies by Chloride-Catalyzed Proton Transfer Polymerization from ABn and A2+B3 Monomers", "type" : "article-journal", "volume" : "38" }, "uris" : [ "http://www.mendeley.com/documents/?uuid=a9db1380-0612-44b8-9f69-c1d90635536b" ] }, { "id" : "ITEM-4", "itemData" : { "DOI" : "10.1021/ma990687b", "ISBN" : "0024-9297", "ISSN" : "0024-9297", "abstract" : "Branched polyethers were prepd. by A2 + B3 polymn. approach using 1,2,7,8-diepoxyoctane as the A2 monomer and 1,1,1-tris(hydroxymethyl)ethane as the B3 monomer in the presence of tetrabutylammonium chloride catalyst. The epoxy content of the polymer increased with increasing the starting relative ratio of the diepoxide to the triol. The hyperbranched nature of the polymer was revealed by 1H-NMR spectra.", "author" : [ { "dropping-particle" : "", "family" : "Emrick", "given" : "T", "non-dropping-particle" : "", "parse-names" : false, "suffix" : "" }, { "dropping-particle" : "", "family" : "Chang", "given" : "H T", "non-dropping-particle" : "", "parse-names" : false, "suffix" : "" }, { "dropping-particle" : "", "family" : "Frechet", "given" : "J M J", "non-dropping-particle" : "", "parse-names" : false, "suffix" : "" } ], "container-title" : "Macromolecules", "id" : "ITEM-4", "issued" : { "date-parts" : [ [ "1999" ] ] }, "page" : "6380-6382", "title" : "An A2+ B3 approach to hyperbranched aliphatic polyethers containing chain end epoxy substituents", "type" : "article-journal", "volume" : "32" }, "uris" : [ "http://www.mendeley.com/documents/?uuid=b75f127e-cd9e-4942-916f-504c59253062" ] }, { "id" : "ITEM-5", "itemData" : { "DOI" : "10.1021/ma047580v", "ISSN" : "00249297", "author" : [ { "dropping-particle" : "", "family" : "Lin", "given" : "Qin", "non-dropping-particle" : "", "parse-names" : false, "suffix" : "" }, { "dropping-particle" : "", "family" : "Long", "given" : "Timothy E.", "non-dropping-particle" : "", "parse-names" : false, "suffix" : "" }, { "dropping-particle" : "", "family" : "Wu", "given" : "Decheng", "non-dropping-particle" : "", "parse-names" : false, "suffix" : "" }, { "dropping-particle" : "", "family" : "Liu", "given" : "Ye", "non-dropping-particle" : "", "parse-names" : false, "suffix" : "" }, { "dropping-particle" : "", "family" : "Chen", "given" : "Ling", "non-dropping-particle" : "", "parse-names" : false, "suffix" : "" }, { "dropping-particle" : "Bin", "family" : "He", "given" : "Chao", "non-dropping-particle" : "", "parse-names" : false, "suffix" : "" }, { "dropping-particle" : "", "family" : "Chung", "given" : "Tai Shung", "non-dropping-particle" : "", "parse-names" : false, "suffix" : "" }, { "dropping-particle" : "", "family" : "Goh", "given" : "Suat Hong", "non-dropping-particle" : "", "parse-names" : false, "suffix" : "" }, { "dropping-particle" : "", "family" : "Lin", "given" : "Qin", "non-dropping-particle" : "", "parse-names" : false, "suffix" : "" }, { "dropping-particle" : "", "family" : "Long", "given" : "Timothy E.", "non-dropping-particle" : "", "parse-names" : false, "suffix" : "" } ], "container-title" : "Macromolecules", "id" : "ITEM-5", "issued" : { "date-parts" : [ [ "2003" ] ] }, "page" : "9809-9816", "title" : "polymerization of A2 with B3 monomers: a facile approach to hyperbranched poly(aryl ester)s", "type" : "article-journal", "volume" : "36" }, "uris" : [ "http://www.mendeley.com/documents/?uuid=8f1466b8-73bc-42a2-94d6-9bc841c5a221" ] } ], "mendeley" : { "formattedCitation" : "[5,115\u2013118]", "plainTextFormattedCitation" : "[5,115\u2013118]", "previouslyFormattedCitation" : "[5,115\u2013118]" }, "properties" : {  }, "schema" : "https://github.com/citation-style-language/schema/raw/master/csl-citation.json" }</w:instrText>
      </w:r>
      <w:r w:rsidRPr="00FD3406">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[5,115–118]</w:t>
      </w:r>
      <w:r w:rsidRPr="00FD3406">
        <w:rPr>
          <w:rFonts w:ascii="Times New Roman" w:eastAsia="DengXian" w:hAnsi="Times New Roman" w:cs="Times New Roman"/>
          <w:sz w:val="24"/>
          <w:szCs w:val="24"/>
        </w:rPr>
        <w:fldChar w:fldCharType="end"/>
      </w:r>
      <w:r w:rsidRPr="00FD3406">
        <w:rPr>
          <w:rFonts w:ascii="Times New Roman" w:eastAsia="DengXian" w:hAnsi="Times New Roman" w:cs="Times New Roman"/>
          <w:sz w:val="24"/>
          <w:szCs w:val="24"/>
        </w:rPr>
        <w:t xml:space="preserve">. Besides, self-condensation vinyl polymerization (SCVP) developed by Frechet et al. </w:t>
      </w:r>
      <w:r w:rsidRPr="00FD3406">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"10.1016/j.progpolymsci.2003.12.002", "ISBN" : "0079-6700", "ISSN" : "00796700", "PMID" : "17305842", "abstract" : "Over the past 15 years, hyperbranched polymers have received much attention due to their unique chemical and physical properties as well as their potential applications in coatings, additives, drug and gene delivery, macromolecular building blocks, nanotechnology, and supramolecular science. Hyperbranched polymers can be prepared by means of single-monomer methodology (SMM) and double-monomer methodology (DMM). In SMM, the polymerization of an ABn or latent ABn monomer leads to hyperbranched macromolecules. SMM consists of at least four components: (1) polycondensation of ABn monomers; (2) self-condensing vinyl polymerization; (3) self-condensing ring-opening polymerization; (4) proton-transfer polymerization. In DMM, direct polymerization of two suitable monomers or a monomer pair gives rise to hyperbranched polymers. A classical example of DMM, the polymerization of A2 and Bn (n&gt;2) monomers, is well known. Recently, a novel DMM based on the in situ formation of ABn intermediates from specific monomer pairs has been developed. This form of DMM is designated as 'couple-monomer methodology' (CMM) to clearly represent the method of polymerization. Many commercially available chemicals can be used as the monomers in these systems, which should extend the availability and accessibility of hyperbranched polymers with various new end groups, architectures and properties. Because a number of comprehensive reviews have been published on SMM, research involving DMM is emphasized here. In addition, recent developments in the modification, functionalization and application of hyperbranched polymers are described. ?? 2004 Elsevier Ltd. All rights reserved.", "author" : [ { "dropping-particle" : "", "family" : "Gao", "given" : "C.", "non-dropping-particle" : "", "parse-names" : false, "suffix" : "" }, { "dropping-particle" : "", "family" : "Yan", "given" : "D.", "non-dropping-particle" : "", "parse-names" : false, "suffix" : "" } ], "container-title" : "Progress in Polymer Science (Oxford)", "id" : "ITEM-1", "issue" : "3", "issued" : { "date-parts" : [ [ "2004" ] ] }, "page" : "183-275", "title" : "Hyperbranched polymers: From synthesis to applications", "type" : "article-journal", "volume" : "29" }, "uris" : [ "http://www.mendeley.com/documents/?uuid=8bbb48f3-3119-46e9-8246-abc40d1c16ee" ] }, { "id" : "ITEM-2", "itemData" : { "DOI" : "DOI 10.1126/science.269.5227.1080", "ISBN" : "0036-8075", "ISSN" : "0036-8075", "PMID" : "17755528", "abstract" : "Self-condensing vinyl polymerization was used to produce dendritic polymers with both highly branched structures and numerous reactive groups. A vinyl monomer will undergo self-polymerization if it contains a pendant group that can be transformed into an initialing moiety by the action of an external stimulus. The self-polymerization combines features of a classical vinyl polymerization process with those of a polycondensation because growth is accomplished by the coupling of reactive oligomers. Highly branched, irregular dendritic structures with a multiplicity of reactive functionalities are obtained by polymerization of 3-(1-chloroethyl)-ethenylbenzene.", "author" : [ { "dropping-particle" : "", "family" : "Frechet", "given" : "J M J", "non-dropping-particle" : "", "parse-names" : false, "suffix" : "" }, { "dropping-particle" : "", "family" : "Henmi", "given" : "M", "non-dropping-particle" : "", "parse-names" : false, "suffix" : "" }, { "dropping-particle" : "", "family" : "Gitsov", "given" : "I", "non-dropping-particle" : "", "parse-names" : false, "suffix" : "" }, { "dropping-particle" : "", "family" : "Aoshima", "given" : "S", "non-dropping-particle" : "", "parse-names" : false, "suffix" : "" }, { "dropping-particle" : "", "family" : "Leduc", "given" : "M R", "non-dropping-particle" : "", "parse-names" : false, "suffix" : "" }, { "dropping-particle" : "", "family" : "Grubbs", "given" : "R B", "non-dropping-particle" : "", "parse-names" : false, "suffix" : "" } ], "container-title" : "Science", "id" : "ITEM-2", "issue" : "5227", "issued" : { "date-parts" : [ [ "1995" ] ] }, "page" : "1080-1083", "title" : "Self-Condensing Vinyl Polymerization - an Approach to Dendritic Materials", "type" : "article-journal", "volume" : "269" }, "uris" : [ "http://www.mendeley.com/documents/?uuid=5855f31d-63e3-4a6e-89fa-59c6c53da5c6" ] }, { "id" : "ITEM-3", "itemData" : { "DOI" : "10.1016/S0032-3861(01)00494-3", "ISBN" : "0032-3861", "ISSN" : "00323861", "abstract" : "A series of hyperbranched polyacrylates were synthesized by self-condensing vinyl polymn. (SCVP) of 2-[(2-bromobutyryl)oxy]ethyl acrylate (BBEA). A tetrafunctional atom transfer radical polymn. (ATRP) initiator (THABI) capped with bromoisobutyrate, which has higher reactivity than the initiating site of monomer, was used as core-forming mols. The structure and properties of the obtained polymers were characterized by NMR and SEC/RALLS/DV/RI. The effect of the tetrafunctional initiator on mol. wt. and mol. wt. distribution of polymers was studied. [on SciFinder (R)]", "author" : [ { "dropping-particle" : "", "family" : "Hong", "given" : "C Y", "non-dropping-particle" : "", "parse-names" : false, "suffix" : "" }, { "dropping-particle" : "", "family" : "Pan", "given" : "C Y", "non-dropping-particle" : "", "parse-names" : false, "suffix" : "" } ], "container-title" : "Polymer", "id" : "ITEM-3", "issued" : { "date-parts" : [ [ "2001" ] ] }, "page" : "9385-9391", "title" : "Synthesis and characterization of hyperbranched polyacrylates in the presence of a tetrafunctional initiator with higher reactivity than monomer by self-condensing vinyl polymerization", "type" : "article-journal", "volume" : "42" }, "uris" : [ "http://www.mendeley.com/documents/?uuid=427d1cc6-baa9-4466-8185-71cdd5ec15ca" ] }, { "id" : "ITEM-4", "itemData" : { "DOI" : "10.1021/ma9513877", "ISSN" : "0024-9297", "abstract" : "The homopolymn. of p-(chloromethyl)styrene (I), by use of Atom Transfer Radical Polymn., ATRP, provided hyperbranched polymers. The polymers are highly functionalized, with the no. of Cl end functionalities equal to the no. of repeat units in the polymer. Copolymers of I with styrene formed a branched polymer with a viscosity lower than a linear analog of similar mol. wt.", "author" : [ { "dropping-particle" : "", "family" : "Gaynor", "given" : "Scott G.", "non-dropping-particle" : "", "parse-names" : false, "suffix" : "" }, { "dropping-particle" : "", "family" : "Edelman", "given" : "Shane", "non-dropping-particle" : "", "parse-names" : false, "suffix" : "" }, { "dropping-particle" : "", "family" : "Matyjaszewski", "given" : "Krzysztof", "non-dropping-particle" : "", "parse-names" : false, "suffix" : "" } ], "container-title" : "Macromolecules", "id" : "ITEM-4", "issued" : { "date-parts" : [ [ "1996" ] ] }, "page" : "1079-1081", "title" : "Synthesis of Branched and Hyperbranched Polystyrenes", "type" : "article-journal", "volume" : "29" }, "uris" : [ "http://www.mendeley.com/documents/?uuid=688bec1a-10b2-4498-aa63-ebe08afa1356" ] } ], "mendeley" : { "formattedCitation" : "[119\u2013122]", "plainTextFormattedCitation" : "[119\u2013122]", "previouslyFormattedCitation" : "[119\u2013122]" }, "properties" : {  }, "schema" : "https://github.com/citation-style-language/schema/raw/master/csl-citation.json" }</w:instrText>
      </w:r>
      <w:r w:rsidRPr="00FD3406">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[119–122]</w:t>
      </w:r>
      <w:r w:rsidRPr="00FD3406">
        <w:rPr>
          <w:rFonts w:ascii="Times New Roman" w:eastAsia="DengXian" w:hAnsi="Times New Roman" w:cs="Times New Roman"/>
          <w:sz w:val="24"/>
          <w:szCs w:val="24"/>
        </w:rPr>
        <w:fldChar w:fldCharType="end"/>
      </w:r>
      <w:r w:rsidRPr="00FD3406">
        <w:rPr>
          <w:rFonts w:ascii="Times New Roman" w:eastAsia="DengXian" w:hAnsi="Times New Roman" w:cs="Times New Roman"/>
          <w:sz w:val="24"/>
          <w:szCs w:val="24"/>
        </w:rPr>
        <w:t xml:space="preserve">, and self-condensation ring-opening polymerization (SCROP) can also be employed for synthesis of hyperbranched polymers </w:t>
      </w:r>
      <w:r w:rsidRPr="00FD3406">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"10.1002/(SICI)1521-3927(19990801)20:8&lt;453::AID-MARC453&gt;3.0.CO;2-B", "ISSN" : "1022-1336", "author" : [ { "dropping-particle" : "", "family" : "Magnusson", "given" : "Hel\u00e9ne", "non-dropping-particle" : "", "parse-names" : false, "suffix" : "" }, { "dropping-particle" : "", "family" : "Malmstr\u00f6m", "given" : "Eva", "non-dropping-particle" : "", "parse-names" : false, "suffix" : "" }, { "dropping-particle" : "", "family" : "Hult", "given" : "Anders", "non-dropping-particle" : "", "parse-names" : false, "suffix" : "" } ], "container-title" : "Macromolecular rapid communications", "id" : "ITEM-1", "issued" : { "date-parts" : [ [ "1999" ] ] }, "page" : "453-457", "title" : "Synthesis of hyperbranched aliphatic polyethers via cationic ring-opening polymerization of 3-ethyl-3-(hydroxymethyl) oxetane", "type" : "article-journal", "volume" : "20" }, "uris" : [ "http://www.mendeley.com/documents/?uuid=46032b26-d68d-4fb9-8069-8d224ed10365" ] }, { "id" : "ITEM-2", "itemData" : { "DOI" : "10.1021/ma971222t", "ISBN" : "0024-9297", "ISSN" : "0024-9297", "author" : [ { "dropping-particle" : "", "family" : "Suzuki", "given" : "Masato", "non-dropping-particle" : "", "parse-names" : false, "suffix" : "" }, { "dropping-particle" : "", "family" : "Yoshida", "given" : "Satoshi", "non-dropping-particle" : "", "parse-names" : false, "suffix" : "" }, { "dropping-particle" : "", "family" : "Shiraga", "given" : "Koichi", "non-dropping-particle" : "", "parse-names" : false, "suffix" : "" }, { "dropping-particle" : "", "family" : "Saegusa", "given" : "Takeo", "non-dropping-particle" : "", "parse-names" : false, "suffix" : "" } ], "container-title" : "Macromolecules", "id" : "ITEM-2", "issued" : { "date-parts" : [ [ "1998" ] ] }, "page" : "1716-1719", "title" : "New Ring-Opening Polymerization via a \u03c0 -Allylpalladium Complex . 5 . Multibranching Polymerization of Cyclic Carbamate To Produce Hyperbranched Dendritic Polyamine", "type" : "article-journal", "volume" : "31" }, "uris" : [ "http://www.mendeley.com/documents/?uuid=210bac87-a306-433b-87de-041b7b8be925" ] }, { "id" : "ITEM-3", "itemData" : { "DOI" : "10.1021/ma990090w", "ISBN" : "0024-9297", "ISSN" : "00249297", "abstract" : "Glycidol represents a latent cyclic AB2-type monomer that can be polymerized in a ring-opening multibranching polymerization (ROMBP). Hyperbranched aliphatic polyethers with controlled molecular weights and narrow molecular weight distribution have been prepared via anionic polymerization of glycidol with rapid cation-exchange equilibrium. 1,1,1-Tris(hydroxymethyl)propane (TMP) was partially deprotonated (10%) and used as initiator for the anionic polymerization carried out under slow addition conditions to minimize polymerization without initiator as well as cyclization. 13C NMR spectra were employed to assess the degree of branching (DB), which was in the range 0.53?0.59. 13C NMR, MALDI-TOF mass spectrometry, vapor pressure osmometry (VPO), and GPC were used to characterize molecular weights and polydispersities of the polyols formed, showing good agreement. n for the polymers prepared was in the range 15?83 (M?n = 1250?6500), and M?w/M?n obtained was 1.13?1.47, being exceptionally low for hyperbranched polymers. MALDI-TOF spectra evidenced complete attachment of the hyperbranched structures to the TMP initiator and the absence of macrocyclics as well as hyperbranched macromolecules without initiator, due to the slow addition. The hyperbranched polyethers prepared showed Tg's between ?20 and ? 26 \u00b0C. Glycidol represents a latent cyclic AB2-type monomer that can be polymerized in a ring-opening multibranching polymerization (ROMBP). Hyperbranched aliphatic polyethers with controlled molecular weights and narrow molecular weight distribution have been prepared via anionic polymerization of glycidol with rapid cation-exchange equilibrium. 1,1,1-Tris(hydroxymethyl)propane (TMP) was partially deprotonated (10%) and used as initiator for the anionic polymerization carried out under slow addition conditions to minimize polymerization without initiator as well as cyclization. 13C NMR spectra were employed to assess the degree of branching (DB), which was in the range 0.53?0.59. 13C NMR, MALDI-TOF mass spectrometry, vapor pressure osmometry (VPO), and GPC were used to characterize molecular weights and polydispersities of the polyols formed, showing good agreement. n for the polymers prepared was in the range 15?83 (M?n = 1250?6500), and M?w/M?n obtained was 1.13?1.47, being exceptionally low for hyperbranched polymers. MALDI-TOF spectra evidenced complete attachment of the hyperbranched structures to the TMP initiator and the absence of macrocyclics as well a\u2026", "author" : [ { "dropping-particle" : "", "family" : "Sunder", "given" : "Alexander", "non-dropping-particle" : "", "parse-names" : false, "suffix" : "" }, { "dropping-particle" : "", "family" : "Hanselmann", "given" : "Ralf", "non-dropping-particle" : "", "parse-names" : false, "suffix" : "" }, { "dropping-particle" : "", "family" : "Frey", "given" : "Holger", "non-dropping-particle" : "", "parse-names" : false, "suffix" : "" }, { "dropping-particle" : "", "family" : "M\u00fclhaupt", "given" : "Rolf", "non-dropping-particle" : "", "parse-names" : false, "suffix" : "" } ], "container-title" : "Macromolecules", "id" : "ITEM-3", "issued" : { "date-parts" : [ [ "1999" ] ] }, "page" : "4240-4246", "title" : "Controlled synthesis of hyperbranched polyglycerols by ring-opening multibranching polymerization", "type" : "article-journal", "volume" : "32" }, "uris" : [ "http://www.mendeley.com/documents/?uuid=61819f95-307d-42cf-bf1e-ea6f77073c56" ] }, { "id" : "ITEM-4", "itemData" : { "DOI" : "10.1021/ma990785x", "ISSN" : "0024-9297", "author" : [ { "dropping-particle" : "", "family" : "Liu", "given" : "Mingjun", "non-dropping-particle" : "", "parse-names" : false, "suffix" : "" }, { "dropping-particle" : "", "family" : "Vladimirov", "given" : "Nikolay", "non-dropping-particle" : "", "parse-names" : false, "suffix" : "" }, { "dropping-particle" : "", "family" : "Fr\u00e9chet", "given" : "Jean M. J.", "non-dropping-particle" : "", "parse-names" : false, "suffix" : "" } ], "container-title" : "Macromolecules", "id" : "ITEM-4", "issued" : { "date-parts" : [ [ "1999" ] ] }, "page" : "6881-6884", "title" : "A new approach to hyperbranched polymers by ring-opening polymerization of an AB nonomer: 4-(2-hydroxyethyl)-\u03b5-caprolactone", "type" : "article-journal", "volume" : "32" }, "uris" : [ "http://www.mendeley.com/documents/?uuid=7c472974-8392-409a-875a-0babf3994cb5" ] }, { "id" : "ITEM-5", "itemData" : { "DOI" : "10.1002/1521-3927(20000601)21:9&lt;557::AID-MARC557&gt;3.0.CO;2-K", "ISSN" : "1022-1336", "author" : [ { "dropping-particle" : "", "family" : "Yan", "given" : "Deyue", "non-dropping-particle" : "", "parse-names" : false, "suffix" : "" }, { "dropping-particle" : "", "family" : "Hou", "given" : "Jian", "non-dropping-particle" : "", "parse-names" : false, "suffix" : "" }, { "dropping-particle" : "", "family" : "Zhu", "given" : "Xinyuan", "non-dropping-particle" : "", "parse-names" : false, "suffix" : "" }, { "dropping-particle" : "", "family" : "Kosman", "given" : "Joseph J.", "non-dropping-particle" : "", "parse-names" : false, "suffix" : "" }, { "dropping-particle" : "", "family" : "Wu", "given" : "Huey-Shen", "non-dropping-particle" : "", "parse-names" : false, "suffix" : "" } ], "container-title" : "Macromolecular Rapid Communications", "id" : "ITEM-5", "issued" : { "date-parts" : [ [ "2000" ] ] }, "page" : "557-561", "title" : "A new approach to control crystallinity of resulting polymers: Self-condensing ring opening polymerization", "type" : "article-journal", "volume" : "21" }, "uris" : [ "http://www.mendeley.com/documents/?uuid=2c632b2c-35d8-4341-8fa1-fd7729e3d2df" ] }, { "id" : "ITEM-6", "itemData" : { "DOI" : "10.1021/ma00051a055", "ISBN" : "0024929719", "ISSN" : "0024-9297", "abstract" : "Recently, hyperbranched dendritic macromolecules are attracting much attention due to their specific structures and characteristics. These molecules with regular branch-ing have been prepared by a stepwise method, Le., repetition of reactions and subsequent purification.'I2 Another synthetic method recently developed is poly-condensation or polyaddition of a AB,, type monomer although the product polymer has imperfect bran~hing.~ The present paper presents a new concept for chain polymerization, adequately termed 'multibranching po-lymerization (MBP)\", which provides a dendritic polymer involving the initiator as the core (Scheme I). The most characteristic aspect of MBP is multiplication of the propagating ends at every step of propagation. Our previous exploration of Pd-catalyzed ring-opening polymerization4 suggested to us an idea of MBP as well as a monomer structure for it, i.e., 5,5-dimethyl-6-ethenylperhydro-l,3-oxazin-2-one (I). The key point of the monomer design is that 1 has an amidic proton which is a dormant propagating end (vide infra).5 In agreement with our plan, 1 was polymerized at room temperature in THF with the aid of Pd~(dba)&amp;HC13-2dppe, as catalyst, to produce dendritic polyamine 2 together with evolution of COz (Scheme 11). As espected, primary or secondary amines worked as the initiators for the polymerization to manipulate mo-lecular weights of the product polymers. Table I shows representative results employing benzylamine, as initiator. l H NMR spectra of reaction mixtures revealed that the monomer was almost quantitatively converted to the polymer. Purification to exclude ligands from the polymer allowed the low molecular weight part to escape. There-fore, as lower molecular weight polymer were produced, the isolate yields were reduced and the DP values became higher than those calculated on the feed ratio of the initiator to monomer. The control reaction without any initiators proceeded slowly, but insoluble product was obtained6 (run 4); however, its IR spectrum was completely identical with that OP the soluble polymer produced with the initiator. The polymer structure was identified by 13C and lH NMR spectra, as compared with models such as neopen-tylamine, N-allylneopentylamine, and NJV-diallylneo-pentylamine. These spectra indicated that the polymer has incomplete branching consisting of not only primary and tertiary but also secondary amino moieties; the former ar a polymer end and a branching junction, respectively, a\u2026", "author" : [ { "dropping-particle" : "", "family" : "Suzuki", "given" : "Masato", "non-dropping-particle" : "", "parse-names" : false, "suffix" : "" }, { "dropping-particle" : "", "family" : "Ii", "given" : "Atsuhiko", "non-dropping-particle" : "", "parse-names" : false, "suffix" : "" }, { "dropping-particle" : "", "family" : "Saegusai", "given" : "Takeo", "non-dropping-particle" : "", "parse-names" : false, "suffix" : "" } ], "container-title" : "Macromolecules", "id" : "ITEM-6", "issued" : { "date-parts" : [ [ "1992" ] ] }, "page" : "7071-7072", "title" : "Multibranching Polymerization: Palladium-Catalyzed Ringopening Polymerization of Cyclic Carbamate To Produce Hyperbranched Dendritic Polyamine", "type" : "article-journal", "volume" : "25" }, "uris" : [ "http://www.mendeley.com/documents/?uuid=fca1b8c2-773c-4882-b0b6-a3783c1af01d" ] } ], "mendeley" : { "formattedCitation" : "[123\u2013128]", "plainTextFormattedCitation" : "[123\u2013128]", "previouslyFormattedCitation" : "[123\u2013128]" }, "properties" : {  }, "schema" : "https://github.com/citation-style-language/schema/raw/master/csl-citation.json" }</w:instrText>
      </w:r>
      <w:r w:rsidRPr="00FD3406">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[123–128]</w:t>
      </w:r>
      <w:r w:rsidRPr="00FD3406">
        <w:rPr>
          <w:rFonts w:ascii="Times New Roman" w:eastAsia="DengXian" w:hAnsi="Times New Roman" w:cs="Times New Roman"/>
          <w:sz w:val="24"/>
          <w:szCs w:val="24"/>
        </w:rPr>
        <w:fldChar w:fldCharType="end"/>
      </w:r>
      <w:r w:rsidRPr="00FD3406">
        <w:rPr>
          <w:rFonts w:ascii="Times New Roman" w:eastAsia="DengXian" w:hAnsi="Times New Roman" w:cs="Times New Roman"/>
          <w:sz w:val="24"/>
          <w:szCs w:val="24"/>
        </w:rPr>
        <w:t>.</w:t>
      </w:r>
    </w:p>
    <w:p w14:paraId="6845C8D7" w14:textId="77777777" w:rsidR="003C6953" w:rsidRDefault="003C6953" w:rsidP="003C6953">
      <w:pPr>
        <w:spacing w:after="0" w:line="480" w:lineRule="auto"/>
        <w:jc w:val="both"/>
        <w:rPr>
          <w:rFonts w:ascii="Times New Roman" w:eastAsia="DengXian" w:hAnsi="Times New Roman" w:cs="Times New Roman"/>
          <w:sz w:val="24"/>
          <w:szCs w:val="24"/>
        </w:rPr>
      </w:pPr>
    </w:p>
    <w:p w14:paraId="5836D8AA" w14:textId="6DE8AAA9" w:rsidR="003C6953" w:rsidRDefault="00165B0C" w:rsidP="003C6953">
      <w:pPr>
        <w:pStyle w:val="Heading2"/>
        <w:spacing w:before="0"/>
        <w:ind w:left="567" w:hanging="567"/>
      </w:pPr>
      <w:bookmarkStart w:id="52" w:name="_Toc518823247"/>
      <w:r>
        <w:t>2.</w:t>
      </w:r>
      <w:r w:rsidR="003C6953">
        <w:t>6.3. Branching degree (DB)</w:t>
      </w:r>
      <w:bookmarkEnd w:id="52"/>
    </w:p>
    <w:p w14:paraId="4B22D590" w14:textId="3DE2BBD4" w:rsidR="003C6953" w:rsidRDefault="003C6953" w:rsidP="003C6953">
      <w:pPr>
        <w:spacing w:after="0" w:line="480" w:lineRule="auto"/>
        <w:jc w:val="both"/>
        <w:rPr>
          <w:rFonts w:ascii="Times New Roman" w:eastAsia="DengXian" w:hAnsi="Times New Roman" w:cs="Times New Roman"/>
          <w:sz w:val="24"/>
          <w:szCs w:val="24"/>
        </w:rPr>
      </w:pPr>
      <w:r>
        <w:rPr>
          <w:rFonts w:ascii="Times New Roman" w:eastAsia="DengXian" w:hAnsi="Times New Roman" w:cs="Times New Roman"/>
          <w:sz w:val="24"/>
          <w:szCs w:val="24"/>
        </w:rPr>
        <w:t xml:space="preserve">Branching degree (DB) is the extent of branching for hyperbranched polymers. The chemical structure and DB have a profound influence on the physical and chemical properties of a hyperbranched polymers, which is necessary to identify the potential applications </w:t>
      </w:r>
      <w:r>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"10.1002/(SICI)1521-4044(19990201)50:2/3&lt;67::AID-APOL67&gt;3.0.CO;2-W", "ISBN" : "0323764819", "ISSN" : "1521-4044", "abstract" : "Topological considerations concerning the ratio of linear, imperfectly branched, dendritic and terminal units in hyperbranched polymers based on AB2, AB3 and AB, (m 2 2) type monomers are summarized. The reaction of AB2 monomers with a core molecule of the structure Bf is also treated. For larger hyperbranched polymers based on AB2 monomers the fraction of termi- nal units has to be equal to the number of dendritic units. A general expression for the degree of branching (DB) is derived for AB2 systems, which is based on the number of dendritic and linear units. The expression is valid for low molecular weight as well as high molecular weight hyperbranched polymers in contrast to the commonly used expression based on dendritic, linear and terminal units. DB may not exceed 0.5 in hyperbranched polymers based on AB2 systems (0.44 in AB3 systems). Further- more, a general expression for DB in hyperbranched polymers based on AB, monomers is derived. Consequences for signal ratios in NMR-spectra of hyperbranched polymers are discussed. The expressions presented allow verification of NMR-inte- gration ratios obtained experimentally on the basis of model compounds.", "author" : [ { "dropping-particle" : "", "family" : "H\u00f6lter", "given" : "D.", "non-dropping-particle" : "", "parse-names" : false, "suffix" : "" }, { "dropping-particle" : "", "family" : "Burgath", "given" : "A.", "non-dropping-particle" : "", "parse-names" : false, "suffix" : "" }, { "dropping-particle" : "", "family" : "Frey", "given" : "H.", "non-dropping-particle" : "", "parse-names" : false, "suffix" : "" } ], "container-title" : "Acta Polymerica", "id" : "ITEM-1", "issued" : { "date-parts" : [ [ "1997" ] ] }, "page" : "30-35", "title" : "Degree of branching in hyperbranched polymers", "type" : "article-journal", "volume" : "48" }, "uris" : [ "http://www.mendeley.com/documents/?uuid=b988dec6-ee80-4a64-a0fa-fe4cfa1cc908" ] } ], "mendeley" : { "formattedCitation" : "[129]", "plainTextFormattedCitation" : "[129]", "previouslyFormattedCitation" : "[129]" }, "properties" : {  }, "schema" : "https://github.com/citation-style-language/schema/raw/master/csl-citation.json" }</w:instrText>
      </w:r>
      <w:r>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[129]</w:t>
      </w:r>
      <w:r>
        <w:rPr>
          <w:rFonts w:ascii="Times New Roman" w:eastAsia="DengXian" w:hAnsi="Times New Roman" w:cs="Times New Roman"/>
          <w:sz w:val="24"/>
          <w:szCs w:val="24"/>
        </w:rPr>
        <w:fldChar w:fldCharType="end"/>
      </w:r>
      <w:r>
        <w:rPr>
          <w:rFonts w:ascii="Times New Roman" w:eastAsia="DengXian" w:hAnsi="Times New Roman" w:cs="Times New Roman"/>
          <w:sz w:val="24"/>
          <w:szCs w:val="24"/>
        </w:rPr>
        <w:t xml:space="preserve">. DB is a structural property that is determined by the concentration of linear (L), terminal (T) and dendritic (D) units. </w:t>
      </w:r>
      <w:r w:rsidRPr="006F6A63">
        <w:rPr>
          <w:rFonts w:ascii="Times New Roman" w:eastAsia="DengXian" w:hAnsi="Times New Roman" w:cs="Times New Roman"/>
          <w:sz w:val="24"/>
          <w:szCs w:val="24"/>
        </w:rPr>
        <w:t>Two main methods are usually employed to calculate DB by Frechet [56,57] and Frey [58],</w:t>
      </w:r>
      <w:r>
        <w:rPr>
          <w:rFonts w:ascii="Times New Roman" w:eastAsia="DengXian" w:hAnsi="Times New Roman" w:cs="Times New Roman"/>
          <w:sz w:val="24"/>
          <w:szCs w:val="24"/>
        </w:rPr>
        <w:t xml:space="preserve"> which are presented equation (</w:t>
      </w:r>
      <w:r w:rsidR="008A66C3">
        <w:rPr>
          <w:rFonts w:ascii="Times New Roman" w:eastAsia="DengXian" w:hAnsi="Times New Roman" w:cs="Times New Roman"/>
          <w:sz w:val="24"/>
          <w:szCs w:val="24"/>
        </w:rPr>
        <w:t>2.2</w:t>
      </w:r>
      <w:r>
        <w:rPr>
          <w:rFonts w:ascii="Times New Roman" w:eastAsia="DengXian" w:hAnsi="Times New Roman" w:cs="Times New Roman"/>
          <w:sz w:val="24"/>
          <w:szCs w:val="24"/>
        </w:rPr>
        <w:t>), and (2</w:t>
      </w:r>
      <w:r w:rsidR="008A66C3">
        <w:rPr>
          <w:rFonts w:ascii="Times New Roman" w:eastAsia="DengXian" w:hAnsi="Times New Roman" w:cs="Times New Roman"/>
          <w:sz w:val="24"/>
          <w:szCs w:val="24"/>
        </w:rPr>
        <w:t>.3</w:t>
      </w:r>
      <w:r w:rsidRPr="006F6A63">
        <w:rPr>
          <w:rFonts w:ascii="Times New Roman" w:eastAsia="DengXian" w:hAnsi="Times New Roman" w:cs="Times New Roman"/>
          <w:sz w:val="24"/>
          <w:szCs w:val="24"/>
        </w:rPr>
        <w:t>):</w:t>
      </w:r>
    </w:p>
    <w:p w14:paraId="42DB9B13" w14:textId="77777777" w:rsidR="00237210" w:rsidRDefault="00237210" w:rsidP="003C6953">
      <w:pPr>
        <w:spacing w:after="0" w:line="480" w:lineRule="auto"/>
        <w:jc w:val="both"/>
        <w:rPr>
          <w:rFonts w:ascii="Times New Roman" w:eastAsia="DengXian" w:hAnsi="Times New Roman" w:cs="Times New Roman"/>
          <w:sz w:val="24"/>
          <w:szCs w:val="24"/>
        </w:rPr>
      </w:pPr>
    </w:p>
    <w:p w14:paraId="1267CD0E" w14:textId="6C044B34" w:rsidR="003C6953" w:rsidRPr="006F6A63" w:rsidRDefault="00B72F48" w:rsidP="003C6953">
      <w:pPr>
        <w:spacing w:after="0" w:line="480" w:lineRule="auto"/>
        <w:jc w:val="center"/>
        <w:rPr>
          <w:rFonts w:ascii="Times New Roman" w:eastAsia="DengXian" w:hAnsi="Times New Roman" w:cs="Times New Roman"/>
          <w:b/>
          <w:sz w:val="24"/>
          <w:szCs w:val="24"/>
        </w:rPr>
      </w:pPr>
      <m:oMath>
        <m:sSub>
          <m:sSubPr>
            <m:ctrlPr>
              <w:rPr>
                <w:rFonts w:ascii="Cambria Math" w:hAnsi="Cambria Math" w:cs="Times New Roman"/>
                <w:b/>
                <w:sz w:val="24"/>
                <w:szCs w:val="24"/>
              </w:rPr>
            </m:ctrlPr>
          </m:sSubPr>
          <m:e>
            <m:r>
              <m:rPr>
                <m:sty m:val="bi"/>
              </m:rPr>
              <w:rPr>
                <w:rFonts w:ascii="Cambria Math" w:hAnsi="Cambria Math" w:cs="Times New Roman"/>
                <w:sz w:val="24"/>
                <w:szCs w:val="24"/>
              </w:rPr>
              <m:t>DB</m:t>
            </m:r>
          </m:e>
          <m:sub>
            <m:r>
              <m:rPr>
                <m:sty m:val="bi"/>
              </m:rPr>
              <w:rPr>
                <w:rFonts w:ascii="Cambria Math" w:hAnsi="Cambria Math" w:cs="Times New Roman"/>
                <w:sz w:val="24"/>
                <w:szCs w:val="24"/>
              </w:rPr>
              <m:t>Frechet</m:t>
            </m:r>
          </m:sub>
        </m:sSub>
        <m:r>
          <m:rPr>
            <m:sty m:val="b"/>
          </m:rPr>
          <w:rPr>
            <w:rFonts w:ascii="Cambria Math" w:hAnsi="Cambria Math" w:cs="Times New Roman"/>
            <w:sz w:val="24"/>
            <w:szCs w:val="24"/>
          </w:rPr>
          <m:t xml:space="preserve"> = </m:t>
        </m:r>
        <m:f>
          <m:fPr>
            <m:ctrlPr>
              <w:rPr>
                <w:rFonts w:ascii="Cambria Math" w:hAnsi="Cambria Math" w:cs="Times New Roman"/>
                <w:b/>
                <w:sz w:val="24"/>
                <w:szCs w:val="24"/>
              </w:rPr>
            </m:ctrlPr>
          </m:fPr>
          <m:num>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cs="Times New Roman"/>
                    <w:sz w:val="24"/>
                    <w:szCs w:val="24"/>
                  </w:rPr>
                  <m:t>T</m:t>
                </m:r>
              </m:sub>
            </m:sSub>
            <m:r>
              <m:rPr>
                <m:sty m:val="bi"/>
              </m:rPr>
              <w:rPr>
                <w:rFonts w:ascii="Cambria Math" w:hAnsi="Cambria Math" w:cs="Times New Roman"/>
                <w:sz w:val="24"/>
                <w:szCs w:val="24"/>
              </w:rPr>
              <m:t>)</m:t>
            </m:r>
          </m:num>
          <m:den>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cs="Times New Roman"/>
                    <w:sz w:val="24"/>
                    <w:szCs w:val="24"/>
                  </w:rPr>
                  <m:t>D</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cs="Times New Roman"/>
                    <w:sz w:val="24"/>
                    <w:szCs w:val="24"/>
                  </w:rPr>
                  <m:t>T</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cs="Times New Roman"/>
                    <w:sz w:val="24"/>
                    <w:szCs w:val="24"/>
                  </w:rPr>
                  <m:t>L</m:t>
                </m:r>
              </m:sub>
            </m:sSub>
            <m:r>
              <m:rPr>
                <m:sty m:val="bi"/>
              </m:rPr>
              <w:rPr>
                <w:rFonts w:ascii="Cambria Math" w:hAnsi="Cambria Math" w:cs="Times New Roman"/>
                <w:sz w:val="24"/>
                <w:szCs w:val="24"/>
              </w:rPr>
              <m:t>)</m:t>
            </m:r>
          </m:den>
        </m:f>
      </m:oMath>
      <w:r w:rsidR="003C6953">
        <w:rPr>
          <w:rFonts w:ascii="Times New Roman" w:eastAsia="DengXian" w:hAnsi="Times New Roman" w:cs="Times New Roman"/>
          <w:b/>
          <w:sz w:val="24"/>
          <w:szCs w:val="24"/>
        </w:rPr>
        <w:t xml:space="preserve">           (</w:t>
      </w:r>
      <w:r w:rsidR="008A66C3">
        <w:rPr>
          <w:rFonts w:ascii="Times New Roman" w:eastAsia="DengXian" w:hAnsi="Times New Roman" w:cs="Times New Roman"/>
          <w:b/>
          <w:sz w:val="24"/>
          <w:szCs w:val="24"/>
        </w:rPr>
        <w:t>2.2</w:t>
      </w:r>
      <w:r w:rsidR="003C6953">
        <w:rPr>
          <w:rFonts w:ascii="Times New Roman" w:eastAsia="DengXian" w:hAnsi="Times New Roman" w:cs="Times New Roman"/>
          <w:b/>
          <w:sz w:val="24"/>
          <w:szCs w:val="24"/>
        </w:rPr>
        <w:t>)</w:t>
      </w:r>
    </w:p>
    <w:p w14:paraId="33326076" w14:textId="08893401" w:rsidR="003C6953" w:rsidRDefault="00B72F48" w:rsidP="003C6953">
      <w:pPr>
        <w:spacing w:after="0" w:line="480" w:lineRule="auto"/>
        <w:jc w:val="center"/>
        <w:rPr>
          <w:rFonts w:ascii="Times New Roman" w:eastAsia="DengXian" w:hAnsi="Times New Roman" w:cs="Times New Roman"/>
          <w:b/>
          <w:sz w:val="24"/>
          <w:szCs w:val="24"/>
        </w:rPr>
      </w:pPr>
      <m:oMath>
        <m:sSub>
          <m:sSubPr>
            <m:ctrlPr>
              <w:rPr>
                <w:rFonts w:ascii="Cambria Math" w:eastAsia="DengXian" w:hAnsi="Cambria Math" w:cs="Times New Roman"/>
                <w:b/>
                <w:sz w:val="24"/>
                <w:szCs w:val="24"/>
              </w:rPr>
            </m:ctrlPr>
          </m:sSubPr>
          <m:e>
            <m:r>
              <m:rPr>
                <m:sty m:val="bi"/>
              </m:rPr>
              <w:rPr>
                <w:rFonts w:ascii="Cambria Math" w:eastAsia="DengXian" w:hAnsi="Cambria Math" w:cs="Times New Roman"/>
                <w:sz w:val="24"/>
                <w:szCs w:val="24"/>
              </w:rPr>
              <m:t>DB</m:t>
            </m:r>
          </m:e>
          <m:sub>
            <m:r>
              <m:rPr>
                <m:sty m:val="bi"/>
              </m:rPr>
              <w:rPr>
                <w:rFonts w:ascii="Cambria Math" w:eastAsia="DengXian" w:hAnsi="Cambria Math" w:cs="Times New Roman"/>
                <w:sz w:val="24"/>
                <w:szCs w:val="24"/>
              </w:rPr>
              <m:t xml:space="preserve">Frey </m:t>
            </m:r>
          </m:sub>
        </m:sSub>
        <m:r>
          <m:rPr>
            <m:sty m:val="bi"/>
          </m:rPr>
          <w:rPr>
            <w:rFonts w:ascii="Cambria Math" w:eastAsia="DengXian" w:hAnsi="Cambria Math" w:cs="Times New Roman"/>
            <w:sz w:val="24"/>
            <w:szCs w:val="24"/>
          </w:rPr>
          <m:t xml:space="preserve"> =   </m:t>
        </m:r>
        <m:f>
          <m:fPr>
            <m:ctrlPr>
              <w:rPr>
                <w:rFonts w:ascii="Cambria Math" w:eastAsia="DengXian" w:hAnsi="Cambria Math" w:cs="Times New Roman"/>
                <w:b/>
                <w:i/>
                <w:sz w:val="24"/>
                <w:szCs w:val="24"/>
              </w:rPr>
            </m:ctrlPr>
          </m:fPr>
          <m:num>
            <m:r>
              <m:rPr>
                <m:sty m:val="bi"/>
              </m:rPr>
              <w:rPr>
                <w:rFonts w:ascii="Cambria Math" w:eastAsia="DengXian" w:hAnsi="Cambria Math" w:cs="Times New Roman"/>
                <w:sz w:val="24"/>
                <w:szCs w:val="24"/>
              </w:rPr>
              <m:t>2</m:t>
            </m:r>
            <m:sSub>
              <m:sSubPr>
                <m:ctrlPr>
                  <w:rPr>
                    <w:rFonts w:ascii="Cambria Math" w:eastAsia="DengXian" w:hAnsi="Cambria Math" w:cs="Times New Roman"/>
                    <w:b/>
                    <w:i/>
                    <w:sz w:val="24"/>
                    <w:szCs w:val="24"/>
                  </w:rPr>
                </m:ctrlPr>
              </m:sSubPr>
              <m:e>
                <m:r>
                  <m:rPr>
                    <m:sty m:val="bi"/>
                  </m:rPr>
                  <w:rPr>
                    <w:rFonts w:ascii="Cambria Math" w:eastAsia="DengXian" w:hAnsi="Cambria Math" w:cs="Times New Roman"/>
                    <w:sz w:val="24"/>
                    <w:szCs w:val="24"/>
                  </w:rPr>
                  <m:t>N</m:t>
                </m:r>
              </m:e>
              <m:sub>
                <m:r>
                  <m:rPr>
                    <m:sty m:val="bi"/>
                  </m:rPr>
                  <w:rPr>
                    <w:rFonts w:ascii="Cambria Math" w:eastAsia="DengXian" w:hAnsi="Cambria Math" w:cs="Times New Roman"/>
                    <w:sz w:val="24"/>
                    <w:szCs w:val="24"/>
                  </w:rPr>
                  <m:t>D</m:t>
                </m:r>
              </m:sub>
            </m:sSub>
          </m:num>
          <m:den>
            <m:r>
              <m:rPr>
                <m:sty m:val="bi"/>
              </m:rPr>
              <w:rPr>
                <w:rFonts w:ascii="Cambria Math" w:eastAsia="DengXian" w:hAnsi="Cambria Math" w:cs="Times New Roman"/>
                <w:sz w:val="24"/>
                <w:szCs w:val="24"/>
              </w:rPr>
              <m:t>2</m:t>
            </m:r>
            <m:sSub>
              <m:sSubPr>
                <m:ctrlPr>
                  <w:rPr>
                    <w:rFonts w:ascii="Cambria Math" w:eastAsia="DengXian" w:hAnsi="Cambria Math" w:cs="Times New Roman"/>
                    <w:b/>
                    <w:i/>
                    <w:sz w:val="24"/>
                    <w:szCs w:val="24"/>
                  </w:rPr>
                </m:ctrlPr>
              </m:sSubPr>
              <m:e>
                <m:r>
                  <m:rPr>
                    <m:sty m:val="bi"/>
                  </m:rPr>
                  <w:rPr>
                    <w:rFonts w:ascii="Cambria Math" w:eastAsia="DengXian" w:hAnsi="Cambria Math" w:cs="Times New Roman"/>
                    <w:sz w:val="24"/>
                    <w:szCs w:val="24"/>
                  </w:rPr>
                  <m:t>N</m:t>
                </m:r>
              </m:e>
              <m:sub>
                <m:r>
                  <m:rPr>
                    <m:sty m:val="bi"/>
                  </m:rPr>
                  <w:rPr>
                    <w:rFonts w:ascii="Cambria Math" w:eastAsia="DengXian" w:hAnsi="Cambria Math" w:cs="Times New Roman"/>
                    <w:sz w:val="24"/>
                    <w:szCs w:val="24"/>
                  </w:rPr>
                  <m:t>D</m:t>
                </m:r>
              </m:sub>
            </m:sSub>
            <m:r>
              <m:rPr>
                <m:sty m:val="bi"/>
              </m:rPr>
              <w:rPr>
                <w:rFonts w:ascii="Cambria Math" w:eastAsia="DengXian" w:hAnsi="Cambria Math" w:cs="Times New Roman"/>
                <w:sz w:val="24"/>
                <w:szCs w:val="24"/>
              </w:rPr>
              <m:t xml:space="preserve">+ </m:t>
            </m:r>
            <m:sSub>
              <m:sSubPr>
                <m:ctrlPr>
                  <w:rPr>
                    <w:rFonts w:ascii="Cambria Math" w:eastAsia="DengXian" w:hAnsi="Cambria Math" w:cs="Times New Roman"/>
                    <w:b/>
                    <w:i/>
                    <w:sz w:val="24"/>
                    <w:szCs w:val="24"/>
                  </w:rPr>
                </m:ctrlPr>
              </m:sSubPr>
              <m:e>
                <m:r>
                  <m:rPr>
                    <m:sty m:val="bi"/>
                  </m:rPr>
                  <w:rPr>
                    <w:rFonts w:ascii="Cambria Math" w:eastAsia="DengXian" w:hAnsi="Cambria Math" w:cs="Times New Roman"/>
                    <w:sz w:val="24"/>
                    <w:szCs w:val="24"/>
                  </w:rPr>
                  <m:t>N</m:t>
                </m:r>
              </m:e>
              <m:sub>
                <m:r>
                  <m:rPr>
                    <m:sty m:val="bi"/>
                  </m:rPr>
                  <w:rPr>
                    <w:rFonts w:ascii="Cambria Math" w:eastAsia="DengXian" w:hAnsi="Cambria Math" w:cs="Times New Roman"/>
                    <w:sz w:val="24"/>
                    <w:szCs w:val="24"/>
                  </w:rPr>
                  <m:t>L</m:t>
                </m:r>
              </m:sub>
            </m:sSub>
          </m:den>
        </m:f>
      </m:oMath>
      <w:r w:rsidR="003C6953">
        <w:rPr>
          <w:rFonts w:ascii="Times New Roman" w:eastAsia="DengXian" w:hAnsi="Times New Roman" w:cs="Times New Roman"/>
          <w:b/>
          <w:sz w:val="24"/>
          <w:szCs w:val="24"/>
        </w:rPr>
        <w:t xml:space="preserve">                    (2</w:t>
      </w:r>
      <w:r w:rsidR="008A66C3">
        <w:rPr>
          <w:rFonts w:ascii="Times New Roman" w:eastAsia="DengXian" w:hAnsi="Times New Roman" w:cs="Times New Roman"/>
          <w:b/>
          <w:sz w:val="24"/>
          <w:szCs w:val="24"/>
        </w:rPr>
        <w:t>.3</w:t>
      </w:r>
      <w:r w:rsidR="003C6953">
        <w:rPr>
          <w:rFonts w:ascii="Times New Roman" w:eastAsia="DengXian" w:hAnsi="Times New Roman" w:cs="Times New Roman"/>
          <w:b/>
          <w:sz w:val="24"/>
          <w:szCs w:val="24"/>
        </w:rPr>
        <w:t>)</w:t>
      </w:r>
    </w:p>
    <w:p w14:paraId="07776272" w14:textId="77777777" w:rsidR="0005778C" w:rsidRPr="006F6A63" w:rsidRDefault="0005778C" w:rsidP="003C6953">
      <w:pPr>
        <w:spacing w:after="0" w:line="480" w:lineRule="auto"/>
        <w:jc w:val="center"/>
        <w:rPr>
          <w:rFonts w:ascii="Times New Roman" w:eastAsia="DengXian" w:hAnsi="Times New Roman" w:cs="Times New Roman"/>
          <w:sz w:val="24"/>
          <w:szCs w:val="24"/>
        </w:rPr>
      </w:pPr>
    </w:p>
    <w:p w14:paraId="2EAB688F" w14:textId="64D36F4E" w:rsidR="003C6953" w:rsidRDefault="003C6953" w:rsidP="003C6953">
      <w:pPr>
        <w:spacing w:after="0" w:line="480" w:lineRule="auto"/>
        <w:jc w:val="both"/>
        <w:rPr>
          <w:rFonts w:ascii="Times New Roman" w:eastAsia="DengXian" w:hAnsi="Times New Roman" w:cs="Times New Roman"/>
          <w:sz w:val="24"/>
          <w:szCs w:val="24"/>
        </w:rPr>
      </w:pPr>
      <w:r w:rsidRPr="006F6A63">
        <w:rPr>
          <w:rFonts w:ascii="Times New Roman" w:eastAsia="DengXian" w:hAnsi="Times New Roman" w:cs="Times New Roman"/>
          <w:sz w:val="24"/>
          <w:szCs w:val="24"/>
        </w:rPr>
        <w:t>Where, N</w:t>
      </w:r>
      <w:r w:rsidRPr="00BC3782">
        <w:rPr>
          <w:rFonts w:ascii="Times New Roman" w:eastAsia="DengXian" w:hAnsi="Times New Roman" w:cs="Times New Roman"/>
          <w:sz w:val="24"/>
          <w:szCs w:val="24"/>
          <w:vertAlign w:val="subscript"/>
        </w:rPr>
        <w:t>D</w:t>
      </w:r>
      <w:r w:rsidRPr="006F6A63">
        <w:rPr>
          <w:rFonts w:ascii="Times New Roman" w:eastAsia="DengXian" w:hAnsi="Times New Roman" w:cs="Times New Roman"/>
          <w:sz w:val="24"/>
          <w:szCs w:val="24"/>
        </w:rPr>
        <w:t>, N</w:t>
      </w:r>
      <w:r w:rsidRPr="00BC3782">
        <w:rPr>
          <w:rFonts w:ascii="Times New Roman" w:eastAsia="DengXian" w:hAnsi="Times New Roman" w:cs="Times New Roman"/>
          <w:sz w:val="24"/>
          <w:szCs w:val="24"/>
          <w:vertAlign w:val="subscript"/>
        </w:rPr>
        <w:t>T</w:t>
      </w:r>
      <w:r w:rsidRPr="006F6A63">
        <w:rPr>
          <w:rFonts w:ascii="Times New Roman" w:eastAsia="DengXian" w:hAnsi="Times New Roman" w:cs="Times New Roman"/>
          <w:sz w:val="24"/>
          <w:szCs w:val="24"/>
        </w:rPr>
        <w:t>, N</w:t>
      </w:r>
      <w:r w:rsidRPr="00BC3782">
        <w:rPr>
          <w:rFonts w:ascii="Times New Roman" w:eastAsia="DengXian" w:hAnsi="Times New Roman" w:cs="Times New Roman"/>
          <w:sz w:val="24"/>
          <w:szCs w:val="24"/>
          <w:vertAlign w:val="subscript"/>
        </w:rPr>
        <w:t>L</w:t>
      </w:r>
      <w:r w:rsidRPr="006F6A63">
        <w:rPr>
          <w:rFonts w:ascii="Times New Roman" w:eastAsia="DengXian" w:hAnsi="Times New Roman" w:cs="Times New Roman"/>
          <w:sz w:val="24"/>
          <w:szCs w:val="24"/>
        </w:rPr>
        <w:t xml:space="preserve"> are the contents of dendritic, terminal,</w:t>
      </w:r>
      <w:r>
        <w:rPr>
          <w:rFonts w:ascii="Times New Roman" w:eastAsia="DengXian" w:hAnsi="Times New Roman" w:cs="Times New Roman"/>
          <w:sz w:val="24"/>
          <w:szCs w:val="24"/>
        </w:rPr>
        <w:t xml:space="preserve"> and linear units, respectively, which can be determined by </w:t>
      </w:r>
      <w:r w:rsidRPr="006F6A63">
        <w:rPr>
          <w:rFonts w:ascii="Times New Roman" w:eastAsia="DengXian" w:hAnsi="Times New Roman" w:cs="Times New Roman"/>
          <w:sz w:val="24"/>
          <w:szCs w:val="24"/>
        </w:rPr>
        <w:t xml:space="preserve"> 13C NMR </w:t>
      </w:r>
      <w:r>
        <w:rPr>
          <w:rFonts w:ascii="Times New Roman" w:eastAsia="DengXian" w:hAnsi="Times New Roman" w:cs="Times New Roman"/>
          <w:sz w:val="24"/>
          <w:szCs w:val="24"/>
        </w:rPr>
        <w:t xml:space="preserve">and </w:t>
      </w:r>
      <w:r w:rsidRPr="006F6A63">
        <w:rPr>
          <w:rFonts w:ascii="Times New Roman" w:eastAsia="DengXian" w:hAnsi="Times New Roman" w:cs="Times New Roman"/>
          <w:sz w:val="24"/>
          <w:szCs w:val="24"/>
        </w:rPr>
        <w:t>by 1H NMR</w:t>
      </w:r>
      <w:r>
        <w:rPr>
          <w:rFonts w:ascii="Times New Roman" w:eastAsia="DengXian" w:hAnsi="Times New Roman" w:cs="Times New Roman"/>
          <w:sz w:val="24"/>
          <w:szCs w:val="24"/>
        </w:rPr>
        <w:t xml:space="preserve"> </w:t>
      </w:r>
      <w:r>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"author" : [ { "dropping-particle" : "", "family" : "Feast", "given" : "W. James", "non-dropping-particle" : "", "parse-names" : false, "suffix" : "" }, { "dropping-particle" : "", "family" : "Stainton", "given" : "Neil M", "non-dropping-particle" : "", "parse-names" : false, "suffix" : "" }, { "dropping-particle" : "", "family" : "Station", "given" : "Neil M.", "non-dropping-particle" : "", "parse-names" : false, "suffix" : "" } ], "id" : "ITEM-1", "issue" : "3", "issued" : { "date-parts" : [ [ "1995" ] ] }, "page" : "405-411", "title" : "Synthesis, Structure and Properties of some hyperbranched polyesters", "type" : "article-journal", "volume" : "5" }, "uris" : [ "http://www.mendeley.com/documents/?uuid=340efe09-88f4-4b7b-a5a0-feb44183a71f" ] } ], "mendeley" : { "formattedCitation" : "[113]", "plainTextFormattedCitation" : "[113]", "previouslyFormattedCitation" : "[113]" }, "properties" : {  }, "schema" : "https://github.com/citation-style-language/schema/raw/master/csl-citation.json" }</w:instrText>
      </w:r>
      <w:r>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[113]</w:t>
      </w:r>
      <w:r>
        <w:rPr>
          <w:rFonts w:ascii="Times New Roman" w:eastAsia="DengXian" w:hAnsi="Times New Roman" w:cs="Times New Roman"/>
          <w:sz w:val="24"/>
          <w:szCs w:val="24"/>
        </w:rPr>
        <w:fldChar w:fldCharType="end"/>
      </w:r>
      <w:r w:rsidRPr="006F6A63">
        <w:rPr>
          <w:rFonts w:ascii="Times New Roman" w:eastAsia="DengXian" w:hAnsi="Times New Roman" w:cs="Times New Roman"/>
          <w:sz w:val="24"/>
          <w:szCs w:val="24"/>
        </w:rPr>
        <w:t xml:space="preserve">. </w:t>
      </w:r>
      <w:r>
        <w:rPr>
          <w:rFonts w:ascii="Times New Roman" w:eastAsia="DengXian" w:hAnsi="Times New Roman" w:cs="Times New Roman"/>
          <w:sz w:val="24"/>
          <w:szCs w:val="24"/>
        </w:rPr>
        <w:t xml:space="preserve">However, this method is not suitable for the hyperbranched polymer synthesized from large monomers. This is because it is very difficult to determine the main point which is used for distinguishing </w:t>
      </w:r>
      <w:r w:rsidRPr="006F6A63">
        <w:rPr>
          <w:rFonts w:ascii="Times New Roman" w:eastAsia="DengXian" w:hAnsi="Times New Roman" w:cs="Times New Roman"/>
          <w:sz w:val="24"/>
          <w:szCs w:val="24"/>
        </w:rPr>
        <w:t>N</w:t>
      </w:r>
      <w:r w:rsidRPr="00BC3782">
        <w:rPr>
          <w:rFonts w:ascii="Times New Roman" w:eastAsia="DengXian" w:hAnsi="Times New Roman" w:cs="Times New Roman"/>
          <w:sz w:val="24"/>
          <w:szCs w:val="24"/>
          <w:vertAlign w:val="subscript"/>
        </w:rPr>
        <w:t>D</w:t>
      </w:r>
      <w:r w:rsidRPr="006F6A63">
        <w:rPr>
          <w:rFonts w:ascii="Times New Roman" w:eastAsia="DengXian" w:hAnsi="Times New Roman" w:cs="Times New Roman"/>
          <w:sz w:val="24"/>
          <w:szCs w:val="24"/>
        </w:rPr>
        <w:t>, N</w:t>
      </w:r>
      <w:r w:rsidRPr="00BC3782">
        <w:rPr>
          <w:rFonts w:ascii="Times New Roman" w:eastAsia="DengXian" w:hAnsi="Times New Roman" w:cs="Times New Roman"/>
          <w:sz w:val="24"/>
          <w:szCs w:val="24"/>
          <w:vertAlign w:val="subscript"/>
        </w:rPr>
        <w:t>T</w:t>
      </w:r>
      <w:r w:rsidRPr="006F6A63">
        <w:rPr>
          <w:rFonts w:ascii="Times New Roman" w:eastAsia="DengXian" w:hAnsi="Times New Roman" w:cs="Times New Roman"/>
          <w:sz w:val="24"/>
          <w:szCs w:val="24"/>
        </w:rPr>
        <w:t>, N</w:t>
      </w:r>
      <w:r w:rsidRPr="00BC3782">
        <w:rPr>
          <w:rFonts w:ascii="Times New Roman" w:eastAsia="DengXian" w:hAnsi="Times New Roman" w:cs="Times New Roman"/>
          <w:sz w:val="24"/>
          <w:szCs w:val="24"/>
          <w:vertAlign w:val="subscript"/>
        </w:rPr>
        <w:t>L</w:t>
      </w:r>
      <w:r>
        <w:rPr>
          <w:rFonts w:ascii="Times New Roman" w:eastAsia="DengXian" w:hAnsi="Times New Roman" w:cs="Times New Roman"/>
          <w:sz w:val="24"/>
          <w:szCs w:val="24"/>
          <w:vertAlign w:val="subscript"/>
        </w:rPr>
        <w:t xml:space="preserve"> </w:t>
      </w:r>
      <w:r>
        <w:rPr>
          <w:rFonts w:ascii="Times New Roman" w:eastAsia="DengXian" w:hAnsi="Times New Roman" w:cs="Times New Roman"/>
          <w:sz w:val="24"/>
          <w:szCs w:val="24"/>
        </w:rPr>
        <w:t>from NMR. Therefore, DB of hyperbranched polymers synthesized from large monomers is still a big challenge.</w:t>
      </w:r>
    </w:p>
    <w:p w14:paraId="00D6F9B0" w14:textId="77777777" w:rsidR="003C6953" w:rsidRPr="00BC3782" w:rsidRDefault="003C6953" w:rsidP="003C6953">
      <w:pPr>
        <w:spacing w:after="0" w:line="480" w:lineRule="auto"/>
        <w:jc w:val="both"/>
        <w:rPr>
          <w:rFonts w:ascii="Times New Roman" w:eastAsia="DengXian" w:hAnsi="Times New Roman" w:cs="Times New Roman"/>
          <w:sz w:val="24"/>
          <w:szCs w:val="24"/>
        </w:rPr>
      </w:pPr>
    </w:p>
    <w:p w14:paraId="52359034" w14:textId="511D7B66" w:rsidR="003C6953" w:rsidRPr="00082F9D" w:rsidRDefault="00165B0C" w:rsidP="003C6953">
      <w:pPr>
        <w:pStyle w:val="Heading2"/>
        <w:spacing w:before="0"/>
      </w:pPr>
      <w:bookmarkStart w:id="53" w:name="_Toc518823248"/>
      <w:r>
        <w:t>2.</w:t>
      </w:r>
      <w:r w:rsidR="003C6953">
        <w:t>6.4. Hyperbranched polymer/graphene nanocomposites</w:t>
      </w:r>
      <w:bookmarkEnd w:id="53"/>
      <w:r w:rsidR="003C6953">
        <w:t xml:space="preserve"> </w:t>
      </w:r>
    </w:p>
    <w:p w14:paraId="6BEA0EBB" w14:textId="299A1625" w:rsidR="003C6953" w:rsidRDefault="00165B0C" w:rsidP="003C6953">
      <w:pPr>
        <w:pStyle w:val="Heading3"/>
        <w:spacing w:before="0"/>
      </w:pPr>
      <w:bookmarkStart w:id="54" w:name="_Toc518823249"/>
      <w:r>
        <w:t>2.</w:t>
      </w:r>
      <w:r w:rsidR="003C6953">
        <w:t>6.4.1 Preparation of hyperbranched polymer/graphene nanocomposites</w:t>
      </w:r>
      <w:bookmarkEnd w:id="54"/>
    </w:p>
    <w:p w14:paraId="0D43FA32" w14:textId="6B6AAD1B"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Similar to thermosetting/graphene composites, hyperbranched polymer/graphene composites can be synthesized by </w:t>
      </w:r>
      <w:r w:rsidRPr="006A61C0">
        <w:rPr>
          <w:rFonts w:ascii="Times New Roman" w:hAnsi="Times New Roman" w:cs="Times New Roman"/>
          <w:i/>
          <w:sz w:val="24"/>
          <w:szCs w:val="24"/>
        </w:rPr>
        <w:t>in situ</w:t>
      </w:r>
      <w:r>
        <w:rPr>
          <w:rFonts w:ascii="Times New Roman" w:hAnsi="Times New Roman" w:cs="Times New Roman"/>
          <w:sz w:val="24"/>
          <w:szCs w:val="24"/>
        </w:rPr>
        <w:t xml:space="preserve"> polymerization, solution compounding and melt mixing. Among them, </w:t>
      </w:r>
      <w:r>
        <w:rPr>
          <w:rFonts w:ascii="Times New Roman" w:hAnsi="Times New Roman" w:cs="Times New Roman"/>
          <w:i/>
          <w:sz w:val="24"/>
          <w:szCs w:val="24"/>
        </w:rPr>
        <w:t>i</w:t>
      </w:r>
      <w:r w:rsidRPr="006A61C0">
        <w:rPr>
          <w:rFonts w:ascii="Times New Roman" w:hAnsi="Times New Roman" w:cs="Times New Roman"/>
          <w:i/>
          <w:sz w:val="24"/>
          <w:szCs w:val="24"/>
        </w:rPr>
        <w:t>n situ</w:t>
      </w:r>
      <w:r>
        <w:rPr>
          <w:rFonts w:ascii="Times New Roman" w:hAnsi="Times New Roman" w:cs="Times New Roman"/>
          <w:sz w:val="24"/>
          <w:szCs w:val="24"/>
        </w:rPr>
        <w:t xml:space="preserve"> polymerization is a most common method for graphene-based synthesis of hyperbranched polymer nanocomposites. For example, Xu and his workers developed hyperbranched polymer/graphene nanocomposites by </w:t>
      </w:r>
      <w:r w:rsidRPr="00921A76">
        <w:rPr>
          <w:rFonts w:ascii="Times New Roman" w:hAnsi="Times New Roman" w:cs="Times New Roman"/>
          <w:i/>
          <w:sz w:val="24"/>
          <w:szCs w:val="24"/>
        </w:rPr>
        <w:t>in situ</w:t>
      </w:r>
      <w:r>
        <w:rPr>
          <w:rFonts w:ascii="Times New Roman" w:hAnsi="Times New Roman" w:cs="Times New Roman"/>
          <w:sz w:val="24"/>
          <w:szCs w:val="24"/>
        </w:rPr>
        <w:t xml:space="preserve"> grafting from </w:t>
      </w:r>
      <w:r>
        <w:rPr>
          <w:rFonts w:ascii="Times New Roman" w:hAnsi="Times New Roman" w:cs="Times New Roman" w:hint="eastAsia"/>
          <w:sz w:val="24"/>
          <w:szCs w:val="24"/>
        </w:rPr>
        <w:t>approach</w:t>
      </w:r>
      <w:r>
        <w:rPr>
          <w:rFonts w:ascii="Times New Roman" w:hAnsi="Times New Roman" w:cs="Times New Roman"/>
          <w:sz w:val="24"/>
          <w:szCs w:val="24"/>
        </w:rPr>
        <w:t xml:space="preserve">, in which the ring-opening polymerization was carried out in the reaction system of </w:t>
      </w:r>
      <w:r w:rsidRPr="00293C46">
        <w:rPr>
          <w:rFonts w:ascii="Times New Roman" w:hAnsi="Times New Roman" w:cs="Times New Roman"/>
          <w:sz w:val="24"/>
          <w:szCs w:val="24"/>
        </w:rPr>
        <w:t>3-ethyl-3-oxetanethanol</w:t>
      </w:r>
      <w:r>
        <w:rPr>
          <w:rFonts w:ascii="Times New Roman" w:hAnsi="Times New Roman" w:cs="Times New Roman"/>
          <w:sz w:val="24"/>
          <w:szCs w:val="24"/>
        </w:rPr>
        <w:t>, GO/CHCl</w:t>
      </w:r>
      <w:r w:rsidRPr="00293C46">
        <w:rPr>
          <w:rFonts w:ascii="Times New Roman" w:hAnsi="Times New Roman" w:cs="Times New Roman"/>
          <w:sz w:val="24"/>
          <w:szCs w:val="24"/>
          <w:vertAlign w:val="subscript"/>
        </w:rPr>
        <w:t xml:space="preserve">3 </w:t>
      </w:r>
      <w:r>
        <w:rPr>
          <w:rFonts w:ascii="Times New Roman" w:hAnsi="Times New Roman" w:cs="Times New Roman"/>
          <w:sz w:val="24"/>
          <w:szCs w:val="24"/>
        </w:rPr>
        <w:t xml:space="preserve">solution and catalyst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"10.1007/s12034-012-0378-3", "ISBN" : "0250-4707", "ISSN" : "02504707", "abstract" : "The grafting of graphite oxide (GO) with cyclic ether monomers, directly affords grafting with hyperbranched polymers. The resulting nanocomposites show good solubility in the solvents of polymers, exfoliation of graphene in the polymer matrix and excellent mechanical properties and robustness under bending.", "author" : [ { "dropping-particle" : "", "family" : "Xu", "given" : "Qiuhong", "non-dropping-particle" : "", "parse-names" : false, "suffix" : "" }, { "dropping-particle" : "", "family" : "Gong", "given" : "Yiwen", "non-dropping-particle" : "", "parse-names" : false, "suffix" : "" }, { "dropping-particle" : "", "family" : "Fang", "given" : "Yuan", "non-dropping-particle" : "", "parse-names" : false, "suffix" : "" }, { "dropping-particle" : "", "family" : "Jiang", "given" : "Guohua", "non-dropping-particle" : "", "parse-names" : false, "suffix" : "" }, { "dropping-particle" : "", "family" : "Wang", "given" : "Yin", "non-dropping-particle" : "", "parse-names" : false, "suffix" : "" }, { "dropping-particle" : "", "family" : "Sun", "given" : "Xinke", "non-dropping-particle" : "", "parse-names" : false, "suffix" : "" }, { "dropping-particle" : "", "family" : "Wang", "given" : "Rijing", "non-dropping-particle" : "", "parse-names" : false, "suffix" : "" } ], "container-title" : "Bulletin of Materials Science", "id" : "ITEM-1", "issue" : "5", "issued" : { "date-parts" : [ [ "2012" ] ] }, "page" : "795-800", "title" : "Straightforward synthesis of hyperbranched polymer/grapheme nanocomposites from graphite oxide via in situ grafting from approach", "type" : "article-journal", "volume" : "35" }, "uris" : [ "http://www.mendeley.com/documents/?uuid=7e91956f-d5d9-4528-8af9-62092a8b2643" ] } ], "mendeley" : { "formattedCitation" : "[130]", "plainTextFormattedCitation" : "[130]", "previouslyFormattedCitation" : "[130]"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[130]</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03E21720" w14:textId="55002E6D" w:rsidR="003C6953" w:rsidRDefault="003C6953" w:rsidP="003C6953">
      <w:pPr>
        <w:spacing w:after="0" w:line="480" w:lineRule="auto"/>
        <w:jc w:val="both"/>
        <w:rPr>
          <w:rFonts w:ascii="Times New Roman" w:hAnsi="Times New Roman" w:cs="Times New Roman"/>
          <w:sz w:val="24"/>
          <w:szCs w:val="24"/>
        </w:rPr>
      </w:pPr>
    </w:p>
    <w:p w14:paraId="139DDAA1" w14:textId="19BF277D" w:rsidR="003C6953" w:rsidRPr="00D91F07" w:rsidRDefault="00165B0C" w:rsidP="003C6953">
      <w:pPr>
        <w:pStyle w:val="Heading3"/>
        <w:spacing w:before="0"/>
      </w:pPr>
      <w:bookmarkStart w:id="55" w:name="_Toc518823250"/>
      <w:r>
        <w:t>2.</w:t>
      </w:r>
      <w:r w:rsidR="003C6953">
        <w:t>6.4.2 Properties of graphene based hyperbranched polymer nanocomposites</w:t>
      </w:r>
      <w:bookmarkEnd w:id="55"/>
    </w:p>
    <w:p w14:paraId="29D90837" w14:textId="77777777" w:rsidR="003C6953" w:rsidRDefault="003C6953" w:rsidP="0005778C">
      <w:pPr>
        <w:pStyle w:val="Subtitle"/>
      </w:pPr>
      <w:r>
        <w:t xml:space="preserve">Mechanical properties </w:t>
      </w:r>
    </w:p>
    <w:p w14:paraId="061CE287" w14:textId="2ADD9707"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For a typical elastomer, it exhibits low modulus, low strength, high elongation at break, and hysteresis properties. It has been reported that the incorporation of rigid nanofillers such as graphene, carbon nanotubes, and carbon blacks can largely enhance the mechanical properties including Young’s modulus, tensile strength, and toughness, which is much more significant than that of other polymer nanocomposites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"10.1088/0957-4484/23/50/505713", "ISBN" : "0957-4484", "ISSN" : "09574484", "PMID" : "23196792", "abstract" : "We report load transfer and mechanical properties of chemically derived single layer graphene (SLG) as reinforcements in poly (dimethyl) siloxane (PDMS) composites. Shear mixing reduced graphene sheets in polymers resulted in a marked decrease of the 2D band intensity due to doping and functionalization. Raman G mode shifts of 11.2 cm(-1)/% strain in compression and 4.2 cm(-1)/% strain in tension are reported. Increases in elastic modulus of PDMS by ~42%, toughness by ~39%, damping capability by ~673%, and strain energy density of ~43% by the addition of 1 wt% SLG in PDMS are reported.", "author" : [ { "dropping-particle" : "", "family" : "Xu", "given" : "Peng", "non-dropping-particle" : "", "parse-names" : false, "suffix" : "" }, { "dropping-particle" : "", "family" : "Loomis", "given" : "James", "non-dropping-particle" : "", "parse-names" : false, "suffix" : "" }, { "dropping-particle" : "", "family" : "Bradshaw", "given" : "Roger D.", "non-dropping-particle" : "", "parse-names" : false, "suffix" : "" }, { "dropping-particle" : "", "family" : "Panchapakesan", "given" : "Balaji", "non-dropping-particle" : "", "parse-names" : false, "suffix" : "" } ], "container-title" : "Nanotechnology", "id" : "ITEM-1", "issue" : "50", "issued" : { "date-parts" : [ [ "2012" ] ] }, "title" : "Load transfer and mechanical properties of chemically reduced graphene reinforcements in polymer composites", "type" : "article-journal", "volume" : "23" }, "uris" : [ "http://www.mendeley.com/documents/?uuid=059d8568-1df2-49b7-9094-889ed19a9d2b" ] }, { "id" : "ITEM-2",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"ITEM-2", "issue" : "1", "issued" : { "date-parts" : [ [ "2011" ] ] }, "page" : "5-25", "publisher" : "Elsevier Ltd", "title" : "Graphene-based polymer nanocomposites", "type" : "article-journal", "volume" : "52" }, "uris" : [ "http://www.mendeley.com/documents/?uuid=747b954f-b2e9-4215-ac98-66d6ee79cfb3" ] }, { "id" : "ITEM-3", "itemData" : { "DOI" : "10.1016/j.progpolymsci.2013.08.003", "ISBN" : "0079-6700", "ISSN" : "00796700", "PMID" : "569", "abstract" : "Elastomer composites have established a unique position among technologically important materials because of their extensive and potential applications. Considerable interest has been devoted to graphite derived elastomer composites, known as new generation materials, due to their exceptional electrical, mechanical and permeability properties. The discovery of graphene opened a promising aspect towards the synthesis of elastomer nanocomposites. A thorough investigation of the properties of various graphitic fillers, such as natural graphite flakes, expanded graphite (EG), graphite nanoplatelets (GNP) and graphene is undertaken in this review. The dependence of these fillers on the rheological, electrical (sensing), mechanical, thermal, dielectric and barrier properties of elastomer composites is discussed, giving special emphasis to particle size and mode of interactions with the matrix. A systematic evolution from microcomposites to nanocomposites is shown to give definitive evidence of the importance of graphene nanocomposites. Most preparation methods of these composites are covered, including, solution blending, latex compounding, in situ polymerization, and melt intercalation. Graphene exhibits very good dispersion in most elastomers and substantially improves the mechanical and electrical properties of the matrix compared to all other graphite derivative composites. A review of the potential applications of these composites and current challenges is provided in order to guide future progress on the development of more promising materials. \u00a9 2013 Elsevier Ltd.", "author" : [ { "dropping-particle" : "", "family" : "Sadasivuni", "given" : "Kishor Kumar", "non-dropping-particle" : "", "parse-names" : false, "suffix" : "" }, { "dropping-particle" : "", "family" : "Ponnamma", "given" : "Deepalekshmi", "non-dropping-particle" : "", "parse-names" : false, "suffix" : "" }, { "dropping-particle" : "", "family" : "Thomas", "given" : "Sabu", "non-dropping-particle" : "", "parse-names" : false, "suffix" : "" }, { "dropping-particle" : "", "family" : "Grohens", "given" : "Yves", "non-dropping-particle" : "", "parse-names" : false, "suffix" : "" } ], "container-title" : "Progress in Polymer Science", "id" : "ITEM-3", "issue" : "4", "issued" : { "date-parts" : [ [ "2014" ] ] }, "page" : "749-780", "publisher" : "Elsevier Ltd", "title" : "Evolution from graphite to graphene elastomer composites", "type" : "article-journal", "volume" : "39" }, "uris" : [ "http://www.mendeley.com/documents/?uuid=ca4e1b27-6f74-4149-979d-c5cb8258e30d" ] } ], "mendeley" : { "formattedCitation" : "[61,131,132]", "plainTextFormattedCitation" : "[61,131,132]", "previouslyFormattedCitation" : "[61,131,132]"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[61,131,132]</w:t>
      </w:r>
      <w:r>
        <w:rPr>
          <w:rFonts w:ascii="Times New Roman" w:hAnsi="Times New Roman" w:cs="Times New Roman"/>
          <w:sz w:val="24"/>
          <w:szCs w:val="24"/>
        </w:rPr>
        <w:fldChar w:fldCharType="end"/>
      </w:r>
      <w:r>
        <w:rPr>
          <w:rFonts w:ascii="Times New Roman" w:hAnsi="Times New Roman" w:cs="Times New Roman"/>
          <w:sz w:val="24"/>
          <w:szCs w:val="24"/>
        </w:rPr>
        <w:t xml:space="preserve">. This is presumably due to the large difference in modulus and strength between soft elastomers and rigid nanofillers, which makes elastomers less sensitive to the defects caused by fillers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"mendeley" : { "formattedCitation" : "[61]", "plainTextFormattedCitation" : "[61]", "previouslyFormattedCitation" : "[61]"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[61]</w:t>
      </w:r>
      <w:r>
        <w:rPr>
          <w:rFonts w:ascii="Times New Roman" w:hAnsi="Times New Roman" w:cs="Times New Roman"/>
          <w:sz w:val="24"/>
          <w:szCs w:val="24"/>
        </w:rPr>
        <w:fldChar w:fldCharType="end"/>
      </w:r>
      <w:r>
        <w:rPr>
          <w:rFonts w:ascii="Times New Roman" w:hAnsi="Times New Roman" w:cs="Times New Roman"/>
          <w:sz w:val="24"/>
          <w:szCs w:val="24"/>
        </w:rPr>
        <w:t xml:space="preserve">. Abundant work has been reported that the large gain on Young’s modulus, tensile strength of elastomers can be achieved by the incorporation of graphitic fillers. Khan et al. produced polyurethane(PU)/EG nanocomposites. In order to compare the different effects of EG for soft elastomer and rigid polymer, polycarbonate(PC)/EG composites were prepared in the same method. The moduli of PU/EG composites improved dramatically by addition of EG, and the maximum value was observed at 55% which was enhanced from 10 MPa to 1.5 GPa. However, the modulus for the PC/EG is reduced except a similar value at 55%, which is presumably due to the dispersion of EG and the crosslinking density impacted by EG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"10.1016/j.carbon.2010.07.008", "ISBN" : "0008-6223", "ISSN" : "00086223", "abstract" : "We have prepared graphene dispersions, stabilised by polyurethane in tetrahydrofuran and dimethylformamide. These dispersions can be drop-cast to produce free-standing composite films. The graphene mass fraction is determined by the concentration of dispersed graphene and can be controllably varied from 0% to 90%. Raman spectroscopy and helium ion microscopy show the graphene to be well-dispersed and well-exfoliated in the composites, even at mass fractions of 55%. On addition of graphene, the Young's modulus and stress at 3% strain increase by ??100, saturating at 1 GPa and 25 MPa, respectively, for mass fractions above 50 wt%. While the ultimate tensile strength does not vary significantly with graphene content, the strain at break and toughness degrade heavily on graphene addition. Both these properties fall by ??1000 as the graphene content is increased to 90 wt%. However, the rate of increase of Young's modulus and stress at 3% strain with mass fraction is greater than the rate of decrease of ductility and toughness. This makes it possible to prepare composites with high modulus, stress at low strain and ultimate tensile strength as well as relatively high toughness and ductility. This could lead to new materials that are stiff, strong and tough. ?? 2010 Elsevier Ltd. All rights reserved.", "author" : [ { "dropping-particle" : "", "family" : "Khan", "given" : "Umar", "non-dropping-particle" : "", "parse-names" : false, "suffix" : "" }, { "dropping-particle" : "", "family" : "May", "given" : "Peter", "non-dropping-particle" : "", "parse-names" : false, "suffix" : "" }, { "dropping-particle" : "", "family" : "O'Neill", "given" : "Arlene", "non-dropping-particle" : "", "parse-names" : false, "suffix" : "" }, { "dropping-particle" : "", "family" : "Coleman", "given" : "Jonathan N.", "non-dropping-particle" : "", "parse-names" : false, "suffix" : "" } ], "container-title" : "Carbon", "id" : "ITEM-1", "issue" : "14", "issued" : { "date-parts" : [ [ "2010" ] ] }, "page" : "4035-4041", "publisher" : "Elsevier Ltd", "title" : "Development of stiff, strong, yet tough composites by the addition of solvent exfoliated graphene to polyurethane", "type" : "article-journal", "volume" : "48" }, "uris" : [ "http://www.mendeley.com/documents/?uuid=26915abc-7586-4ee6-b173-a9a3ec1b0a69" ] } ], "mendeley" : { "formattedCitation" : "[133]", "plainTextFormattedCitation" : "[133]", "previouslyFormattedCitation" : "[133]"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[133]</w:t>
      </w:r>
      <w:r>
        <w:rPr>
          <w:rFonts w:ascii="Times New Roman" w:hAnsi="Times New Roman" w:cs="Times New Roman"/>
          <w:sz w:val="24"/>
          <w:szCs w:val="24"/>
        </w:rPr>
        <w:fldChar w:fldCharType="end"/>
      </w:r>
      <w:r>
        <w:rPr>
          <w:rFonts w:ascii="Times New Roman" w:hAnsi="Times New Roman" w:cs="Times New Roman"/>
          <w:sz w:val="24"/>
          <w:szCs w:val="24"/>
        </w:rPr>
        <w:t xml:space="preserve">. </w:t>
      </w:r>
    </w:p>
    <w:p w14:paraId="1D2AFF88" w14:textId="123D28B7" w:rsidR="003C6953" w:rsidRDefault="003C6953" w:rsidP="003C6953">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2FA48AEC" wp14:editId="2E872903">
            <wp:extent cx="4229100" cy="3486150"/>
            <wp:effectExtent l="0" t="0" r="0" b="0"/>
            <wp:docPr id="80" name="Picture 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9100" cy="3486150"/>
                    </a:xfrm>
                    <a:prstGeom prst="rect">
                      <a:avLst/>
                    </a:prstGeom>
                    <a:noFill/>
                    <a:ln>
                      <a:noFill/>
                    </a:ln>
                  </pic:spPr>
                </pic:pic>
              </a:graphicData>
            </a:graphic>
          </wp:inline>
        </w:drawing>
      </w:r>
    </w:p>
    <w:p w14:paraId="1599B783" w14:textId="587A615E" w:rsidR="003C6953" w:rsidRDefault="00FD69F7" w:rsidP="0005778C">
      <w:pPr>
        <w:pStyle w:val="Caption"/>
        <w:ind w:firstLine="0"/>
        <w:rPr>
          <w:rFonts w:cs="Times New Roman"/>
          <w:color w:val="222222"/>
          <w:szCs w:val="24"/>
          <w:shd w:val="clear" w:color="auto" w:fill="FFFFFF"/>
        </w:rPr>
      </w:pPr>
      <w:bookmarkStart w:id="56" w:name="_Toc502661651"/>
      <w:bookmarkStart w:id="57" w:name="_Toc518823389"/>
      <w:r>
        <w:t>Figure 2.</w:t>
      </w:r>
      <w:r w:rsidR="0005778C">
        <w:fldChar w:fldCharType="begin"/>
      </w:r>
      <w:r w:rsidR="0005778C">
        <w:instrText xml:space="preserve"> SEQ Figure_2. \* ARABIC </w:instrText>
      </w:r>
      <w:r w:rsidR="0005778C">
        <w:fldChar w:fldCharType="separate"/>
      </w:r>
      <w:r w:rsidR="00551ED9">
        <w:rPr>
          <w:noProof/>
        </w:rPr>
        <w:t>12</w:t>
      </w:r>
      <w:r w:rsidR="0005778C">
        <w:fldChar w:fldCharType="end"/>
      </w:r>
      <w:r w:rsidR="0005778C">
        <w:t xml:space="preserve">. </w:t>
      </w:r>
      <w:r w:rsidR="003C6953">
        <w:rPr>
          <w:rFonts w:cs="Times New Roman"/>
          <w:szCs w:val="24"/>
        </w:rPr>
        <w:t xml:space="preserve">Stress-strain curves for PU/EG composites. Insert is the low strain region of stress-strain curves for PC/EG (Reproduced from reference </w:t>
      </w:r>
      <w:r w:rsidR="003C6953">
        <w:rPr>
          <w:rFonts w:cs="Times New Roman"/>
          <w:szCs w:val="24"/>
        </w:rPr>
        <w:fldChar w:fldCharType="begin" w:fldLock="1"/>
      </w:r>
      <w:r w:rsidR="00D14688">
        <w:rPr>
          <w:rFonts w:cs="Times New Roman"/>
          <w:szCs w:val="24"/>
        </w:rPr>
        <w:instrText>ADDIN CSL_CITATION { "citationItems" : [ { "id" : "ITEM-1", "itemData" : { "DOI" : "10.1016/j.carbon.2010.07.008", "ISBN" : "0008-6223", "ISSN" : "00086223", "abstract" : "We have prepared graphene dispersions, stabilised by polyurethane in tetrahydrofuran and dimethylformamide. These dispersions can be drop-cast to produce free-standing composite films. The graphene mass fraction is determined by the concentration of dispersed graphene and can be controllably varied from 0% to 90%. Raman spectroscopy and helium ion microscopy show the graphene to be well-dispersed and well-exfoliated in the composites, even at mass fractions of 55%. On addition of graphene, the Young's modulus and stress at 3% strain increase by ??100, saturating at 1 GPa and 25 MPa, respectively, for mass fractions above 50 wt%. While the ultimate tensile strength does not vary significantly with graphene content, the strain at break and toughness degrade heavily on graphene addition. Both these properties fall by ??1000 as the graphene content is increased to 90 wt%. However, the rate of increase of Young's modulus and stress at 3% strain with mass fraction is greater than the rate of decrease of ductility and toughness. This makes it possible to prepare composites with high modulus, stress at low strain and ultimate tensile strength as well as relatively high toughness and ductility. This could lead to new materials that are stiff, strong and tough. ?? 2010 Elsevier Ltd. All rights reserved.", "author" : [ { "dropping-particle" : "", "family" : "Khan", "given" : "Umar", "non-dropping-particle" : "", "parse-names" : false, "suffix" : "" }, { "dropping-particle" : "", "family" : "May", "given" : "Peter", "non-dropping-particle" : "", "parse-names" : false, "suffix" : "" }, { "dropping-particle" : "", "family" : "O'Neill", "given" : "Arlene", "non-dropping-particle" : "", "parse-names" : false, "suffix" : "" }, { "dropping-particle" : "", "family" : "Coleman", "given" : "Jonathan N.", "non-dropping-particle" : "", "parse-names" : false, "suffix" : "" } ], "container-title" : "Carbon", "id" : "ITEM-1", "issue" : "14", "issued" : { "date-parts" : [ [ "2010" ] ] }, "page" : "4035-4041", "publisher" : "Elsevier Ltd", "title" : "Development of stiff, strong, yet tough composites by the addition of solvent exfoliated graphene to polyurethane", "type" : "article-journal", "volume" : "48" }, "uris" : [ "http://www.mendeley.com/documents/?uuid=26915abc-7586-4ee6-b173-a9a3ec1b0a69" ] } ], "mendeley" : { "formattedCitation" : "[133]", "plainTextFormattedCitation" : "[133]", "previouslyFormattedCitation" : "[133]" }, "properties" : {  }, "schema" : "https://github.com/citation-style-language/schema/raw/master/csl-citation.json" }</w:instrText>
      </w:r>
      <w:r w:rsidR="003C6953">
        <w:rPr>
          <w:rFonts w:cs="Times New Roman"/>
          <w:szCs w:val="24"/>
        </w:rPr>
        <w:fldChar w:fldCharType="separate"/>
      </w:r>
      <w:r w:rsidR="00D973A8" w:rsidRPr="00D973A8">
        <w:rPr>
          <w:rFonts w:cs="Times New Roman"/>
          <w:b w:val="0"/>
          <w:noProof/>
          <w:szCs w:val="24"/>
        </w:rPr>
        <w:t>[133]</w:t>
      </w:r>
      <w:r w:rsidR="003C6953">
        <w:rPr>
          <w:rFonts w:cs="Times New Roman"/>
          <w:szCs w:val="24"/>
        </w:rPr>
        <w:fldChar w:fldCharType="end"/>
      </w:r>
      <w:r w:rsidR="003C6953">
        <w:rPr>
          <w:rFonts w:cs="Times New Roman"/>
          <w:color w:val="222222"/>
          <w:szCs w:val="24"/>
          <w:shd w:val="clear" w:color="auto" w:fill="FFFFFF"/>
        </w:rPr>
        <w:t>).</w:t>
      </w:r>
      <w:bookmarkEnd w:id="56"/>
      <w:bookmarkEnd w:id="57"/>
    </w:p>
    <w:p w14:paraId="4E3E412D" w14:textId="77777777" w:rsidR="00182B31" w:rsidRPr="00325639" w:rsidRDefault="00182B31" w:rsidP="003C6953">
      <w:pPr>
        <w:spacing w:after="0" w:line="360" w:lineRule="auto"/>
        <w:jc w:val="both"/>
        <w:rPr>
          <w:rFonts w:ascii="Times New Roman" w:hAnsi="Times New Roman" w:cs="Times New Roman"/>
          <w:color w:val="222222"/>
          <w:sz w:val="24"/>
          <w:szCs w:val="24"/>
          <w:shd w:val="clear" w:color="auto" w:fill="FFFFFF"/>
        </w:rPr>
      </w:pPr>
    </w:p>
    <w:p w14:paraId="4521CB6C" w14:textId="77777777"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Hysteresis is another important property for elastomers. It is determined as the energy loss during a cycle, which is associated to viscoelasticity, viscoelasticity, and strain-induced crystallization. Cyclic tensile test is normally carried out to investigate the hysteresis behaviour, and the area under loading and unloading path of stress-strain curves are defined as the energy loss/hysteresis. Hysteresis is caused by the internal friction between polymer chains, which resist both loading and unloading path. Fundamentally, hysteresis increases as the reinforcement and the strain rate increases. So far, the study on the effect of graphitic fillers on hysteresis behaviour of elastomers is very rare. </w:t>
      </w:r>
    </w:p>
    <w:p w14:paraId="3C85B5DE" w14:textId="0CAC435E" w:rsidR="003C6953" w:rsidRDefault="003C6953" w:rsidP="003C6953">
      <w:pPr>
        <w:spacing w:after="0" w:line="480" w:lineRule="auto"/>
        <w:ind w:firstLine="360"/>
        <w:jc w:val="both"/>
        <w:rPr>
          <w:rFonts w:ascii="Times New Roman" w:hAnsi="Times New Roman" w:cs="Times New Roman"/>
          <w:sz w:val="24"/>
          <w:szCs w:val="24"/>
        </w:rPr>
      </w:pPr>
    </w:p>
    <w:p w14:paraId="47A11CA7" w14:textId="4DFED103" w:rsidR="00182B31" w:rsidRDefault="00182B31" w:rsidP="003C6953">
      <w:pPr>
        <w:spacing w:after="0" w:line="480" w:lineRule="auto"/>
        <w:ind w:firstLine="360"/>
        <w:jc w:val="both"/>
        <w:rPr>
          <w:rFonts w:ascii="Times New Roman" w:hAnsi="Times New Roman" w:cs="Times New Roman"/>
          <w:sz w:val="24"/>
          <w:szCs w:val="24"/>
        </w:rPr>
      </w:pPr>
    </w:p>
    <w:p w14:paraId="709ED1FF" w14:textId="77777777" w:rsidR="003C6953" w:rsidRDefault="003C6953" w:rsidP="0005778C">
      <w:pPr>
        <w:pStyle w:val="Subtitle"/>
      </w:pPr>
      <w:r>
        <w:t xml:space="preserve">Self-healing behaviour </w:t>
      </w:r>
    </w:p>
    <w:p w14:paraId="17EB275D" w14:textId="37A584E2"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Self-healing polymers are designed on reversible bonds, which are able to associate and dissociate upon external energy like heat, light or stimulators. Hyperbranched polymers possesses terminal groups which have the potential for hydrogen bonding. Therefore, some hyperbranched polymers based on hydrogen bonding network exhibit great self-healing behaviour with or without external energy. Theoretically, the density of the hydrogen bonding is the key for the self-healing ability. The incorporation of GO can significantly enhance the mechanical strength and modulus of hyperbranched polymers due to its high mechanical properties, abundant oxygen functional groups and high specific surface area. However, the addition of GO can alter the density of hydrogen bonding sites, which in turn would affect the self-healing capacity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"10.1038/nnano.2012.192", "ISBN" : "1748-3395 (Electronic) 1748-3387 (Linking)", "ISSN" : "17483395", "PMID" : "23142944", "abstract" : "Pressure sensitivity and mechanical self-healing are two vital functions of the human skin. A flexible and electrically conducting material that can sense mechanical forces and yet be able to self-heal repeatably can be of use in emerging fields such as soft robotics and biomimetic prostheses, but combining all these properties together remains a challenging task. Here, we describe a composite material composed of a supramolecular organic polymer with embedded nickel nanostructured microparticles, which shows mechanical and electrical self-healing properties at ambient conditions. We also show that our material is pressure- and flexion-sensitive, and therefore suitable for electronic skin applications. The electrical conductivity can be tuned by varying the amount of nickel particles and can reach values as high as 40 S cm(-1). On rupture, the initial conductivity is repeatably restored with \u223c90% efficiency after 15 s healing time, and the mechanical properties are completely restored after \u223c10 min. The composite resistance varies inversely with applied flexion and tactile forces. These results demonstrate that natural skin's repeatable self-healing capability can be mimicked in conductive and piezoresistive materials, thus potentially expanding the scope of applications of current electronic skin systems.", "author" : [ { "dropping-particle" : "", "family" : "Tee", "given" : "Benjamin C-K.", "non-dropping-particle" : "", "parse-names" : false, "suffix" : "" }, { "dropping-particle" : "", "family" : "Wang", "given" : "Chao", "non-dropping-particle" : "", "parse-names" : false, "suffix" : "" }, { "dropping-particle" : "", "family" : "Allen", "given" : "Ranulfo", "non-dropping-particle" : "", "parse-names" : false, "suffix" : "" }, { "dropping-particle" : "", "family" : "Bao", "given" : "Zhenan", "non-dropping-particle" : "", "parse-names" : false, "suffix" : "" } ], "container-title" : "Nature Nanotechnology", "id" : "ITEM-1", "issue" : "12", "issued" : { "date-parts" : [ [ "2012" ] ] }, "page" : "825-832", "publisher" : "Nature Publishing Group", "title" : "An electrically and mechanically self-healing composite with pressure- and flexion-sensitive properties for electronic skin applications", "type" : "article-journal", "volume" : "7" }, "uris" : [ "http://www.mendeley.com/documents/?uuid=2f16ba11-9586-4992-a412-d94451ae32a3" ] }, { "id" : "ITEM-2",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"ITEM-2", "issue" : "40", "issued" : { "date-parts" : [ [ "2013" ] ] }, "page" : "5785-5790", "title" : "A rapid and efficient self-healing thermo-reversible elastomer crosslinked with graphene oxide", "type" : "article-journal", "volume" : "25" }, "uris" : [ "http://www.mendeley.com/documents/?uuid=c6119f47-655c-4db2-9140-d5126b5d384c" ] }, { "id" : "ITEM-3", "itemData" : { "DOI" : "10.1038/nchem.2492", "ISBN" : "1755-4349", "ISSN" : "1755-4330", "PMID" : "27219708", "abstract" : "It is a challenge to synthesize materials that possess the properties of biological muscles\u2014strong, elastic and capable of self-healing. Herein we report a network of poly(dimethylsiloxane) polymer chains crosslinked by coordination complexes that combines high stretchability, high dielectric strength, autonomous self-healing and mechanical actuation. The healing process can take place at a temperature as low as \u221220 \u00b0C and is not significantly affected by surface ageing and moisture. The crosslinking complexes used consist of 2,6-pyridinedicarboxamide ligands that coordinate to Fe(III) centres through three different interactions: a strong pyridyl\u2013iron one, and two weaker carboxamido\u2013iron ones through both the nitrogen and oxygen atoms of the carboxamide groups. As a result, the iron\u2013ligand bonds can readily break and re-form while the iron centres still remain attached to the ligands through the stronger interaction with the pyridyl ring, which enables reversible unfolding and refolding of the chains. We hypothesize that this behaviour supports the high stretchability and self-healing capability of the material.", "author" : [ { "dropping-particle" : "", "family" : "Li", "given" : "Cheng-Hui", "non-dropping-particle" : "", "parse-names" : false, "suffix" : "" }, { "dropping-particle" : "", "family" : "Wang", "given" : "Chao", "non-dropping-particle" : "", "parse-names" : false, "suffix" : "" }, { "dropping-particle" : "", "family" : "Keplinger", "given" : "Christoph", "non-dropping-particle" : "", "parse-names" : false, "suffix" : "" }, { "dropping-particle" : "", "family" : "Zuo", "given" : "Jing-Lin", "non-dropping-particle" : "", "parse-names" : false, "suffix" : "" }, { "dropping-particle" : "", "family" : "Jin", "given" : "Lihua", "non-dropping-particle" : "", "parse-names" : false, "suffix" : "" }, { "dropping-particle" : "", "family" : "Sun", "given" : "Yang", "non-dropping-particle" : "", "parse-names" : false, "suffix" : "" }, { "dropping-particle" : "", "family" : "Zheng", "given" : "Peng", "non-dropping-particle" : "", "parse-names" : false, "suffix" : "" }, { "dropping-particle" : "", "family" : "Cao", "given" : "Yi", "non-dropping-particle" : "", "parse-names" : false, "suffix" : "" }, { "dropping-particle" : "", "family" : "Lissel", "given" : "Franziska", "non-dropping-particle" : "", "parse-names" : false, "suffix" : "" }, { "dropping-particle" : "", "family" : "Linder", "given" : "Christian", "non-dropping-particle" : "", "parse-names" : false, "suffix" : "" }, { "dropping-particle" : "", "family" : "You", "given" : "Xiao-Zeng", "non-dropping-particle" : "", "parse-names" : false, "suffix" : "" }, { "dropping-particle" : "", "family" : "Bao", "given" : "Zhenan", "non-dropping-particle" : "", "parse-names" : false, "suffix" : "" } ], "container-title" : "Nature Chemistry", "id" : "ITEM-3", "issue" : "6", "issued" : { "date-parts" : [ [ "2016" ] ] }, "page" : "618-624", "publisher" : "Nature Publishing Group", "title" : "A highly stretchable autonomous self-healing elastomer", "type" : "article-journal", "volume" : "8" }, "uris" : [ "http://www.mendeley.com/documents/?uuid=8e42dfd3-7833-4626-a412-59d3f6826a12" ] }, { "id" : "ITEM-4", "itemData" : { "DOI" : "10.1039/b711716g", "ISBN" : "1744-683X", "ISSN" : "1744-683X", "PMID" : "39749158431", "abstract" : "The ability of materials to self-heal from mechanical and thermally induced damage is explored in this paper and has significance in the field of fracture and fatigue. The history and evolution of several self-repair systems is examined including nano-beam healing elements, passive self-healing, autonomic self-healing and ballistic self-repair. Self-healing mechanisms utilized in the design of these unusual materials draw much information from the related field of polymer\u2013polymer interfaces and crack healing. The relationship of material damage to material healing is examined in a manner to provide an understanding of the kinetics and damage reversal processes necessary to impart self-healing characteristics. In self-healing systems, there are transitions from hard-to-soft matter in ballistic impact and solvent bonding and conversely, soft-to-hard matter transitions in high rate yielding materials and shear-thickening fluids. These transitions are examined in terms of a new theory of the glass transition and yielding, viz., the twinkling fractal theory of the hard-to-soft matter transition. Success in the design of self-healing materials has important consequences for material safety, product performance and enhanced fatigue lifetime.", "author" : [ { "dropping-particle" : "", "family" : "Wool", "given" : "Richard P.", "non-dropping-particle" : "", "parse-names" : false, "suffix" : "" } ], "container-title" : "Soft Matter", "id" : "ITEM-4", "issue" : "3", "issued" : { "date-parts" : [ [ "2008" ] ] }, "page" : "400-418", "title" : "Self-healing materials: a review", "type" : "article-journal", "volume" : "4" }, "uris" : [ "http://www.mendeley.com/documents/?uuid=b70e4637-6397-439a-99a8-656a861b6b7c" ] } ], "mendeley" : { "formattedCitation" : "[134\u2013137]", "plainTextFormattedCitation" : "[134\u2013137]", "previouslyFormattedCitation" : "[134\u2013137]"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[134–137]</w:t>
      </w:r>
      <w:r>
        <w:rPr>
          <w:rFonts w:ascii="Times New Roman" w:hAnsi="Times New Roman" w:cs="Times New Roman"/>
          <w:sz w:val="24"/>
          <w:szCs w:val="24"/>
        </w:rPr>
        <w:fldChar w:fldCharType="end"/>
      </w:r>
      <w:r>
        <w:rPr>
          <w:rFonts w:ascii="Times New Roman" w:hAnsi="Times New Roman" w:cs="Times New Roman"/>
          <w:sz w:val="24"/>
          <w:szCs w:val="24"/>
        </w:rPr>
        <w:t>. W</w:t>
      </w:r>
      <w:r>
        <w:rPr>
          <w:rFonts w:ascii="Times New Roman" w:hAnsi="Times New Roman" w:cs="Times New Roman" w:hint="eastAsia"/>
          <w:sz w:val="24"/>
          <w:szCs w:val="24"/>
        </w:rPr>
        <w:t>ang</w:t>
      </w:r>
      <w:r>
        <w:rPr>
          <w:rFonts w:ascii="Times New Roman" w:hAnsi="Times New Roman" w:cs="Times New Roman"/>
          <w:sz w:val="24"/>
          <w:szCs w:val="24"/>
        </w:rPr>
        <w:t xml:space="preserve"> et.al. developed amine-terminal hyperbranched polymer and its GO composites. In his work, he investigated the self-healing behaviour of HB-HN</w:t>
      </w:r>
      <w:r w:rsidRPr="00E46CD6">
        <w:rPr>
          <w:rFonts w:ascii="Times New Roman" w:hAnsi="Times New Roman" w:cs="Times New Roman"/>
          <w:sz w:val="24"/>
          <w:szCs w:val="24"/>
          <w:vertAlign w:val="subscript"/>
        </w:rPr>
        <w:t xml:space="preserve">2 </w:t>
      </w:r>
      <w:r>
        <w:rPr>
          <w:rFonts w:ascii="Times New Roman" w:hAnsi="Times New Roman" w:cs="Times New Roman"/>
          <w:sz w:val="24"/>
          <w:szCs w:val="24"/>
        </w:rPr>
        <w:t>composites with various GO loadings. The decay of self-healing efficiency was also studied.</w:t>
      </w:r>
      <w:r w:rsidRPr="009A0A98">
        <w:rPr>
          <w:rFonts w:ascii="Times New Roman" w:hAnsi="Times New Roman" w:cs="Times New Roman"/>
          <w:sz w:val="24"/>
          <w:szCs w:val="24"/>
        </w:rPr>
        <w:t xml:space="preserve"> </w:t>
      </w:r>
      <w:r>
        <w:rPr>
          <w:rFonts w:ascii="Times New Roman" w:hAnsi="Times New Roman" w:cs="Times New Roman"/>
          <w:sz w:val="24"/>
          <w:szCs w:val="24"/>
        </w:rPr>
        <w:t>HB-HN</w:t>
      </w:r>
      <w:r w:rsidRPr="009B6812">
        <w:rPr>
          <w:rFonts w:ascii="Times New Roman" w:hAnsi="Times New Roman" w:cs="Times New Roman"/>
          <w:sz w:val="24"/>
          <w:szCs w:val="24"/>
          <w:vertAlign w:val="subscript"/>
        </w:rPr>
        <w:t>2</w:t>
      </w:r>
      <w:r>
        <w:rPr>
          <w:rFonts w:ascii="Times New Roman" w:hAnsi="Times New Roman" w:cs="Times New Roman"/>
          <w:sz w:val="24"/>
          <w:szCs w:val="24"/>
        </w:rPr>
        <w:t xml:space="preserve"> polymers exhibited rapid self-healing behaviour by the hydrogen bonding formed between amine and carboxyl groups, as shown in Figure 2.13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"ITEM-1", "issue" : "40", "issued" : { "date-parts" : [ [ "2013" ] ] }, "page" : "5785-5790", "title" : "A rapid and efficient self-healing thermo-reversible elastomer crosslinked with graphene oxide", "type" : "article-journal", "volume" : "25" }, "uris" : [ "http://www.mendeley.com/documents/?uuid=c6119f47-655c-4db2-9140-d5126b5d384c" ] } ], "mendeley" : { "formattedCitation" : "[135]", "plainTextFormattedCitation" : "[135]", "previouslyFormattedCitation" : "[135]"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[135]</w:t>
      </w:r>
      <w:r>
        <w:rPr>
          <w:rFonts w:ascii="Times New Roman" w:hAnsi="Times New Roman" w:cs="Times New Roman"/>
          <w:sz w:val="24"/>
          <w:szCs w:val="24"/>
        </w:rPr>
        <w:fldChar w:fldCharType="end"/>
      </w:r>
      <w:r>
        <w:rPr>
          <w:rFonts w:ascii="Times New Roman" w:hAnsi="Times New Roman" w:cs="Times New Roman"/>
          <w:sz w:val="24"/>
          <w:szCs w:val="24"/>
        </w:rPr>
        <w:t xml:space="preserve">. For each healing time (from 1 min to 1 h), the self-healing capacity decreases as the GO content increases, in which HBN-1% GO can be self-healed 60^ of its original tensile strength for 1 min, and a complete healing achieved for 1 h.  However, HBN-2% GO and HBN-4% GO can only recover 36% and 20% of its original strength in 1 min, respectively. This is because the presence of GO in the polymer chains would prevent the formation of hydrogen bonding. Moreover, GO may also form hydrogen bonding with amine groups in polymer. Therefore, the density of active hydrogen bonding for self-healing is reduced, and the influence increases with increasing GO content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"ITEM-1", "issue" : "40", "issued" : { "date-parts" : [ [ "2013" ] ] }, "page" : "5785-5790", "title" : "A rapid and efficient self-healing thermo-reversible elastomer crosslinked with graphene oxide", "type" : "article-journal", "volume" : "25" }, "uris" : [ "http://www.mendeley.com/documents/?uuid=c6119f47-655c-4db2-9140-d5126b5d384c" ] }, { "id" : "ITEM-2", "itemData" : { "DOI" : "10.1021/cm401919c", "ISBN" : "0897-4756", "ISSN" : "08974756", "abstract" : "Superior mechanical properties and self-healing are two hot topics in hydrogel science due to their tight relationship with the following potential application scopes. Most of the conventional hydrogels do not possess both features at the same time. Herein, we expand the recently proposed intertwined double-network mechanism and prepare a novel class of graphene oxide (GO)/poly(acryloyl-6-aminocaproic acid) (PAACA) composite hydrogels with enhanced mechanical properties and self-healing capability to pH stimulus. Without the use of any conventional organic cross-linkers, the double networks in GO/PAACA hydrogels are triggered by GO nanosheets and calcium ions as cross-linkers. For one thing, Ca2+ induces the formation of the 3D cross-linked network through coordination interactions with both oxygen-containing groups of GO nanosheets and polar groups of PAACA side chains. For another, powerful hydrogen-bonding network is simultaneously interconnected, attributed to the interactions of polar groups of PAACA side chains with both other polar groups of PAACA side chains and oxygen-containing groups of GO nanosheets. Superior mechanical properties and self-healing are two hot topics in hydrogel science due to their tight relationship with the following potential application scopes. Most of the conventional hydrogels do not possess both features at the same time. Herein, we expand the recently proposed intertwined double-network mechanism and prepare a novel class of graphene oxide (GO)/poly(acryloyl-6-aminocaproic acid) (PAACA) composite hydrogels with enhanced mechanical properties and self-healing capability to pH stimulus. Without the use of any conventional organic cross-linkers, the double networks in GO/PAACA hydrogels are triggered by GO nanosheets and calcium ions as cross-linkers. For one thing, Ca2+ induces the formation of the 3D cross-linked network through coordination interactions with both oxygen-containing groups of GO nanosheets and polar groups of PAACA side chains. For another, powerful hydrogen-bonding network is simultaneously interconnected, attributed to the interactions of polar groups of PAACA side chains with both other polar groups of PAACA side chains and oxygen-containing groups of GO nanosheets.", "author" : [ { "dropping-particle" : "", "family" : "Cong", "given" : "Huai Ping", "non-dropping-particle" : "", "parse-names" : false, "suffix" : "" }, { "dropping-particle" : "", "family" : "Wang", "given" : "Ping", "non-dropping-particle" : "", "parse-names" : false, "suffix" : "" }, { "dropping-particle" : "", "family" : "Yu", "given" : "Shu Hong", "non-dropping-particle" : "", "parse-names" : false, "suffix" : "" } ], "container-title" : "Chemistry of Materials", "id" : "ITEM-2", "issue" : "16", "issued" : { "date-parts" : [ [ "2013" ] ] }, "page" : "3357-3362", "title" : "Stretchable and self-healing graphene oxide-polymer composite hydrogels: A dual-network design", "type" : "article-journal", "volume" : "25" }, "uris" : [ "http://www.mendeley.com/documents/?uuid=d50f714c-7d0d-421a-9c0e-b42e5f9f2c28" ] } ], "mendeley" : { "formattedCitation" : "[135,138]", "plainTextFormattedCitation" : "[135,138]", "previouslyFormattedCitation" : "[135,138]"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[135,138]</w:t>
      </w:r>
      <w:r>
        <w:rPr>
          <w:rFonts w:ascii="Times New Roman" w:hAnsi="Times New Roman" w:cs="Times New Roman"/>
          <w:sz w:val="24"/>
          <w:szCs w:val="24"/>
        </w:rPr>
        <w:fldChar w:fldCharType="end"/>
      </w:r>
      <w:r>
        <w:rPr>
          <w:rFonts w:ascii="Times New Roman" w:hAnsi="Times New Roman" w:cs="Times New Roman"/>
          <w:sz w:val="24"/>
          <w:szCs w:val="24"/>
        </w:rPr>
        <w:t xml:space="preserve">. Figure 2.14(d) shows the decay of self-healing behaviour of HBN-2% GO composites, in which a given self-healing time of 10 min and various waiting times (1 h, 24 h, and 48 h) were used. Significant decay of self-healing was observed which increases as the waiting time increases. There is slightly drop of tensile strength for 1 h waiting. After 24 h waiting, the strength can be recovered nearly 90% of its original strength. The self-healing capacity with 48 h waiting shows a 50% drop on the tensile strength. Principally, numerous of non-associated groups ‘eager’ to link cross the interface of two broken parts. If the sample is not mended immediately after being cut, some non-associated groups on the broken surface ‘look for ’ other non-associated groups within the broken part during the waiting time, resulting in a less number of free groups. Therefore, the self-healing efficiency is reduces with increasing waiting time </w:t>
      </w:r>
      <w:r>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"10.1038/nature06669", "ISBN" : "1476-4687 (Electronic)\\r0028-0836 (Linking)", "ISSN" : "0028-0836", "PMID" : "18288191", "abstract" : "Rubbers exhibit enormous extensibility up to several hundred per cent, compared with a few per cent for ordinary solids, and have the ability to recover their original shape and dimensions on release of stress. Rubber elasticity is a property of macromolecules that are either covalently cross-linked or connected in a network by physical associations such as small glassy or crystalline domains, ionic aggregates or multiple hydrogen bonds. Covalent cross-links or strong physical associations prevent flow and creep. Here we design and synthesize molecules that associate together to form both chains and cross-links via hydrogen bonds. The system shows recoverable extensibility up to several hundred per cent and little creep under load. In striking contrast to conventional cross-linked or thermoreversible rubbers made of macromolecules, these systems, when broken or cut, can be simply repaired by bringing together fractured surfaces to self-heal at room temperature. Repaired samples recuperate their enormous extensibility. The process of breaking and healing can be repeated many times. These materials can be easily processed, re-used and recycled. Their unique self-repairing properties, the simplicity of their synthesis, their availability from renewable resources and the low cost of raw ingredients (fatty acids and urea) bode well for future applications.", "author" : [ { "dropping-particle" : "", "family" : "Cordier", "given" : "Philippe", "non-dropping-particle" : "", "parse-names" : false, "suffix" : "" }, { "dropping-particle" : "", "family" : "Tournilhac", "given" : "Fran\u00e7ois", "non-dropping-particle" : "", "parse-names" : false, "suffix" : "" }, { "dropping-particle" : "", "family" : "Souli\u00e9-Ziakovic", "given" : "Corinne", "non-dropping-particle" : "", "parse-names" : false, "suffix" : "" }, { "dropping-particle" : "", "family" : "Leibler", "given" : "Ludwik", "non-dropping-particle" : "", "parse-names" : false, "suffix" : "" } ], "container-title" : "Nature", "id" : "ITEM-1", "issue" : "7181", "issued" : { "date-parts" : [ [ "2008" ] ] }, "page" : "977-980", "title" : "Self-healing and thermoreversible rubber from supramolecular assembly", "type" : "article-journal", "volume" : "451" }, "uris" : [ "http://www.mendeley.com/documents/?uuid=43ef4f89-6b75-410c-a873-1419b95175e9" ] } ], "mendeley" : { "formattedCitation" : "[139]", "plainTextFormattedCitation" : "[139]", "previouslyFormattedCitation" : "[139]" }, "properties" : {  }, "schema" : "https://github.com/citation-style-language/schema/raw/master/csl-citation.json" }</w:instrText>
      </w:r>
      <w:r>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[139]</w:t>
      </w:r>
      <w:r>
        <w:rPr>
          <w:rFonts w:ascii="Times New Roman" w:hAnsi="Times New Roman" w:cs="Times New Roman"/>
          <w:sz w:val="24"/>
          <w:szCs w:val="24"/>
        </w:rPr>
        <w:fldChar w:fldCharType="end"/>
      </w:r>
      <w:r>
        <w:rPr>
          <w:rFonts w:ascii="Times New Roman" w:hAnsi="Times New Roman" w:cs="Times New Roman"/>
          <w:sz w:val="24"/>
          <w:szCs w:val="24"/>
        </w:rPr>
        <w:t>.</w:t>
      </w:r>
    </w:p>
    <w:p w14:paraId="3351DADA" w14:textId="77777777" w:rsidR="003C6953" w:rsidRDefault="003C6953" w:rsidP="003C6953">
      <w:pPr>
        <w:spacing w:after="0" w:line="480" w:lineRule="auto"/>
        <w:jc w:val="center"/>
        <w:rPr>
          <w:rFonts w:ascii="Times New Roman" w:hAnsi="Times New Roman" w:cs="Times New Roman"/>
          <w:sz w:val="24"/>
          <w:szCs w:val="24"/>
        </w:rPr>
      </w:pPr>
      <w:r w:rsidRPr="00797366">
        <w:rPr>
          <w:rFonts w:ascii="Times New Roman" w:hAnsi="Times New Roman" w:cs="Times New Roman"/>
          <w:noProof/>
          <w:sz w:val="24"/>
          <w:szCs w:val="24"/>
          <w:lang w:val="en-GB"/>
        </w:rPr>
        <w:drawing>
          <wp:inline distT="0" distB="0" distL="0" distR="0" wp14:anchorId="31E456EA" wp14:editId="458CA9D4">
            <wp:extent cx="4947554" cy="4114800"/>
            <wp:effectExtent l="0" t="0" r="5715" b="0"/>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025004" cy="4179214"/>
                    </a:xfrm>
                    <a:prstGeom prst="rect">
                      <a:avLst/>
                    </a:prstGeom>
                  </pic:spPr>
                </pic:pic>
              </a:graphicData>
            </a:graphic>
          </wp:inline>
        </w:drawing>
      </w:r>
    </w:p>
    <w:p w14:paraId="66459C48" w14:textId="7FEAF5EB" w:rsidR="003C6953" w:rsidRDefault="00FD69F7" w:rsidP="0005778C">
      <w:pPr>
        <w:pStyle w:val="Caption"/>
        <w:ind w:firstLine="0"/>
        <w:rPr>
          <w:rFonts w:cs="Times New Roman"/>
          <w:szCs w:val="24"/>
        </w:rPr>
      </w:pPr>
      <w:bookmarkStart w:id="58" w:name="_Toc502661652"/>
      <w:bookmarkStart w:id="59" w:name="_Toc518823390"/>
      <w:r>
        <w:t>Figure 2.</w:t>
      </w:r>
      <w:r w:rsidR="0005778C">
        <w:fldChar w:fldCharType="begin"/>
      </w:r>
      <w:r w:rsidR="0005778C">
        <w:instrText xml:space="preserve"> SEQ Figure_2. \* ARABIC </w:instrText>
      </w:r>
      <w:r w:rsidR="0005778C">
        <w:fldChar w:fldCharType="separate"/>
      </w:r>
      <w:r w:rsidR="00551ED9">
        <w:rPr>
          <w:noProof/>
        </w:rPr>
        <w:t>13</w:t>
      </w:r>
      <w:r w:rsidR="0005778C">
        <w:fldChar w:fldCharType="end"/>
      </w:r>
      <w:r w:rsidR="0005778C">
        <w:t>.</w:t>
      </w:r>
      <w:r w:rsidR="003C6953">
        <w:rPr>
          <w:rFonts w:cs="Times New Roman"/>
          <w:szCs w:val="24"/>
        </w:rPr>
        <w:t xml:space="preserve"> a) Synthetic route of HB-NH</w:t>
      </w:r>
      <w:r w:rsidR="003C6953" w:rsidRPr="00A06F89">
        <w:rPr>
          <w:rFonts w:cs="Times New Roman"/>
          <w:szCs w:val="24"/>
          <w:vertAlign w:val="subscript"/>
        </w:rPr>
        <w:t>2</w:t>
      </w:r>
      <w:r w:rsidR="003C6953" w:rsidRPr="00797366">
        <w:rPr>
          <w:rFonts w:cs="Times New Roman"/>
          <w:szCs w:val="24"/>
        </w:rPr>
        <w:t>; b) Schematic illustration of the synthesis of the self-healing nanocomposite (HBN-GO)</w:t>
      </w:r>
      <w:bookmarkEnd w:id="58"/>
      <w:bookmarkEnd w:id="59"/>
    </w:p>
    <w:p w14:paraId="1789741D" w14:textId="77777777" w:rsidR="003C6953" w:rsidRDefault="003C6953" w:rsidP="003C6953">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0147E7D2" wp14:editId="3E950C20">
            <wp:extent cx="5047200" cy="3642186"/>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5829" cy="3684494"/>
                    </a:xfrm>
                    <a:prstGeom prst="rect">
                      <a:avLst/>
                    </a:prstGeom>
                    <a:noFill/>
                  </pic:spPr>
                </pic:pic>
              </a:graphicData>
            </a:graphic>
          </wp:inline>
        </w:drawing>
      </w:r>
    </w:p>
    <w:p w14:paraId="0F383CFA" w14:textId="1E756554" w:rsidR="003C6953" w:rsidRDefault="00FD69F7" w:rsidP="0005778C">
      <w:pPr>
        <w:pStyle w:val="Caption"/>
        <w:ind w:firstLine="0"/>
        <w:rPr>
          <w:rFonts w:cs="Times New Roman"/>
          <w:szCs w:val="24"/>
        </w:rPr>
      </w:pPr>
      <w:bookmarkStart w:id="60" w:name="_Toc502661653"/>
      <w:bookmarkStart w:id="61" w:name="_Toc518823391"/>
      <w:r>
        <w:t>Figure 2.</w:t>
      </w:r>
      <w:r w:rsidR="0005778C">
        <w:fldChar w:fldCharType="begin"/>
      </w:r>
      <w:r w:rsidR="0005778C">
        <w:instrText xml:space="preserve"> SEQ Figure_2. \* ARABIC </w:instrText>
      </w:r>
      <w:r w:rsidR="0005778C">
        <w:fldChar w:fldCharType="separate"/>
      </w:r>
      <w:r w:rsidR="00551ED9">
        <w:rPr>
          <w:noProof/>
        </w:rPr>
        <w:t>14</w:t>
      </w:r>
      <w:r w:rsidR="0005778C">
        <w:fldChar w:fldCharType="end"/>
      </w:r>
      <w:r w:rsidR="0005778C">
        <w:t xml:space="preserve">. </w:t>
      </w:r>
      <w:r w:rsidR="003C6953">
        <w:rPr>
          <w:rFonts w:cs="Times New Roman"/>
          <w:szCs w:val="24"/>
        </w:rPr>
        <w:t>S</w:t>
      </w:r>
      <w:r w:rsidR="003C6953" w:rsidRPr="004F4C4B">
        <w:rPr>
          <w:rFonts w:cs="Times New Roman"/>
          <w:szCs w:val="24"/>
        </w:rPr>
        <w:t>elf-healing</w:t>
      </w:r>
      <w:r w:rsidR="003C6953">
        <w:rPr>
          <w:rFonts w:cs="Times New Roman"/>
          <w:szCs w:val="24"/>
        </w:rPr>
        <w:t xml:space="preserve"> behaviour of HB-NH</w:t>
      </w:r>
      <w:r w:rsidR="003C6953" w:rsidRPr="004F4C4B">
        <w:rPr>
          <w:rFonts w:cs="Times New Roman"/>
          <w:szCs w:val="24"/>
          <w:vertAlign w:val="subscript"/>
        </w:rPr>
        <w:t xml:space="preserve">2 </w:t>
      </w:r>
      <w:r w:rsidR="003C6953" w:rsidRPr="004F4C4B">
        <w:rPr>
          <w:rFonts w:cs="Times New Roman"/>
          <w:szCs w:val="24"/>
        </w:rPr>
        <w:t>composites with GO at a) 1 wt%, b) 2 wt% and c) 4 wt% upon different he</w:t>
      </w:r>
      <w:r w:rsidR="003C6953">
        <w:rPr>
          <w:rFonts w:cs="Times New Roman"/>
          <w:szCs w:val="24"/>
        </w:rPr>
        <w:t xml:space="preserve">aling time at room temperature; </w:t>
      </w:r>
      <w:r w:rsidR="003C6953" w:rsidRPr="004F4C4B">
        <w:rPr>
          <w:rFonts w:cs="Times New Roman"/>
          <w:szCs w:val="24"/>
        </w:rPr>
        <w:t>d) S</w:t>
      </w:r>
      <w:r w:rsidR="003C6953">
        <w:rPr>
          <w:rFonts w:cs="Times New Roman"/>
          <w:szCs w:val="24"/>
        </w:rPr>
        <w:t xml:space="preserve">train-stress curves of HBN-2% </w:t>
      </w:r>
      <w:r w:rsidR="003C6953" w:rsidRPr="004F4C4B">
        <w:rPr>
          <w:rFonts w:cs="Times New Roman"/>
          <w:szCs w:val="24"/>
        </w:rPr>
        <w:t>GO</w:t>
      </w:r>
      <w:r w:rsidR="003C6953">
        <w:rPr>
          <w:rFonts w:cs="Times New Roman"/>
          <w:szCs w:val="24"/>
        </w:rPr>
        <w:t xml:space="preserve"> composites </w:t>
      </w:r>
      <w:r w:rsidR="003C6953" w:rsidRPr="004F4C4B">
        <w:rPr>
          <w:rFonts w:cs="Times New Roman"/>
          <w:szCs w:val="24"/>
        </w:rPr>
        <w:t>of 10 min healing</w:t>
      </w:r>
      <w:r w:rsidR="003C6953">
        <w:rPr>
          <w:rFonts w:cs="Times New Roman"/>
          <w:szCs w:val="24"/>
        </w:rPr>
        <w:t xml:space="preserve"> time</w:t>
      </w:r>
      <w:r w:rsidR="003C6953" w:rsidRPr="004F4C4B">
        <w:rPr>
          <w:rFonts w:cs="Times New Roman"/>
          <w:szCs w:val="24"/>
        </w:rPr>
        <w:t xml:space="preserve"> </w:t>
      </w:r>
      <w:r w:rsidR="003C6953">
        <w:rPr>
          <w:rFonts w:cs="Times New Roman"/>
          <w:szCs w:val="24"/>
        </w:rPr>
        <w:t>after</w:t>
      </w:r>
      <w:r w:rsidR="003C6953" w:rsidRPr="004F4C4B">
        <w:rPr>
          <w:rFonts w:cs="Times New Roman"/>
          <w:szCs w:val="24"/>
        </w:rPr>
        <w:t xml:space="preserve"> different waiting time.</w:t>
      </w:r>
      <w:bookmarkEnd w:id="60"/>
      <w:bookmarkEnd w:id="61"/>
    </w:p>
    <w:p w14:paraId="7B87FE63" w14:textId="77777777" w:rsidR="003C6953" w:rsidRPr="004F4C4B" w:rsidRDefault="003C6953" w:rsidP="003C6953">
      <w:pPr>
        <w:spacing w:after="0" w:line="360" w:lineRule="auto"/>
        <w:contextualSpacing/>
        <w:jc w:val="both"/>
        <w:rPr>
          <w:rFonts w:ascii="Times New Roman" w:hAnsi="Times New Roman" w:cs="Times New Roman"/>
          <w:sz w:val="24"/>
          <w:szCs w:val="24"/>
        </w:rPr>
      </w:pPr>
    </w:p>
    <w:p w14:paraId="2B370551" w14:textId="77777777" w:rsidR="003C6953" w:rsidRPr="00E816A8" w:rsidRDefault="003C6953" w:rsidP="003C6953">
      <w:pPr>
        <w:spacing w:after="0"/>
      </w:pPr>
      <w:r>
        <w:t xml:space="preserve">       </w:t>
      </w:r>
    </w:p>
    <w:p w14:paraId="78D3B6E2" w14:textId="0D0C6A54" w:rsidR="003C6953" w:rsidRDefault="00165B0C" w:rsidP="003C6953">
      <w:pPr>
        <w:pStyle w:val="Heading1"/>
        <w:spacing w:before="0"/>
        <w:ind w:left="3126" w:hanging="3126"/>
      </w:pPr>
      <w:bookmarkStart w:id="62" w:name="_Toc484547641"/>
      <w:bookmarkStart w:id="63" w:name="_Toc518823251"/>
      <w:r>
        <w:t>2.</w:t>
      </w:r>
      <w:r w:rsidR="003C6953" w:rsidRPr="0056309F">
        <w:t>7. Summary</w:t>
      </w:r>
      <w:bookmarkEnd w:id="62"/>
      <w:bookmarkEnd w:id="63"/>
      <w:r w:rsidR="003C6953" w:rsidRPr="0056309F">
        <w:t xml:space="preserve"> </w:t>
      </w:r>
    </w:p>
    <w:p w14:paraId="6D1C00B9" w14:textId="75A18CFD" w:rsidR="003C6953" w:rsidRDefault="003C6953" w:rsidP="003C695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This review summarized some general concepts, the synthesis method, and properties for graphene-based polymers. The performance of polymer nanocomposites are determined by the process condition, microstructure, the dispersion and orientation of graphitic fillers, the interfacial interaction between fillers and matrix, etc. Graphitic fillers tend to aggregate due to the van der Waas force, and lack of compatibility with polymers. Therefore, some negative effects are usually gains. To address this issue, graphitic fillers are modified via covalent or non-covalent method, which can improve the dispersion of fillers in solvents and the polymer matrix, as well as the compatibility with matrix. Moreover, the process techniques can also improve the properties for specific requirement. For instance, injection molding can produce a</w:t>
      </w:r>
      <w:r w:rsidR="00CB1990">
        <w:rPr>
          <w:rFonts w:ascii="Times New Roman" w:hAnsi="Times New Roman" w:cs="Times New Roman" w:hint="eastAsia"/>
          <w:sz w:val="24"/>
          <w:szCs w:val="24"/>
        </w:rPr>
        <w:t>n</w:t>
      </w:r>
      <w:r>
        <w:rPr>
          <w:rFonts w:ascii="Times New Roman" w:hAnsi="Times New Roman" w:cs="Times New Roman"/>
          <w:sz w:val="24"/>
          <w:szCs w:val="24"/>
        </w:rPr>
        <w:t xml:space="preserve"> aligned polymer/graphene composites, which is beneficial for the mechanical properties. While, composite prepared by the solution compounding followed by the solvent evaporation shows a random orientation of graphitic fillers, which is beneficial for the electrical conductivity. Morphological properties is a key factor for the properties of a polymer/graphene composites. Characterizations such as SEM, TEM, and XRD etc. are usually employed to investigate the microstructure, which can be used for future explanation of the performance of nanocomposites.  It has been extensively reported that, the great enhancements of mechanical, thermal, and electrical properties can be achieved for a well-dispersed graphene-based polymer composites at a low concentration. </w:t>
      </w:r>
    </w:p>
    <w:p w14:paraId="6654A687" w14:textId="71E9F39B" w:rsidR="003C6953" w:rsidRDefault="003C6953" w:rsidP="003C6953">
      <w:pPr>
        <w:spacing w:after="0"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Owing to its unique structure (branched, terminal functional groups), hyperbranched polymer exhibits some unique properties like self-healing properties. Elastomers are soft polymers, which is highly stretchable, hysteresis, low mechanical properties, and low </w:t>
      </w:r>
      <w:r w:rsidRPr="00387B8D">
        <w:rPr>
          <w:rFonts w:ascii="Times New Roman" w:hAnsi="Times New Roman" w:cs="Times New Roman"/>
          <w:i/>
          <w:sz w:val="24"/>
          <w:szCs w:val="24"/>
        </w:rPr>
        <w:t>T</w:t>
      </w:r>
      <w:r w:rsidRPr="00387B8D">
        <w:rPr>
          <w:rFonts w:ascii="Times New Roman" w:hAnsi="Times New Roman" w:cs="Times New Roman"/>
          <w:i/>
          <w:sz w:val="24"/>
          <w:szCs w:val="24"/>
          <w:vertAlign w:val="subscript"/>
        </w:rPr>
        <w:t>g</w:t>
      </w:r>
      <w:r>
        <w:rPr>
          <w:rFonts w:ascii="Times New Roman" w:hAnsi="Times New Roman" w:cs="Times New Roman"/>
          <w:sz w:val="24"/>
          <w:szCs w:val="24"/>
        </w:rPr>
        <w:t>. In order to improve the modulus and strength, rigid graphitic nanofillers are introduced. Compared to hard polymers, large gains of modulus and strength can be obtained. However, the addition of graphitic nanofillers would also increase the hysteresis due to the increased internal friction between polymer chains. Meanwhile, the self-healing capacity is influenced due to the altered density of hydrogen bonding on polymer chains.</w:t>
      </w:r>
    </w:p>
    <w:p w14:paraId="3733881B" w14:textId="31F332C9" w:rsidR="00C555CA" w:rsidRDefault="00C555CA" w:rsidP="003C6953">
      <w:pPr>
        <w:spacing w:after="0" w:line="480" w:lineRule="auto"/>
        <w:ind w:firstLine="360"/>
        <w:jc w:val="both"/>
        <w:rPr>
          <w:rFonts w:ascii="Times New Roman" w:hAnsi="Times New Roman" w:cs="Times New Roman"/>
          <w:sz w:val="24"/>
          <w:szCs w:val="24"/>
        </w:rPr>
      </w:pPr>
    </w:p>
    <w:p w14:paraId="5885637B" w14:textId="77777777" w:rsidR="003C6953" w:rsidRDefault="003C6953" w:rsidP="003C6953">
      <w:pPr>
        <w:spacing w:after="0"/>
        <w:rPr>
          <w:rFonts w:ascii="Times New Roman" w:hAnsi="Times New Roman" w:cs="Times New Roman"/>
          <w:sz w:val="24"/>
          <w:szCs w:val="24"/>
        </w:rPr>
      </w:pPr>
    </w:p>
    <w:p w14:paraId="104648BE" w14:textId="77777777" w:rsidR="003C6953" w:rsidRDefault="003C6953" w:rsidP="003C6953">
      <w:pPr>
        <w:spacing w:after="0"/>
        <w:rPr>
          <w:rFonts w:ascii="Times New Roman" w:hAnsi="Times New Roman" w:cs="Times New Roman"/>
          <w:sz w:val="24"/>
          <w:szCs w:val="24"/>
        </w:rPr>
      </w:pPr>
    </w:p>
    <w:p w14:paraId="73615971" w14:textId="77777777" w:rsidR="003C6953" w:rsidRPr="0056309F" w:rsidRDefault="003C6953" w:rsidP="003C6953">
      <w:pPr>
        <w:spacing w:after="0"/>
        <w:rPr>
          <w:rFonts w:ascii="Times New Roman" w:hAnsi="Times New Roman" w:cs="Times New Roman"/>
          <w:sz w:val="24"/>
          <w:szCs w:val="24"/>
        </w:rPr>
      </w:pPr>
    </w:p>
    <w:p w14:paraId="1F726C56" w14:textId="5ECB2DD3" w:rsidR="00D003E1" w:rsidRPr="00E709EE" w:rsidRDefault="00F10828" w:rsidP="00E709EE">
      <w:pPr>
        <w:pStyle w:val="Heading1"/>
        <w:rPr>
          <w:sz w:val="50"/>
          <w:szCs w:val="50"/>
          <w:lang w:val="en-GB"/>
        </w:rPr>
      </w:pPr>
      <w:bookmarkStart w:id="64" w:name="_Toc518823252"/>
      <w:r>
        <w:rPr>
          <w:sz w:val="50"/>
          <w:szCs w:val="50"/>
          <w:lang w:val="en-GB"/>
        </w:rPr>
        <w:t>C</w:t>
      </w:r>
      <w:r w:rsidR="00B54D04">
        <w:rPr>
          <w:sz w:val="50"/>
          <w:szCs w:val="50"/>
          <w:lang w:val="en-GB"/>
        </w:rPr>
        <w:t xml:space="preserve">hapter </w:t>
      </w:r>
      <w:r>
        <w:rPr>
          <w:sz w:val="50"/>
          <w:szCs w:val="50"/>
          <w:lang w:val="en-GB"/>
        </w:rPr>
        <w:t>3</w:t>
      </w:r>
      <w:r w:rsidR="00D003E1" w:rsidRPr="00E709EE">
        <w:rPr>
          <w:sz w:val="50"/>
          <w:szCs w:val="50"/>
          <w:lang w:val="en-GB"/>
        </w:rPr>
        <w:t>: The study of unsaturated polyester/graphene oxide composites</w:t>
      </w:r>
      <w:bookmarkEnd w:id="64"/>
    </w:p>
    <w:p w14:paraId="03B2D69E" w14:textId="348D741F" w:rsidR="00D003E1" w:rsidRDefault="00D003E1" w:rsidP="00D003E1">
      <w:pPr>
        <w:spacing w:after="0" w:line="480" w:lineRule="auto"/>
        <w:ind w:firstLine="284"/>
        <w:jc w:val="center"/>
        <w:rPr>
          <w:rFonts w:ascii="Times New Roman" w:eastAsia="SimSun" w:hAnsi="Times New Roman" w:cs="Times New Roman"/>
          <w:b/>
          <w:sz w:val="24"/>
          <w:szCs w:val="24"/>
          <w:lang w:val="en-GB"/>
        </w:rPr>
      </w:pPr>
    </w:p>
    <w:p w14:paraId="31AC92B1" w14:textId="77777777" w:rsidR="00D973A8" w:rsidRPr="00D003E1" w:rsidRDefault="00D973A8" w:rsidP="00D003E1">
      <w:pPr>
        <w:spacing w:after="0" w:line="480" w:lineRule="auto"/>
        <w:ind w:firstLine="284"/>
        <w:jc w:val="center"/>
        <w:rPr>
          <w:rFonts w:ascii="Times New Roman" w:eastAsia="SimSun" w:hAnsi="Times New Roman" w:cs="Times New Roman"/>
          <w:b/>
          <w:sz w:val="24"/>
          <w:szCs w:val="24"/>
          <w:lang w:val="en-GB"/>
        </w:rPr>
      </w:pPr>
    </w:p>
    <w:p w14:paraId="786359A7" w14:textId="52071E62" w:rsidR="00D003E1" w:rsidRPr="00D003E1" w:rsidRDefault="00F10828" w:rsidP="00D003E1">
      <w:pPr>
        <w:keepNext/>
        <w:keepLines/>
        <w:spacing w:after="0" w:line="480" w:lineRule="auto"/>
        <w:jc w:val="both"/>
        <w:outlineLvl w:val="0"/>
        <w:rPr>
          <w:rFonts w:ascii="Times New Roman" w:eastAsia="SimSun" w:hAnsi="Times New Roman" w:cs="Times New Roman"/>
          <w:b/>
          <w:bCs/>
          <w:color w:val="000000"/>
          <w:sz w:val="40"/>
          <w:szCs w:val="28"/>
          <w:lang w:val="en-GB"/>
        </w:rPr>
      </w:pPr>
      <w:bookmarkStart w:id="65" w:name="_Toc518823253"/>
      <w:r>
        <w:rPr>
          <w:rFonts w:ascii="Times New Roman" w:eastAsia="SimSun" w:hAnsi="Times New Roman" w:cs="Times New Roman" w:hint="eastAsia"/>
          <w:b/>
          <w:bCs/>
          <w:color w:val="000000"/>
          <w:sz w:val="40"/>
          <w:szCs w:val="28"/>
          <w:lang w:val="en-GB"/>
        </w:rPr>
        <w:t>3</w:t>
      </w:r>
      <w:r w:rsidR="00B54D04">
        <w:rPr>
          <w:rFonts w:ascii="Times New Roman" w:eastAsia="SimSun" w:hAnsi="Times New Roman" w:cs="Times New Roman" w:hint="eastAsia"/>
          <w:b/>
          <w:bCs/>
          <w:color w:val="000000"/>
          <w:sz w:val="40"/>
          <w:szCs w:val="28"/>
          <w:lang w:val="en-GB"/>
        </w:rPr>
        <w:t>.</w:t>
      </w:r>
      <w:r w:rsidR="00D003E1" w:rsidRPr="00D003E1">
        <w:rPr>
          <w:rFonts w:ascii="Times New Roman" w:eastAsia="SimSun" w:hAnsi="Times New Roman" w:cs="Times New Roman"/>
          <w:b/>
          <w:bCs/>
          <w:color w:val="000000"/>
          <w:sz w:val="40"/>
          <w:szCs w:val="28"/>
          <w:lang w:val="en-GB"/>
        </w:rPr>
        <w:t>1. Introduction</w:t>
      </w:r>
      <w:bookmarkEnd w:id="65"/>
    </w:p>
    <w:p w14:paraId="167363D1" w14:textId="5717A73D"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hint="eastAsia"/>
          <w:sz w:val="24"/>
          <w:lang w:val="en-GB"/>
        </w:rPr>
        <w:t>Unsaturated polyester (UPR) is an important thermosetting polymer which has been widely used in coating, construction, automobile, aerospace, storage tanks, and piping due to its  low cost, easy processing,</w:t>
      </w:r>
      <w:r w:rsidR="001E0DBB">
        <w:rPr>
          <w:rFonts w:ascii="Times New Roman" w:eastAsia="SimSun" w:hAnsi="Times New Roman" w:cs="Times New Roman"/>
          <w:sz w:val="24"/>
          <w:lang w:val="en-GB"/>
        </w:rPr>
        <w:t xml:space="preserve"> low moisture absorption, excellent chemical resistance </w:t>
      </w:r>
      <w:r w:rsidRPr="00D003E1">
        <w:rPr>
          <w:rFonts w:ascii="Times New Roman" w:eastAsia="SimSun" w:hAnsi="Times New Roman" w:cs="Times New Roman" w:hint="eastAsia"/>
          <w:sz w:val="24"/>
          <w:lang w:val="en-GB"/>
        </w:rPr>
        <w:t xml:space="preserve">and </w:t>
      </w:r>
      <w:r w:rsidRPr="00D003E1">
        <w:rPr>
          <w:rFonts w:ascii="Times New Roman" w:eastAsia="SimSun" w:hAnsi="Times New Roman" w:cs="Times New Roman"/>
          <w:sz w:val="24"/>
          <w:lang w:val="en-GB"/>
        </w:rPr>
        <w:t>good mechanical</w:t>
      </w:r>
      <w:r w:rsidRPr="00D003E1">
        <w:rPr>
          <w:rFonts w:ascii="Times New Roman" w:eastAsia="SimSun" w:hAnsi="Times New Roman" w:cs="Times New Roman" w:hint="eastAsia"/>
          <w:sz w:val="24"/>
          <w:lang w:val="en-GB"/>
        </w:rPr>
        <w:t xml:space="preserve"> characteristics</w:t>
      </w:r>
      <w:r w:rsidRPr="00D003E1">
        <w:rPr>
          <w:rFonts w:ascii="Times New Roman" w:eastAsia="SimSun" w:hAnsi="Times New Roman" w:cs="Times New Roman"/>
          <w:sz w:val="24"/>
          <w:lang w:val="en-GB"/>
        </w:rPr>
        <w:t xml:space="preserve">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"10.1016/j.polymdegradstab.2004.04.020", "author" : [ { "dropping-particle" : "", "family" : "Shih", "given" : "Yeng-fong", "non-dropping-particle" : "", "parse-names" : false, "suffix" : "" }, { "dropping-particle" : "", "family" : "Wang", "given" : "Yih-tyng", "non-dropping-particle" : "", "parse-names" : false, "suffix" : "" }, { "dropping-particle" : "", "family" : "Jeng", "given" : "Ru-jong", "non-dropping-particle" : "", "parse-names" : false, "suffix" : "" }, { "dropping-particle" : "", "family" : "Wei", "given" : "Kuo-min", "non-dropping-particle" : "", "parse-names" : false, "suffix" : "" } ], "container-title" : "Polymer Degradation and Stability", "id" : "ITEM-1", "issued" : { "date-parts" : [ [ "2004" ] ] }, "page" : "339-348", "title" : "Expandable graphite systems for phosphorus-containing unsaturated polyesters . I . Enhanced thermal properties and flame retardancy", "type" : "article-journal", "volume" : "86" }, "uris" : [ "http://www.mendeley.com/documents/?uuid=d3cc4110-3ef0-43bb-ab04-3bb3ef6dbb60" ] }, { "id" : "ITEM-2", "itemData" : { "DOI" : "10.1002/app.39068", "ISSN" : "00218995", "abstract" : "Graphene oxide (GO) has attracted huge scientific interest due to its unique physical and chemical properties as well as its wide-scale applicability including facile synthesis and high yield. Here, we report preparation of nanocomposites based on GO and unsaturated polyester resin (PE). The synthesized samples were characterized by Fourier transform infrared spectroscopy, X-ray diffraction, scanning electron microscopy, thermogravimetric analysis, and tensile strength measurements. A good dispersion of the GO sheets within the resin matrix was observed from the morphological analysis. A significant enhancement in mechanical properties of the PE/GO composites is obtained at low graphene loading. Around 76% improvement of tensile strength and 41% increase of Young's modulus of the composites are achieved at 3 wt % loading of GO. Thermal analysis of the composite showed a noticeable improvement in thermal stability in comparison to neat PE. Copyright \u00a9 2013 Wiley Periodicals, Inc.", "author" : [ { "dropping-particle" : "", "family" : "Bora", "given" : "Chandramika", "non-dropping-particle" : "", "parse-names" : false, "suffix" : "" }, { "dropping-particle" : "", "family" : "Gogoi", "given" : "Pronob", "non-dropping-particle" : "", "parse-names" : false, "suffix" : "" }, { "dropping-particle" : "", "family" : "Baglari", "given" : "Silpi", "non-dropping-particle" : "", "parse-names" : false, "suffix" : "" }, { "dropping-particle" : "", "family" : "Dolui", "given" : "Swapan K.", "non-dropping-particle" : "", "parse-names" : false, "suffix" : "" } ], "container-title" : "Applied Polymer Science", "id" : "ITEM-2", "issue" : "6", "issued" : { "date-parts" : [ [ "2013" ] ] }, "page" : "3432-3438", "title" : "Preparation of polyester resin/graphene oxide nanocomposite with improved mechanical strength", "type" : "article-journal", "volume" : "10" }, "uris" : [ "http://www.mendeley.com/documents/?uuid=6219ff23-f6d1-449e-becd-bd0afc5dc85f" ] } ], "mendeley" : { "formattedCitation" : "[140,141]", "plainTextFormattedCitation" : "[140,141]", "previouslyFormattedCitation" : "[140,141]"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[140,141]</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hint="eastAsia"/>
          <w:sz w:val="24"/>
          <w:lang w:val="en-GB"/>
        </w:rPr>
        <w:t xml:space="preserve">. </w:t>
      </w:r>
      <w:r w:rsidRPr="00D003E1">
        <w:rPr>
          <w:rFonts w:ascii="Times New Roman" w:eastAsia="SimSun" w:hAnsi="Times New Roman" w:cs="Times New Roman"/>
          <w:sz w:val="24"/>
          <w:lang w:val="en-GB"/>
        </w:rPr>
        <w:t xml:space="preserve">However, the mechanical properties of UPR are lower than those of epoxy resin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"10.1002/app.39068", "ISSN" : "00218995", "abstract" : "Graphene oxide (GO) has attracted huge scientific interest due to its unique physical and chemical properties as well as its wide-scale applicability including facile synthesis and high yield. Here, we report preparation of nanocomposites based on GO and unsaturated polyester resin (PE). The synthesized samples were characterized by Fourier transform infrared spectroscopy, X-ray diffraction, scanning electron microscopy, thermogravimetric analysis, and tensile strength measurements. A good dispersion of the GO sheets within the resin matrix was observed from the morphological analysis. A significant enhancement in mechanical properties of the PE/GO composites is obtained at low graphene loading. Around 76% improvement of tensile strength and 41% increase of Young's modulus of the composites are achieved at 3 wt % loading of GO. Thermal analysis of the composite showed a noticeable improvement in thermal stability in comparison to neat PE. Copyright \u00a9 2013 Wiley Periodicals, Inc.", "author" : [ { "dropping-particle" : "", "family" : "Bora", "given" : "Chandramika", "non-dropping-particle" : "", "parse-names" : false, "suffix" : "" }, { "dropping-particle" : "", "family" : "Gogoi", "given" : "Pronob", "non-dropping-particle" : "", "parse-names" : false, "suffix" : "" }, { "dropping-particle" : "", "family" : "Baglari", "given" : "Silpi", "non-dropping-particle" : "", "parse-names" : false, "suffix" : "" }, { "dropping-particle" : "", "family" : "Dolui", "given" : "Swapan K.", "non-dropping-particle" : "", "parse-names" : false, "suffix" : "" } ], "container-title" : "Applied Polymer Science", "id" : "ITEM-1", "issue" : "6", "issued" : { "date-parts" : [ [ "2013" ] ] }, "page" : "3432-3438", "title" : "Preparation of polyester resin/graphene oxide nanocomposite with improved mechanical strength", "type" : "article-journal", "volume" : "10" }, "uris" : [ "http://www.mendeley.com/documents/?uuid=6219ff23-f6d1-449e-becd-bd0afc5dc85f" ] } ], "mendeley" : { "formattedCitation" : "[141]", "plainTextFormattedCitation" : "[141]", "previouslyFormattedCitation" : "[141]"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[141]</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Therefore, the addition of nanofillers, such as carbon nanotubes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"10.1021/ma060733p", "ISBN" : "0024-9297", "ISSN" : "00249297", "PMID" : "24150287", "abstract" : "We review the present state of polymer nanocomposites research in which the fillers are single-wall or multiwall carbon nanotubes. By way of background we provide a brief synopsis about carbon nanotube materials and their suspensions. We summarize and critique various nanotube/polymer composite fabrication methods including solution mixing, melt mixing, and in situ polymerization with a particular emphasis on evaluating the dispersion state of the nanotubes. We discuss mechanical, electrical, rheological, thermal, and flammability properties separately and how these physical properties depend on the size, aspect ratio, loading, dispersion state, and alignment of nanotubes within polymer nanocomposites. Finally, we summarize the current challenges to and opportunities for efficiently translating the extraordinary properties of carbon nanotubes to polymer matrices in hopes of facilitating progress in this emerging area.", "author" : [ { "dropping-particle" : "", "family" : "Moniruzzaman", "given" : "Mohammad", "non-dropping-particle" : "", "parse-names" : false, "suffix" : "" }, { "dropping-particle" : "", "family" : "Winey", "given" : "Karen I.", "non-dropping-particle" : "", "parse-names" : false, "suffix" : "" } ], "container-title" : "Macromolecules", "id" : "ITEM-1", "issue" : "16", "issued" : { "date-parts" : [ [ "2006" ] ] }, "page" : "5194-5205", "title" : "Polymer nanocomposites containing carbon nanotubes", "type" : "article-journal", "volume" : "39" }, "uris" : [ "http://www.mendeley.com/documents/?uuid=08d0da0f-f3ba-4e6e-b0a6-44526cedeae6" ] }, { "id" : "ITEM-2", "itemData" : { "DOI" : "10.1016/j.msea.2006.11.066", "ISBN" : "02638223", "ISSN" : "0731-6844", "abstract" : "The effect of carbon nanotubes (CNTs) on the impact and after impact performance of woven carbon fiber/epoxy composites is investigated. Three nano-reinforced epoxy systems that differ in the CNT dispersion and functionalization are used as a matrix material. The composites are tested for the resistance to an out-of-plane low velocity impact, the residual compressive strength, the mode II interlaminar fracture toughness and the interlaminar shear strength. The composite with the highest mode II fracture toughness is found to be the best performing system in the compression test. The resin in this composite contains a network-like structure of CNTs. Nanotubes are found to have a dual effect on composite properties: (1) they improve the mode II interlaminar fracture toughness and (with it) damage tolerance of a composite, but (2) they also make composites more susceptible to the onset of matrix cracks leading to a larger delamination area after impact. \u00a9 2014 Elsevier Ltd.", "author" : [ { "dropping-particle" : "", "family" : "Shokrieh", "given" : "Mahmoud M", "non-dropping-particle" : "", "parse-names" : false, "suffix" : "" }, { "dropping-particle" : "", "family" : "Saeedi", "given" : "Ali", "non-dropping-particle" : "", "parse-names" : false, "suffix" : "" }, { "dropping-particle" : "", "family" : "Chitsazzadeh", "given" : "Majid", "non-dropping-particle" : "", "parse-names" : false, "suffix" : "" } ], "container-title" : "Journal of nanostructure in chemistry", "id" : "ITEM-2", "issue" : "24", "issued" : { "date-parts" : [ [ "2013" ] ] }, "page" : "1-5", "title" : "Mechanical properties of multi-walled carbon nanotube / polyester nanocomposites", "type" : "article-journal", "volume" : "452-453" }, "uris" : [ "http://www.mendeley.com/documents/?uuid=a147aba3-0bbd-4e7a-867d-d88cc7cd66d1" ] }, { "id" : "ITEM-3", "itemData" : { "DOI" : "10.1016/S0266-3538(03)00071-X", "ISSN" : "02663538", "author" : [ { "dropping-particle" : "", "family" : "Ma", "given" : "H", "non-dropping-particle" : "", "parse-names" : false, "suffix" : "" } ], "container-title" : "Composites Science and Technology", "id" : "ITEM-3", "issued" : { "date-parts" : [ [ "2003" ] ] }, "page" : "1617-1628", "title" : "Processing, structure, and properties of fibers from polyester/carbon nanofiber composites", "type" : "article-journal", "volume" : "63" }, "uris" : [ "http://www.mendeley.com/documents/?uuid=f5c1d138-7267-455e-a13f-b26e9ff661a3" ] }, { "id" : "ITEM-4", "itemData" : { "DOI" : "10.1016/j.compscitech.2009.12.017", "ISBN" : "02663538", "ISSN" : "02663538", "abstract" : "This paper reports on the development of electrically conductive nanocomposites containing multi-walled carbon nanotubes in an unsaturated polyester matrix. The resistivity of the liquid suspension during processing is used to evaluate the quality of the filler dispersion, which is also studied using optical microscopy. The electrical properties of the cured composites are analysed by AC impedance spectroscopy and DC conductivity measurements. The conductivity of the cured nanocomposite follows a statistical percolation model, with percolation threshold at 0.026wt.% loading of nanotubes. The results obtained show that unsaturated polyesters are a matrix suitable for the preparation of electrically conductive thermosetting nanocomposites at low nanotube concentrations. The effect of carbon nanotubes reaggregation on the electrical properties of the spatial structure generated is discussed.", "author" : [ { "dropping-particle" : "", "family" : "Battisti", "given" : "A.", "non-dropping-particle" : "", "parse-names" : false, "suffix" : "" }, { "dropping-particle" : "", "family" : "Skordos", "given" : "A.A.", "non-dropping-particle" : "", "parse-names" : false, "suffix" : "" }, { "dropping-particle" : "", "family" : "Partridge", "given" : "I.K.", "non-dropping-particle" : "", "parse-names" : false, "suffix" : "" } ], "container-title" : "Composites Science and Technology", "id" : "ITEM-4", "issued" : { "date-parts" : [ [ "2010" ] ] }, "page" : "633-637", "publisher" : "Elsevier Ltd", "title" : "Percolation threshold of carbon nanotubes filled unsaturated polyesters", "type" : "article-journal", "volume" : "70" }, "uris" : [ "http://www.mendeley.com/documents/?uuid=89e2bc93-ca59-49fd-9133-8e0f53a7f4ed" ] } ], "mendeley" : { "formattedCitation" : "[142\u2013145]", "plainTextFormattedCitation" : "[142\u2013145]", "previouslyFormattedCitation" : "[142\u2013145]"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[142–145]</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clay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"10.1016/S0032-3861(00)00216-0", "ISBN" : "8242869391", "ISSN" : "00323861", "author" : [ { "dropping-particle" : "", "family" : "D.J.Suh", "given" : "", "non-dropping-particle" : "", "parse-names" : false, "suffix" : "" }, { "dropping-particle" : "", "family" : "Y.T.Lim", "given" : "", "non-dropping-particle" : "", "parse-names" : false, "suffix" : "" }, { "dropping-particle" : "", "family" : "O.O.Park", "given" : "", "non-dropping-particle" : "", "parse-names" : false, "suffix" : "" } ], "container-title" : "Polymer", "id" : "ITEM-1", "issued" : { "date-parts" : [ [ "2000" ] ] }, "page" : "8557-8563", "title" : "The property and formation mechanism of unsaturated polyester\u2013layered silicate nanocomposite depending on the fabrication methods", "type" : "article-journal", "volume" : "41" }, "uris" : [ "http://www.mendeley.com/documents/?uuid=234a8e3e-3837-4152-b764-fd97d5319a63" ] }, { "id" : "ITEM-2", "itemData" : { "DOI" : "10.1016/j.progpolymsci.2003.08.002", "ISBN" : "0079-6700", "ISSN" : "00796700", "PMID" : "3", "abstract" : "A review is given of the academic and industrial aspects of the preparation, characterization, materials properties, crystallization behavior, melt rheology, and processing of polymer/layered silicate nanocomposites. These materials are attracting considerable interest in polymer science research. Hectorite and montmorillonite are among the most commonly used smectite-type layered silicates for the preparation of nanocomposites. Smectites are a valuable mineral class for industrial applications because of their high cation exchange capacities, surface area, surface reactivity, adsorptive properties, and, in the case of hectorite, high viscosity and transparency in solution. In their pristine form they are hydrophilic in nature, and this property makes them very difficult to disperse into a polymer matrix. The most common way to remove this difficulty is to replace interlayer cations with quarternized ammonium or phosphonium cations, preferably with long alkyl chains. A wide range of polymer matrices is covered in this review, with special emphasis on biodegradable polymers. In general, polymer/layered silicate nanocomposites are of three different types, namely (1) intercalated nanocomposites, for which insertion of polymer chains into a layered silicate structure occurs in a crystallographically regular fashion, with a repeat distance of few nanometers, regardless of polymer to clay ratio, (2) flocculated nanocomposites, for which intercalated and stacked silicate layers flocculated to some extent due to the hydroxylated edge-edge interactions of the silicate layers, and (3) exfoliated nanocomposites, for which the individual silicate layers are separated in the polymer matrix by average distances that depend only on the clay loading. This new family of composite materials frequently exhibits remarkable improvements of material properties when compared with the matrix polymers alone or conventional micro- and macro-composite materials. Improvements can include a high storage modulus, both in solid and melt states, increased tensile and flexural properties, a decrease in gas permeability and flammability, increased heat distortion temperature, an increase in the biodegradability rate of biodegradable polymers, and so forth. \u00a9 2003 Elsevier Ltd. All rights reserved.", "author" : [ { "dropping-particle" : "", "family" : "Sinha Ray", "given" : "Suprakas", "non-dropping-particle" : "", "parse-names" : false, "suffix" : "" }, { "dropping-particle" : "", "family" : "Okamoto", "given" : "Masami", "non-dropping-particle" : "", "parse-names" : false, "suffix" : "" } ], "container-title" : "Progress in Polymer Science", "id" : "ITEM-2", "issued" : { "date-parts" : [ [ "2003" ] ] }, "page" : "1539-1641", "title" : "Polymer/layered silicate nanocomposites: A review from preparation to processing", "type" : "article-journal", "volume" : "28" }, "uris" : [ "http://www.mendeley.com/documents/?uuid=c2357ca1-80a5-4e1c-b37b-4a722d829b09" ] }, { "id" : "ITEM-3", "itemData" : { "DOI" : "10.1002/pen.10305", "ISSN" : "0032-3888", "abstract" : "The concept of nanoscale reinforcement provides opportunity for synthesis of new polymer materials with unique properties. Montmorilonite (MMT) was derived from bentonite, purified, activated by sodium ions and mixed with reacting unsaturated polyester (UP). X-ray and transmission electron microscopy data were in support of the formation of a partially delaminated nanocomposite material. At an MMT con- tent of only 1.5 volVo, the fracture energy, Cs. of the nanocomposite was doubled, 138 J/m2 as compared with 70 J/m2 for the pure UP", "author" : [ { "dropping-particle" : "", "family" : "Kornmann", "given" : "X.", "non-dropping-particle" : "", "parse-names" : false, "suffix" : "" }, { "dropping-particle" : "", "family" : "Berglund", "given" : "L. a.", "non-dropping-particle" : "", "parse-names" : false, "suffix" : "" }, { "dropping-particle" : "", "family" : "Sterte", "given" : "J.", "non-dropping-particle" : "", "parse-names" : false, "suffix" : "" }, { "dropping-particle" : "", "family" : "Giannelis", "given" : "E. P.", "non-dropping-particle" : "", "parse-names" : false, "suffix" : "" } ], "container-title" : "Polymer Engineering &amp; Science", "id" : "ITEM-3", "issued" : { "date-parts" : [ [ "1998" ] ] }, "page" : "1351-1358", "title" : "Nanocomposites based on montmorillonite and unsaturated polyester", "type" : "article-journal", "volume" : "38" }, "uris" : [ "http://www.mendeley.com/documents/?uuid=2a950827-ee22-4fbf-940d-3b4553e75a54" ] } ], "mendeley" : { "formattedCitation" : "[146\u2013148]", "plainTextFormattedCitation" : "[146\u2013148]", "previouslyFormattedCitation" : "[146\u2013148]"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[146–148]</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and carbon fibres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"10.5772/2748", "ISBN" : "978-953-51-0770-5", "author" : [ { "dropping-particle" : "", "family" : "Bagherpour", "given" : "Salar", "non-dropping-particle" : "", "parse-names" : false, "suffix" : "" } ], "container-title" : "Material science", "editor" : [ { "dropping-particle" : "", "family" : "Saleh", "given" : "Hosam El-Din M.", "non-dropping-particle" : "", "parse-names" : false, "suffix" : "" } ], "id" : "ITEM-1", "issued" : { "date-parts" : [ [ "2012" ] ] }, "number-of-pages" : "135-166", "publisher" : "Intech", "title" : "Fibre Reinforced Polyester Composites", "type" : "book" }, "uris" : [ "http://www.mendeley.com/documents/?uuid=bb2ed722-deac-44c8-acd0-6ac471d2164c" ] }, { "id" : "ITEM-2", "itemData" : { "DOI" : "10.1016/S1359-835X(02)00077-5", "ISBN" : "1359-835X", "ISSN" : "1359835X", "abstract" : "Carbon fibres are gaining use as reinforcement in glass fibre/polyester composites for increased stiffness as a hybrid composite. The mechanics and chemistry of the carbon fibre-polyester interface should be addressed to achieve an improvement also in fatigue performance and off-axis strength. To make better use of the versatility of unsaturated polyesters in a carbon fibre composite, a set of unsaturated polyester resins have been synthesized with different ratios of maleic anhydride, o-phthalic anhydride and 1,2-propylene glycol as precursors. The effective interfacial strength was determined by micro-Raman spectroscopy of a single-fibre composite tested in tension. The interfacial shear strength with untreated carbon fibres increased with increasing degree of unsaturation of the polyester, which is controlled by the relative amount of maleic anhydride. This can be explained by a contribution of chemical bonding of the double bonds in the polymer to the functional groups of the carbon fibre surface. ?? 2002 Elsevier Science Ltd. All rights reserved.", "author" : [ { "dropping-particle" : "", "family" : "Gamstedt", "given" : "E. K.", "non-dropping-particle" : "", "parse-names" : false, "suffix" : "" }, { "dropping-particle" : "", "family" : "Skrifvars", "given" : "M.", "non-dropping-particle" : "", "parse-names" : false, "suffix" : "" }, { "dropping-particle" : "", "family" : "Jacobsen", "given" : "T. K.", "non-dropping-particle" : "", "parse-names" : false, "suffix" : "" }, { "dropping-particle" : "", "family" : "Pyrz", "given" : "R.", "non-dropping-particle" : "", "parse-names" : false, "suffix" : "" } ], "container-title" : "Composites Part A: Applied Science and Manufacturing", "id" : "ITEM-2", "issue" : "9", "issued" : { "date-parts" : [ [ "2002" ] ] }, "page" : "1239-1252", "title" : "Synthesis of unsaturated polyesters for improved interfacial strength in carbon fibre composites", "type" : "article-journal", "volume" : "33" }, "uris" : [ "http://www.mendeley.com/documents/?uuid=4481f89b-0483-4a6c-97ea-32709236981a" ] } ], "mendeley" : { "formattedCitation" : "[149,150]", "plainTextFormattedCitation" : "[149,150]", "previouslyFormattedCitation" : "[149,150]"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[149,150]</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is an attractive approach to prepare UPR composites with improved properties even at very low concentrations. </w:t>
      </w:r>
    </w:p>
    <w:p w14:paraId="63C8FE0C" w14:textId="4DB465BC" w:rsidR="00D003E1" w:rsidRPr="00D003E1" w:rsidRDefault="00D003E1" w:rsidP="00D003E1">
      <w:pPr>
        <w:spacing w:after="0" w:line="480" w:lineRule="auto"/>
        <w:ind w:firstLine="360"/>
        <w:jc w:val="both"/>
        <w:rPr>
          <w:rFonts w:ascii="Times New Roman" w:eastAsia="SimSun" w:hAnsi="Times New Roman" w:cs="Times New Roman"/>
          <w:sz w:val="24"/>
          <w:lang w:val="en-GB"/>
        </w:rPr>
      </w:pPr>
      <w:r w:rsidRPr="00D003E1">
        <w:rPr>
          <w:rFonts w:ascii="Times New Roman" w:eastAsia="SimSun" w:hAnsi="Times New Roman" w:cs="Times New Roman" w:hint="eastAsia"/>
          <w:sz w:val="24"/>
          <w:szCs w:val="24"/>
          <w:lang w:val="en-GB"/>
        </w:rPr>
        <w:t>G</w:t>
      </w:r>
      <w:r w:rsidRPr="00D003E1">
        <w:rPr>
          <w:rFonts w:ascii="Times New Roman" w:eastAsia="SimSun" w:hAnsi="Times New Roman" w:cs="Times New Roman"/>
          <w:sz w:val="24"/>
          <w:szCs w:val="24"/>
          <w:lang w:val="en-GB"/>
        </w:rPr>
        <w:t>raphene, a monolayer of sp</w:t>
      </w:r>
      <w:r w:rsidRPr="00D003E1">
        <w:rPr>
          <w:rFonts w:ascii="Times New Roman" w:eastAsia="SimSun" w:hAnsi="Times New Roman" w:cs="Times New Roman"/>
          <w:sz w:val="24"/>
          <w:szCs w:val="24"/>
          <w:vertAlign w:val="superscript"/>
          <w:lang w:val="en-GB"/>
        </w:rPr>
        <w:t>2</w:t>
      </w:r>
      <w:r w:rsidRPr="00D003E1">
        <w:rPr>
          <w:rFonts w:ascii="Times New Roman" w:eastAsia="SimSun" w:hAnsi="Times New Roman" w:cs="Times New Roman"/>
          <w:sz w:val="24"/>
          <w:szCs w:val="24"/>
          <w:lang w:val="en-GB"/>
        </w:rPr>
        <w:t>–hybridized carbon atoms densely packed into a 2 dimension (2D) honeycomb lattice, has attracted tremendous attention of scientists and researchers due to it</w:t>
      </w:r>
      <w:r w:rsidRPr="00D003E1">
        <w:rPr>
          <w:rFonts w:ascii="Times New Roman" w:eastAsia="SimSun" w:hAnsi="Times New Roman" w:cs="Times New Roman" w:hint="eastAsia"/>
          <w:sz w:val="24"/>
          <w:szCs w:val="24"/>
          <w:lang w:val="en-GB"/>
        </w:rPr>
        <w:t>s</w:t>
      </w:r>
      <w:r w:rsidRPr="00D003E1">
        <w:rPr>
          <w:rFonts w:ascii="Times New Roman" w:eastAsia="SimSun" w:hAnsi="Times New Roman" w:cs="Times New Roman"/>
          <w:sz w:val="24"/>
          <w:szCs w:val="24"/>
          <w:lang w:val="en-GB"/>
        </w:rPr>
        <w:t xml:space="preserve"> </w:t>
      </w:r>
      <w:r w:rsidRPr="00D003E1">
        <w:rPr>
          <w:rFonts w:ascii="Times New Roman" w:eastAsia="SimSun" w:hAnsi="Times New Roman" w:cs="Times New Roman" w:hint="eastAsia"/>
          <w:sz w:val="24"/>
          <w:szCs w:val="24"/>
          <w:lang w:val="en-GB"/>
        </w:rPr>
        <w:t>remarkable</w:t>
      </w:r>
      <w:r w:rsidRPr="00D003E1">
        <w:rPr>
          <w:rFonts w:ascii="Times New Roman" w:eastAsia="SimSun" w:hAnsi="Times New Roman" w:cs="Times New Roman"/>
          <w:sz w:val="24"/>
          <w:szCs w:val="24"/>
          <w:lang w:val="en-GB"/>
        </w:rPr>
        <w:t xml:space="preserve"> properties</w:t>
      </w:r>
      <w:r w:rsidRPr="00D003E1">
        <w:rPr>
          <w:rFonts w:ascii="Times New Roman" w:eastAsia="SimSun" w:hAnsi="Times New Roman" w:cs="Times New Roman" w:hint="eastAsia"/>
          <w:sz w:val="24"/>
          <w:szCs w:val="24"/>
          <w:lang w:val="en-GB"/>
        </w:rPr>
        <w:t xml:space="preserve">, such as </w:t>
      </w:r>
      <w:r w:rsidRPr="00D003E1">
        <w:rPr>
          <w:rFonts w:ascii="Times New Roman" w:eastAsia="SimSun" w:hAnsi="Times New Roman" w:cs="Times New Roman"/>
          <w:sz w:val="24"/>
          <w:szCs w:val="24"/>
          <w:lang w:val="en-GB"/>
        </w:rPr>
        <w:t xml:space="preserve">Young’s modulus </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sz w:val="24"/>
          <w:szCs w:val="24"/>
          <w:lang w:val="en-GB"/>
        </w:rPr>
        <w:t>1 TPa</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sz w:val="24"/>
          <w:szCs w:val="24"/>
          <w:lang w:val="en-GB"/>
        </w:rPr>
        <w:t>, fracture strength</w:t>
      </w:r>
      <w:r w:rsidRPr="00D003E1">
        <w:rPr>
          <w:rFonts w:ascii="Times New Roman" w:eastAsia="SimSun" w:hAnsi="Times New Roman" w:cs="Times New Roman" w:hint="eastAsia"/>
          <w:sz w:val="24"/>
          <w:szCs w:val="24"/>
          <w:lang w:val="en-GB"/>
        </w:rPr>
        <w:t xml:space="preserve"> (</w:t>
      </w:r>
      <w:r w:rsidRPr="00D003E1">
        <w:rPr>
          <w:rFonts w:ascii="Times New Roman" w:eastAsia="SimSun" w:hAnsi="Times New Roman" w:cs="Times New Roman"/>
          <w:sz w:val="24"/>
          <w:szCs w:val="24"/>
          <w:lang w:val="en-GB"/>
        </w:rPr>
        <w:t>130 GPa</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sz w:val="24"/>
          <w:szCs w:val="24"/>
          <w:lang w:val="en-GB"/>
        </w:rPr>
        <w:t xml:space="preserve">, high intrinsic </w:t>
      </w:r>
      <w:r w:rsidRPr="00D003E1">
        <w:rPr>
          <w:rFonts w:ascii="Times New Roman" w:eastAsia="SimSun" w:hAnsi="Times New Roman" w:cs="Times New Roman" w:hint="eastAsia"/>
          <w:sz w:val="24"/>
          <w:szCs w:val="24"/>
          <w:lang w:val="en-GB"/>
        </w:rPr>
        <w:t xml:space="preserve">electron </w:t>
      </w:r>
      <w:r w:rsidRPr="00D003E1">
        <w:rPr>
          <w:rFonts w:ascii="Times New Roman" w:eastAsia="SimSun" w:hAnsi="Times New Roman" w:cs="Times New Roman"/>
          <w:sz w:val="24"/>
          <w:szCs w:val="24"/>
          <w:lang w:val="en-GB"/>
        </w:rPr>
        <w:t>mobility</w:t>
      </w:r>
      <w:r w:rsidRPr="00D003E1">
        <w:rPr>
          <w:rFonts w:ascii="Times New Roman" w:eastAsia="SimSun" w:hAnsi="Times New Roman" w:cs="Times New Roman" w:hint="eastAsia"/>
          <w:sz w:val="24"/>
          <w:szCs w:val="24"/>
          <w:lang w:val="en-GB"/>
        </w:rPr>
        <w:t xml:space="preserve"> (</w:t>
      </w:r>
      <w:r w:rsidRPr="00D003E1">
        <w:rPr>
          <w:rFonts w:ascii="Times New Roman" w:eastAsia="SimSun" w:hAnsi="Times New Roman" w:cs="Times New Roman"/>
          <w:sz w:val="24"/>
          <w:szCs w:val="24"/>
          <w:lang w:val="en-GB"/>
        </w:rPr>
        <w:t>200000 cm</w:t>
      </w:r>
      <w:r w:rsidRPr="00D003E1">
        <w:rPr>
          <w:rFonts w:ascii="Times New Roman" w:eastAsia="SimSun" w:hAnsi="Times New Roman" w:cs="Times New Roman"/>
          <w:sz w:val="24"/>
          <w:szCs w:val="24"/>
          <w:vertAlign w:val="superscript"/>
          <w:lang w:val="en-GB"/>
        </w:rPr>
        <w:t>2</w:t>
      </w:r>
      <w:r w:rsidRPr="00D003E1">
        <w:rPr>
          <w:rFonts w:ascii="Times New Roman" w:eastAsia="SimSun" w:hAnsi="Times New Roman" w:cs="Times New Roman" w:hint="eastAsia"/>
          <w:sz w:val="24"/>
          <w:szCs w:val="24"/>
          <w:vertAlign w:val="superscript"/>
          <w:lang w:val="en-GB"/>
        </w:rPr>
        <w:t xml:space="preserve"> </w:t>
      </w:r>
      <w:r w:rsidRPr="00D003E1">
        <w:rPr>
          <w:rFonts w:ascii="Times New Roman" w:eastAsia="SimSun" w:hAnsi="Times New Roman" w:cs="Times New Roman"/>
          <w:sz w:val="24"/>
          <w:szCs w:val="24"/>
          <w:lang w:val="en-GB"/>
        </w:rPr>
        <w:t>V</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hint="eastAsia"/>
          <w:sz w:val="24"/>
          <w:szCs w:val="24"/>
          <w:vertAlign w:val="superscript"/>
          <w:lang w:val="en-GB"/>
        </w:rPr>
        <w:t xml:space="preserve"> </w:t>
      </w:r>
      <w:r w:rsidRPr="00D003E1">
        <w:rPr>
          <w:rFonts w:ascii="Times New Roman" w:eastAsia="SimSun" w:hAnsi="Times New Roman" w:cs="Times New Roman"/>
          <w:sz w:val="24"/>
          <w:szCs w:val="24"/>
          <w:lang w:val="en-GB"/>
        </w:rPr>
        <w:t>S</w:t>
      </w:r>
      <w:r w:rsidRPr="00D003E1">
        <w:rPr>
          <w:rFonts w:ascii="Times New Roman" w:eastAsia="SimSun" w:hAnsi="Times New Roman" w:cs="Times New Roman"/>
          <w:sz w:val="24"/>
          <w:szCs w:val="24"/>
          <w:vertAlign w:val="superscript"/>
          <w:lang w:val="en-GB"/>
        </w:rPr>
        <w:t xml:space="preserve">-1 </w:t>
      </w:r>
      <w:r w:rsidRPr="00D003E1">
        <w:rPr>
          <w:rFonts w:ascii="Times New Roman" w:eastAsia="SimSun" w:hAnsi="Times New Roman" w:cs="Times New Roman" w:hint="eastAsia"/>
          <w:sz w:val="24"/>
          <w:szCs w:val="24"/>
          <w:lang w:val="en-GB"/>
        </w:rPr>
        <w:t xml:space="preserve">at room </w:t>
      </w:r>
      <w:r w:rsidRPr="00D003E1">
        <w:rPr>
          <w:rFonts w:ascii="Times New Roman" w:eastAsia="SimSun" w:hAnsi="Times New Roman" w:cs="Times New Roman"/>
          <w:sz w:val="24"/>
          <w:szCs w:val="24"/>
          <w:lang w:val="en-GB"/>
        </w:rPr>
        <w:t>temperature</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sz w:val="24"/>
          <w:szCs w:val="24"/>
          <w:lang w:val="en-GB"/>
        </w:rPr>
        <w:t xml:space="preserve"> thermal conductivit</w:t>
      </w:r>
      <w:r w:rsidRPr="00D003E1">
        <w:rPr>
          <w:rFonts w:ascii="Times New Roman" w:eastAsia="SimSun" w:hAnsi="Times New Roman" w:cs="Times New Roman" w:hint="eastAsia"/>
          <w:sz w:val="24"/>
          <w:szCs w:val="24"/>
          <w:lang w:val="en-GB"/>
        </w:rPr>
        <w:t>y (</w:t>
      </w:r>
      <w:r w:rsidRPr="00D003E1">
        <w:rPr>
          <w:rFonts w:ascii="Times New Roman" w:eastAsia="SimSun" w:hAnsi="Times New Roman" w:cs="Times New Roman"/>
          <w:sz w:val="24"/>
          <w:szCs w:val="24"/>
          <w:lang w:val="en-GB"/>
        </w:rPr>
        <w:t>5000 W</w:t>
      </w:r>
      <w:r w:rsidRPr="00D003E1">
        <w:rPr>
          <w:rFonts w:ascii="Times New Roman" w:eastAsia="SimSun" w:hAnsi="Times New Roman" w:cs="Times New Roman" w:hint="eastAsia"/>
          <w:sz w:val="24"/>
          <w:szCs w:val="24"/>
          <w:lang w:val="en-GB"/>
        </w:rPr>
        <w:t xml:space="preserve"> </w:t>
      </w:r>
      <w:r w:rsidRPr="00D003E1">
        <w:rPr>
          <w:rFonts w:ascii="Times New Roman" w:eastAsia="SimSun" w:hAnsi="Times New Roman" w:cs="Times New Roman"/>
          <w:sz w:val="24"/>
          <w:szCs w:val="24"/>
          <w:lang w:val="en-GB"/>
        </w:rPr>
        <w:t>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hint="eastAsia"/>
          <w:sz w:val="24"/>
          <w:szCs w:val="24"/>
          <w:vertAlign w:val="superscript"/>
          <w:lang w:val="en-GB"/>
        </w:rPr>
        <w:t xml:space="preserve"> </w:t>
      </w:r>
      <w:r w:rsidRPr="00D003E1">
        <w:rPr>
          <w:rFonts w:ascii="Times New Roman" w:eastAsia="SimSun" w:hAnsi="Times New Roman" w:cs="Times New Roman"/>
          <w:sz w:val="24"/>
          <w:szCs w:val="24"/>
          <w:lang w:val="en-GB"/>
        </w:rPr>
        <w:t>K</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sz w:val="24"/>
          <w:szCs w:val="24"/>
          <w:lang w:val="en-GB"/>
        </w:rPr>
        <w:t xml:space="preserve"> optical transmittance </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sz w:val="24"/>
          <w:szCs w:val="24"/>
          <w:lang w:val="en-GB"/>
        </w:rPr>
        <w:t>97.7</w:t>
      </w:r>
      <w:r w:rsidRPr="00D003E1">
        <w:rPr>
          <w:rFonts w:ascii="Times New Roman" w:eastAsia="SimSun" w:hAnsi="Times New Roman" w:cs="Times New Roman" w:hint="eastAsia"/>
          <w:sz w:val="24"/>
          <w:szCs w:val="24"/>
          <w:lang w:val="en-GB"/>
        </w:rPr>
        <w:t>%), and</w:t>
      </w:r>
      <w:r w:rsidRPr="00D003E1">
        <w:rPr>
          <w:rFonts w:ascii="Times New Roman" w:eastAsia="SimSun" w:hAnsi="Times New Roman" w:cs="Times New Roman"/>
          <w:sz w:val="24"/>
          <w:szCs w:val="24"/>
          <w:lang w:val="en-GB"/>
        </w:rPr>
        <w:t xml:space="preserve"> theoretical specific surface </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sz w:val="24"/>
          <w:szCs w:val="24"/>
          <w:lang w:val="en-GB"/>
        </w:rPr>
        <w:t>2630 m</w:t>
      </w:r>
      <w:r w:rsidRPr="00D003E1">
        <w:rPr>
          <w:rFonts w:ascii="Times New Roman" w:eastAsia="SimSun" w:hAnsi="Times New Roman" w:cs="Times New Roman"/>
          <w:sz w:val="24"/>
          <w:szCs w:val="24"/>
          <w:vertAlign w:val="superscript"/>
          <w:lang w:val="en-GB"/>
        </w:rPr>
        <w:t>2</w:t>
      </w:r>
      <w:r w:rsidRPr="00D003E1">
        <w:rPr>
          <w:rFonts w:ascii="Times New Roman" w:eastAsia="SimSun" w:hAnsi="Times New Roman" w:cs="Times New Roman"/>
          <w:sz w:val="24"/>
          <w:szCs w:val="24"/>
          <w:lang w:val="en-GB"/>
        </w:rPr>
        <w:t xml:space="preserve"> g</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sz w:val="24"/>
          <w:szCs w:val="24"/>
          <w:lang w:val="en-GB"/>
        </w:rPr>
        <w:t xml:space="preserve">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"10.1002/adma.201001068", "ISBN" : "1521-4095", "ISSN" : "09359648", "PMID" : "20706983", "abstract" : "There is intense interest in graphene in fields such as physics, chemistry, and materials science, among others. Interest in graphene's exceptional physical properties, chemical tunability, and potential for applications has generated thousands of publications and an accelerating pace of research, making review of such research timely. Here is an overview of the synthesis, properties, and applications of graphene and related materials (primarily, graphite oxide and its colloidal suspensions and materials made from them), from a materials science perspective.", "author" : [ { "dropping-particle" : "", "family" : "Zhu", "given" : "Yanwu", "non-dropping-particle" : "", "parse-names" : false, "suffix" : "" }, { "dropping-particle" : "", "family" : "Murali", "given" : "Shanthi", "non-dropping-particle" : "", "parse-names" : false, "suffix" : "" }, { "dropping-particle" : "", "family" : "Cai", "given" : "Weiwei", "non-dropping-particle" : "", "parse-names" : false, "suffix" : "" }, { "dropping-particle" : "", "family" : "Li", "given" : "Xuesong", "non-dropping-particle" : "", "parse-names" : false, "suffix" : "" }, { "dropping-particle" : "", "family" : "Suk", "given" : "Ji Won", "non-dropping-particle" : "", "parse-names" : false, "suffix" : "" }, { "dropping-particle" : "", "family" : "Potts", "given" : "Jeffrey R.", "non-dropping-particle" : "", "parse-names" : false, "suffix" : "" }, { "dropping-particle" : "", "family" : "Ruoff", "given" : "Rodney S.", "non-dropping-particle" : "", "parse-names" : false, "suffix" : "" } ], "container-title" : "Advanced Materials", "id" : "ITEM-1", "issue" : "35", "issued" : { "date-parts" : [ [ "2010" ] ] }, "page" : "3906-3924", "title" : "Graphene and graphene oxide: Synthesis, properties, and applications", "type" : "article-journal", "volume" : "22" }, "uris" : [ "http://www.mendeley.com/documents/?uuid=117f0a42-edff-4dc4-9072-b31ee2dc3a23" ] }, { "id" : "ITEM-2", "itemData" : { "DOI" : "10.1039/c2jm15062j", "ISBN" : "0959-9428", "ISSN" : "0959-9428", "abstract" : "Polymer/graphene (oxide) nanocomposites exhibit enhanced mechanical properties at low volume fractions of graphene-based nanofillers. An understanding of the reinforcement behaviour was developed through the investigation of interfacial interactions between graphene oxide (GO) nanoplatelets and polymer matrix (PLLA, PCL, PS or HDPE) by combination of microstructure characterization and micromechanical modeling methods. The interfacial interaction determines the degree of dispersion of GO in polymers, interfacial adhesion strength as well as reinforcement efficiency, which can be tailored by the surface chemistry of GO and functionality of polymers. Homogeneous dispersion of GO nanoplatelets with high aspect ratios was found in PLLA and PCL matrices, as well as in lower polar polymer PS due to the preferable interactions between the aromatic rings and the graphene layers, while stacked GO layers with a lower aspect ratio were observed in HDPE matrix even with the presence of an organic compatibilizer. The theoretical elastic moduli of the four kinds of polymer/GO nanocomposites calculated by using the Halpin-Tsai model or a combination of Laminate theory and Mori-Tanaka model underestimated the experimental results. Considering the interfacial interactions, an effective volume fraction was introduced to the above composite models which interpreted the experimental data well. The interphase zone was thus quantified by using micromechanical modeling based on the measured mechanical properties of polymer/GO nanocomposites.", "author" : [ { "dropping-particle" : "", "family" : "Wan", "given" : "Chaoying", "non-dropping-particle" : "", "parse-names" : false, "suffix" : "" }, { "dropping-particle" : "", "family" : "Chen", "given" : "Biqiong", "non-dropping-particle" : "", "parse-names" : false, "suffix" : "" } ], "container-title" : "Journal of Materials Chemistry", "id" : "ITEM-2", "issue" : "8", "issued" : { "date-parts" : [ [ "2012" ] ] }, "page" : "3637-3646", "title" : "Reinforcement and interphase of polymer/graphene oxide nanocomposites", "type" : "article-journal", "volume" : "22" }, "uris" : [ "http://www.mendeley.com/documents/?uuid=e0dc770c-a693-4650-b142-fb5a7cdc7033" ] }, { "id" : "ITEM-3", "itemData" : { "DOI" : "10.1038/nature04969", "ISBN" : "1476-4687 (Electronic)\\r0028-0836 (Linking)", "ISSN" : "0028-0836", "PMID" : "16855586", "abstract" : "Graphene sheets--one-atom-thick two-dimensional layers of sp2-bonded carbon--are predicted to have a range of unusual properties. Their thermal conductivity and mechanical stiffness may rival the remarkable in-plane values for graphite (approximately 3,000 W m(-1) K(-1) and 1,060 GPa, respectively); their fracture strength should be comparable to that of carbon nanotubes for similar types of defects; and recent studies have shown that individual graphene sheets have extraordinary electronic transport properties. One possible route to harnessing these properties for applications would be to incorporate graphene sheets in a composite material. The manufacturing of such composites requires not only that graphene sheets be produced on a sufficient scale but that they also be incorporated, and homogeneously distributed, into various matrices. Graphite, inexpensive and available in large quantity, unfortunately does not readily exfoliate to yield individual graphene sheets. Here we present a general approach for the preparation of graphene-polymer composites via complete exfoliation of graphite and molecular-level dispersion of individual, chemically modified graphene sheets within polymer hosts. A polystyrene-graphene composite formed by this route exhibits a percolation threshold of approximately 0.1 volume per cent for room-temperature electrical conductivity, the lowest reported value for any carbon-based composite except for those involving carbon nanotubes; at only 1 volume per cent, this composite has a conductivity of approximately 0.1 S m(-1), sufficient for many electrical applications. Our bottom-up chemical approach of tuning the graphene sheet properties provides a path to a broad new class of graphene-based materials and their use in a variety of applications.", "author" : [ { "dropping-particle" : "", "family" : "Stankovich", "given" : "Sasha", "non-dropping-particle" : "", "parse-names" : false, "suffix" : "" }, { "dropping-particle" : "", "family" : "Dikin", "given" : "Dmitriy A.", "non-dropping-particle" : "", "parse-names" : false, "suffix" : "" }, { "dropping-particle" : "", "family" : "Dommett", "given" : "Geoffrey H B", "non-dropping-particle" : "", "parse-names" : false, "suffix" : "" }, { "dropping-particle" : "", "family" : "Kohlhaas", "given" : "Kevin M.", "non-dropping-particle" : "", "parse-names" : false, "suffix" : "" }, { "dropping-particle" : "", "family" : "Zimney", "given" : "Eric J.", "non-dropping-particle" : "", "parse-names" : false, "suffix" : "" }, { "dropping-particle" : "", "family" : "Stach", "given" : "Eric A.", "non-dropping-particle" : "", "parse-names" : false, "suffix" : "" }, { "dropping-particle" : "", "family" : "Piner", "given" : "Richard D.", "non-dropping-particle" : "", "parse-names" : false, "suffix" : "" }, { "dropping-particle" : "", "family" : "Nguyen", "given" : "SonBinh Binh T", "non-dropping-particle" : "", "parse-names" : false, "suffix" : "" }, { "dropping-particle" : "", "family" : "Ruoff", "given" : "Rodney S.", "non-dropping-particle" : "", "parse-names" : false, "suffix" : "" } ], "container-title" : "Nature", "id" : "ITEM-3", "issued" : { "date-parts" : [ [ "2006" ] ] }, "page" : "282-286", "title" : "Graphene-based composite materials", "type" : "article-journal", "volume" : "442" }, "uris" : [ "http://www.mendeley.com/documents/?uuid=16f87648-7759-4a98-8832-e8964431e15c" ] } ], "mendeley" : { "formattedCitation" : "[23,42,151]", "plainTextFormattedCitation" : "[23,42,151]", "previouslyFormattedCitation" : "[23,42,151]"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[23,42,151]</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hint="eastAsia"/>
          <w:sz w:val="24"/>
          <w:szCs w:val="24"/>
          <w:lang w:val="en-GB"/>
        </w:rPr>
        <w:t xml:space="preserve">. </w:t>
      </w:r>
      <w:r w:rsidRPr="00D003E1">
        <w:rPr>
          <w:rFonts w:ascii="Times New Roman" w:eastAsia="SimSun" w:hAnsi="Times New Roman" w:cs="Times New Roman"/>
          <w:sz w:val="24"/>
          <w:lang w:val="en-GB"/>
        </w:rPr>
        <w:t>Graphene oxide (GO)</w:t>
      </w:r>
      <w:r w:rsidRPr="00D003E1">
        <w:rPr>
          <w:rFonts w:ascii="Times New Roman" w:eastAsia="SimSun" w:hAnsi="Times New Roman" w:cs="Times New Roman" w:hint="eastAsia"/>
          <w:sz w:val="24"/>
          <w:lang w:val="en-GB"/>
        </w:rPr>
        <w:t xml:space="preserve"> is an oxidation form of graphene, in which epoxide and hydroxyl groups are in the graphene basal planar, carboxyl and carbonyl groups are at the edges</w:t>
      </w:r>
      <w:r w:rsidRPr="00D003E1">
        <w:rPr>
          <w:rFonts w:ascii="Times New Roman" w:eastAsia="SimSun" w:hAnsi="Times New Roman" w:cs="Times New Roman"/>
          <w:sz w:val="24"/>
          <w:lang w:val="en-GB"/>
        </w:rPr>
        <w:t xml:space="preserve">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"id" : "ITEM-2", "itemData" : { "DOI" : "10.1007/978-3-319-15500-5_3", "ISBN" : "9783319155005", "ISSN" : "0306-0012", "PMID" : "20023850", "abstract" : "The chemistry of graphene oxide is discussed in this critical review. Particular emphasis is directed toward the synthesis of graphene oxide, as well as its structure. Graphene oxide as a substrate for a variety of chemical transformations, including its reduction to graphene-like materials, is also discussed. This review will be of value to synthetic chemists interested in this emerging field of materials science, as well as those investigating applications of graphene who would find a more thorough treatment of the chemistry of graphene oxide useful in understanding the scope and limitations of current approaches which utilize this material (91 references).", "author" : [ { "dropping-particle" : "", "family" : "R.Dreyer", "given" : "Daniel", "non-dropping-particle" : "", "parse-names" : false, "suffix" : "" }, { "dropping-particle" : "", "family" : "Park", "given" : "Sungjin", "non-dropping-particle" : "", "parse-names" : false, "suffix" : "" }, { "dropping-particle" : "", "family" : "W.Bielawski", "given" : "Christopher", "non-dropping-particle" : "", "parse-names" : false, "suffix" : "" }, { "dropping-particle" : "", "family" : "Ruoff", "given" : "Rodney S.", "non-dropping-particle" : "", "parse-names" : false, "suffix" : "" } ], "container-title" : "The royal society of chemistry", "id" : "ITEM-2", "issue" : "39", "issued" : { "date-parts" : [ [ "2010" ] ] }, "page" : "228-240", "title" : "The chemistry of graphene oxide", "type" : "article-journal" }, "uris" : [ "http://www.mendeley.com/documents/?uuid=5d2ebae2-4bf0-46c7-b022-6d28c98b0d39" ] }, { "id" : "ITEM-3", "itemData" : { "DOI" : "10.1021/jp9731821", "ISBN" : "1520-6106", "ISSN" : "1520-6106", "abstract" : "Graphite oxide (GO) and its derivatives have been studied using 13C and 1H NMR. NMR spectra of GO derivatives confirm the assignment of the 70 ppm line to C-OH groups and allow us to propose a new structural model for GO. Thus we assign the 60 ppm line to epoxide groups (1,2-ethers) and not to 1,3- ethers, as suggested earlier, and the 130 ppm line to aromatic entities and conjugated double bonds. GO contains two kinds of regions: aromatic regions with unoxidized benzene rings and regions with aliphatic six-membered rings. The relative size of the two regions depends on the degree of oxidation. The carbon grid is nearly flat; only the carbons attached to OH groups have a slightly distorted tetrahedral configuration, resulting in some wrinkling of the layers. The formation of phenol (or aromatic diol) groups during deoxygenation indicates that the epoxide and the C-OH groups are very close to one another. The distribution of functional groups in every oxidized aromatic ring need not be identical, and both the oxidized rings and aromatic entities are distributed randomly.", "author" : [ { "dropping-particle" : "", "family" : "Lerf", "given" : "Anton", "non-dropping-particle" : "", "parse-names" : false, "suffix" : "" }, { "dropping-particle" : "", "family" : "He", "given" : "Heyong", "non-dropping-particle" : "", "parse-names" : false, "suffix" : "" }, { "dropping-particle" : "", "family" : "Forster", "given" : "Michael", "non-dropping-particle" : "", "parse-names" : false, "suffix" : "" }, { "dropping-particle" : "", "family" : "Klinowski", "given" : "Jacek", "non-dropping-particle" : "", "parse-names" : false, "suffix" : "" } ], "container-title" : "The Journal of Physical Chemistry B", "id" : "ITEM-3", "issue" : "23", "issued" : { "date-parts" : [ [ "1998" ] ] }, "page" : "4477-4482", "title" : "Structure of Graphite Oxide Revisited &lt;sup&gt;\u2016&lt;/sup&gt;", "type" : "article-journal", "volume" : "102" }, "uris" : [ "http://www.mendeley.com/documents/?uuid=0d12f219-2853-4ebc-bc7d-6dbbab77f75c" ] } ], "mendeley" : { "formattedCitation" : "[41,61,152]", "plainTextFormattedCitation" : "[41,61,152]", "previouslyFormattedCitation" : "[41,61,152]"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[41,61,152]</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hint="eastAsia"/>
          <w:sz w:val="24"/>
          <w:lang w:val="en-GB"/>
        </w:rPr>
        <w:t xml:space="preserve">. </w:t>
      </w:r>
      <w:r w:rsidRPr="00D003E1">
        <w:rPr>
          <w:rFonts w:ascii="Times New Roman" w:eastAsia="SimSun" w:hAnsi="Times New Roman" w:cs="Times New Roman"/>
          <w:sz w:val="24"/>
          <w:lang w:val="en-GB"/>
        </w:rPr>
        <w:t xml:space="preserve">These abundant oxygen functional groups may create chemically reactive sites on GO surface to form strong interfacial interaction with polymer chains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"10.1002/adma.201001068", "ISBN" : "1521-4095", "ISSN" : "09359648", "PMID" : "20706983", "abstract" : "There is intense interest in graphene in fields such as physics, chemistry, and materials science, among others. Interest in graphene's exceptional physical properties, chemical tunability, and potential for applications has generated thousands of publications and an accelerating pace of research, making review of such research timely. Here is an overview of the synthesis, properties, and applications of graphene and related materials (primarily, graphite oxide and its colloidal suspensions and materials made from them), from a materials science perspective.", "author" : [ { "dropping-particle" : "", "family" : "Zhu", "given" : "Yanwu", "non-dropping-particle" : "", "parse-names" : false, "suffix" : "" }, { "dropping-particle" : "", "family" : "Murali", "given" : "Shanthi", "non-dropping-particle" : "", "parse-names" : false, "suffix" : "" }, { "dropping-particle" : "", "family" : "Cai", "given" : "Weiwei", "non-dropping-particle" : "", "parse-names" : false, "suffix" : "" }, { "dropping-particle" : "", "family" : "Li", "given" : "Xuesong", "non-dropping-particle" : "", "parse-names" : false, "suffix" : "" }, { "dropping-particle" : "", "family" : "Suk", "given" : "Ji Won", "non-dropping-particle" : "", "parse-names" : false, "suffix" : "" }, { "dropping-particle" : "", "family" : "Potts", "given" : "Jeffrey R.", "non-dropping-particle" : "", "parse-names" : false, "suffix" : "" }, { "dropping-particle" : "", "family" : "Ruoff", "given" : "Rodney S.", "non-dropping-particle" : "", "parse-names" : false, "suffix" : "" } ], "container-title" : "Advanced Materials", "id" : "ITEM-1", "issue" : "35", "issued" : { "date-parts" : [ [ "2010" ] ] }, "page" : "3906-3924", "title" : "Graphene and graphene oxide: Synthesis, properties, and applications", "type" : "article-journal", "volume" : "22" }, "uris" : [ "http://www.mendeley.com/documents/?uuid=117f0a42-edff-4dc4-9072-b31ee2dc3a23" ] }, { "id" : "ITEM-2",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"ITEM-2", "issue" : "6", "issued" : { "date-parts" : [ [ "2010" ] ] }, "page" : "711-723", "title" : "Graphene oxide, highly reduced graphene oxide, and graphene: Versatile building blocks for carbon-based materials", "type" : "article-journal", "volume" : "6" }, "uris" : [ "http://www.mendeley.com/documents/?uuid=90e9afa4-4b34-4e67-8977-31ce6b3dfab0" ] }, { "id" : "ITEM-3", "itemData" : { "DOI" : "10.1021/jp9731821", "ISBN" : "1520-6106", "ISSN" : "1520-6106", "abstract" : "Graphite oxide (GO) and its derivatives have been studied using 13C and 1H NMR. NMR spectra of GO derivatives confirm the assignment of the 70 ppm line to C-OH groups and allow us to propose a new structural model for GO. Thus we assign the 60 ppm line to epoxide groups (1,2-ethers) and not to 1,3- ethers, as suggested earlier, and the 130 ppm line to aromatic entities and conjugated double bonds. GO contains two kinds of regions: aromatic regions with unoxidized benzene rings and regions with aliphatic six-membered rings. The relative size of the two regions depends on the degree of oxidation. The carbon grid is nearly flat; only the carbons attached to OH groups have a slightly distorted tetrahedral configuration, resulting in some wrinkling of the layers. The formation of phenol (or aromatic diol) groups during deoxygenation indicates that the epoxide and the C-OH groups are very close to one another. The distribution of functional groups in every oxidized aromatic ring need not be identical, and both the oxidized rings and aromatic entities are distributed randomly.", "author" : [ { "dropping-particle" : "", "family" : "Lerf", "given" : "Anton", "non-dropping-particle" : "", "parse-names" : false, "suffix" : "" }, { "dropping-particle" : "", "family" : "He", "given" : "Heyong", "non-dropping-particle" : "", "parse-names" : false, "suffix" : "" }, { "dropping-particle" : "", "family" : "Forster", "given" : "Michael", "non-dropping-particle" : "", "parse-names" : false, "suffix" : "" }, { "dropping-particle" : "", "family" : "Klinowski", "given" : "Jacek", "non-dropping-particle" : "", "parse-names" : false, "suffix" : "" } ], "container-title" : "The Journal of Physical Chemistry B", "id" : "ITEM-3", "issue" : "23", "issued" : { "date-parts" : [ [ "1998" ] ] }, "page" : "4477-4482", "title" : "Structure of Graphite Oxide Revisited &lt;sup&gt;\u2016&lt;/sup&gt;", "type" : "article-journal", "volume" : "102" }, "uris" : [ "http://www.mendeley.com/documents/?uuid=0d12f219-2853-4ebc-bc7d-6dbbab77f75c" ] }, { "id" : "ITEM-4", "itemData" : { "DOI" : "10.1038/nmat1849", "ISBN" : "1476-1122", "ISSN" : "1476-1122", "PMID" : "17330084", "abstract" : "Graphene is a rapidly rising star on the horizon of materials science and\\ncondensed matter physics. This strictly two-dimensional material exhibits\\nexceptionally high crystal and electronic quality and, despite its short\\nhistory, has already revealed a cornucopia of new physics and potential\\napplications, which are briefly discussed here. Whereas one can be certain of\\nthe realness of applications only when commercial products appear, graphene no\\nlonger requires any further proof of its importance in terms of fundamental\\nphysics. Owing to its unusual electronic spectrum, graphene has led to the\\nemergence of a new paradigm of 'relativistic' condensed matter physics, where\\nquantum relativistic phenomena, some of which are unobservable in high energy\\nphysics, can now be mimicked and tested in table-top experiments. More\\ngenerally, graphene represents a conceptually new class of materials that are\\nonly one atom thick and, on this basis, offers new inroads into low-dimensional\\nphysics that has never ceased to surprise and continues to provide a fertile\\nground for applications.", "author" : [ { "dropping-particle" : "", "family" : "Geim", "given" : "A. K.", "non-dropping-particle" : "", "parse-names" : false, "suffix" : "" }, { "dropping-particle" : "", "family" : "Novoselov", "given" : "K.S. S.", "non-dropping-particle" : "", "parse-names" : false, "suffix" : "" } ], "container-title" : "Nature Materials", "id" : "ITEM-4", "issue" : "3", "issued" : { "date-parts" : [ [ "2007" ] ] }, "page" : "183-191", "title" : "The rise of graphene", "type" : "article-journal", "volume" : "6" }, "uris" : [ "http://www.mendeley.com/documents/?uuid=5b87a258-0a66-4af1-a8ee-01ec6ec15ea9" ] } ], "mendeley" : { "formattedCitation" : "[22,23,41,99]", "plainTextFormattedCitation" : "[22,23,41,99]", "previouslyFormattedCitation" : "[22,23,41,99]"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[22,23,41,99]</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hint="eastAsia"/>
          <w:sz w:val="24"/>
          <w:lang w:val="en-GB"/>
        </w:rPr>
        <w:t xml:space="preserve">. </w:t>
      </w:r>
      <w:r w:rsidRPr="00D003E1">
        <w:rPr>
          <w:rFonts w:ascii="Times New Roman" w:eastAsia="SimSun" w:hAnsi="Times New Roman" w:cs="Times New Roman"/>
          <w:sz w:val="24"/>
          <w:lang w:val="en-GB"/>
        </w:rPr>
        <w:t xml:space="preserve">Recently, GO has been successfully incorporated into water-soluble polymers such as poly(vinyl alcohol)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"10.1016/j.carbon.2009.08.022", "ISBN" : "0008-6223", "ISSN" : "00086223", "abstract" : "We report the preparation of mechanically strong and ductile poly(vinyl alcohol)/graphene oxide (GO) composite films with a layered structure simply by vacuum filtration. The Young's modulus and tensile yield strength of the composite film containing 3 wt.% GO were measured to be 4.8 GPa and 110 ?? 7 MPa, respectively. Furthermore, it is flexible and exhibits a large elongation at break (36 ?? 4%). The high mechanical properties of the composite films are mainly due to the homogeneous dispersion and alignment of GO sheets in the polymer matrix and strong interfacial interactions between both components. ?? 2009 Elsevier Ltd. All rights reserved.", "author" : [ { "dropping-particle" : "", "family" : "Xu", "given" : "Yuxi", "non-dropping-particle" : "", "parse-names" : false, "suffix" : "" }, { "dropping-particle" : "", "family" : "Hong", "given" : "Wenjing", "non-dropping-particle" : "", "parse-names" : false, "suffix" : "" }, { "dropping-particle" : "", "family" : "Bai", "given" : "Hua", "non-dropping-particle" : "", "parse-names" : false, "suffix" : "" }, { "dropping-particle" : "", "family" : "Li", "given" : "Chun", "non-dropping-particle" : "", "parse-names" : false, "suffix" : "" }, { "dropping-particle" : "", "family" : "Shi", "given" : "Gaoquan", "non-dropping-particle" : "", "parse-names" : false, "suffix" : "" } ], "container-title" : "Carbon", "id" : "ITEM-1", "issue" : "15", "issued" : { "date-parts" : [ [ "2009" ] ] }, "page" : "3538-3543", "publisher" : "Elsevier Ltd", "title" : "Strong and ductile poly(vinyl alcohol)/graphene oxide composite films with a layered structure", "type" : "article-journal", "volume" : "47" }, "uris" : [ "http://www.mendeley.com/documents/?uuid=3de8967e-6cdc-46e2-8957-159448ea83d5" ] } ], "mendeley" : { "formattedCitation" : "[153]", "plainTextFormattedCitation" : "[153]", "previouslyFormattedCitation" : "[153]"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[153]</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and chitosan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"10.1016/j.snb.2013.05.014", "ISBN" : "0925-4005", "ISSN" : "09254005", "PMID" : "1000226033", "abstract" : "Graphene oxide (GO)-Chitosan (CHI) nano-composite is employed for the development of DNA based electrochemical biosensor for diagnosis of typhoid. Biosensor has been prepared by covalent immobilization of Salmonella typhi specific 5\u2032-amine labeled single stranded (ss) DNA probe on GO-CHI/ITO via glutaraldehyde. Differential pulse voltammetry (DPV) studies revealed good specificity and ability of ssDNA/GO-CHI/ITO biosensor to distinguish complementary, non-complementary and one base mismatch sequences. The ssDNA/GO-CHI/ITO biosensor showed detection range of 10 fM to 50 nM and LOD 10 fM within 60 s hybridization times for complementary sequence. Further, ssDNA/GO-CHI/ITO bioelectrode is able to detect complementary target present in serum samples with LOD of 100 fM at 25 C. The excellent performance of biosensor is attributed to large surface-to-volume ratio and good electrochemical activity of graphene oxide, and good biocompatibility of chitosan, which enhances the DNA immobilization and facilitate electron transfer between DNA and electrode surface (ITO). \u00a9 2013 Elsevier B.V. All rights reserved.", "author" : [ { "dropping-particle" : "", "family" : "Singh", "given" : "Anu", "non-dropping-particle" : "", "parse-names" : false, "suffix" : "" }, { "dropping-particle" : "", "family" : "Sinsinbar", "given" : "Gaurav", "non-dropping-particle" : "", "parse-names" : false, "suffix" : "" }, { "dropping-particle" : "", "family" : "Choudhary", "given" : "Meenakshi", "non-dropping-particle" : "", "parse-names" : false, "suffix" : "" }, { "dropping-particle" : "", "family" : "Kumar", "given" : "Veeresh", "non-dropping-particle" : "", "parse-names" : false, "suffix" : "" }, { "dropping-particle" : "", "family" : "Pasricha", "given" : "Renu", "non-dropping-particle" : "", "parse-names" : false, "suffix" : "" }, { "dropping-particle" : "", "family" : "Verma", "given" : "H. N.", "non-dropping-particle" : "", "parse-names" : false, "suffix" : "" }, { "dropping-particle" : "", "family" : "Singh", "given" : "Surinder P.", "non-dropping-particle" : "", "parse-names" : false, "suffix" : "" }, { "dropping-particle" : "", "family" : "Arora", "given" : "Kavita", "non-dropping-particle" : "", "parse-names" : false, "suffix" : "" } ], "container-title" : "Sensors and Actuators, B: Chemical", "id" : "ITEM-1", "issued" : { "date-parts" : [ [ "2013" ] ] }, "page" : "675-684", "publisher" : "Elsevier B.V.", "title" : "Graphene oxide-chitosan nanocomposite based electrochemical DNA biosensor for detection of typhoid", "type" : "article-journal", "volume" : "185" }, "uris" : [ "http://www.mendeley.com/documents/?uuid=14fee056-2fd3-4ed2-bb56-147e5c4c3b6a" ] } ], "mendeley" : { "formattedCitation" : "[154]", "plainTextFormattedCitation" : "[154]", "previouslyFormattedCitation" : "[154]"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[154]</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via solution method by using water (and acetic acid in the latter) as a solvent. However, this method cannot be used for the fabrication of graphene based organic solvent-soluble polymer composites like UPR composites.</w:t>
      </w:r>
    </w:p>
    <w:p w14:paraId="5EE0DE57" w14:textId="4B820076" w:rsidR="00D003E1" w:rsidRDefault="00D003E1" w:rsidP="00304442">
      <w:pPr>
        <w:spacing w:after="0" w:line="480" w:lineRule="auto"/>
        <w:ind w:firstLine="360"/>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 xml:space="preserve">To the best of our knowledge, only few works based on graphene or GO UPR composites have been reported </w:t>
      </w:r>
      <w:r w:rsidRPr="00D003E1">
        <w:rPr>
          <w:rFonts w:ascii="Times New Roman" w:eastAsia="SimSun" w:hAnsi="Times New Roman" w:cs="Times New Roman" w:hint="eastAsia"/>
          <w:sz w:val="24"/>
          <w:lang w:val="en-GB"/>
        </w:rPr>
        <w:t xml:space="preserve">to date. </w:t>
      </w:r>
      <w:r w:rsidRPr="00D003E1">
        <w:rPr>
          <w:rFonts w:ascii="Times New Roman" w:eastAsia="SimSun" w:hAnsi="Times New Roman" w:cs="Times New Roman" w:hint="eastAsia"/>
          <w:sz w:val="24"/>
          <w:szCs w:val="24"/>
          <w:lang w:val="en-GB"/>
        </w:rPr>
        <w:t xml:space="preserve">Liu and his </w:t>
      </w:r>
      <w:r w:rsidRPr="00D003E1">
        <w:rPr>
          <w:rFonts w:ascii="Times New Roman" w:eastAsia="SimSun" w:hAnsi="Times New Roman" w:cs="Times New Roman"/>
          <w:sz w:val="24"/>
          <w:szCs w:val="24"/>
          <w:lang w:val="en-GB"/>
        </w:rPr>
        <w:t>workers developed</w:t>
      </w:r>
      <w:r w:rsidRPr="00D003E1">
        <w:rPr>
          <w:rFonts w:ascii="Times New Roman" w:eastAsia="SimSun" w:hAnsi="Times New Roman" w:cs="Times New Roman" w:hint="eastAsia"/>
          <w:sz w:val="24"/>
          <w:szCs w:val="24"/>
          <w:lang w:val="en-GB"/>
        </w:rPr>
        <w:t xml:space="preserve"> UPR/GO </w:t>
      </w:r>
      <w:r w:rsidRPr="00D003E1">
        <w:rPr>
          <w:rFonts w:ascii="Times New Roman" w:eastAsia="SimSun" w:hAnsi="Times New Roman" w:cs="Times New Roman"/>
          <w:sz w:val="24"/>
          <w:szCs w:val="24"/>
          <w:lang w:val="en-GB"/>
        </w:rPr>
        <w:t xml:space="preserve">nanocomposites </w:t>
      </w:r>
      <w:r w:rsidRPr="00D003E1">
        <w:rPr>
          <w:rFonts w:ascii="Times New Roman" w:eastAsia="SimSun" w:hAnsi="Times New Roman" w:cs="Times New Roman" w:hint="eastAsia"/>
          <w:sz w:val="24"/>
          <w:szCs w:val="24"/>
          <w:lang w:val="en-GB"/>
        </w:rPr>
        <w:t>via in situ polymerization which showed an improvement of 53.6</w:t>
      </w:r>
      <w:r w:rsidRPr="00D003E1">
        <w:rPr>
          <w:rFonts w:ascii="Times New Roman" w:eastAsia="SimSun" w:hAnsi="Times New Roman" w:cs="Times New Roman"/>
          <w:sz w:val="24"/>
          <w:szCs w:val="24"/>
          <w:lang w:val="en-GB"/>
        </w:rPr>
        <w:t>% in</w:t>
      </w:r>
      <w:r w:rsidRPr="00D003E1">
        <w:rPr>
          <w:rFonts w:ascii="Times New Roman" w:eastAsia="SimSun" w:hAnsi="Times New Roman" w:cs="Times New Roman" w:hint="eastAsia"/>
          <w:sz w:val="24"/>
          <w:szCs w:val="24"/>
          <w:lang w:val="en-GB"/>
        </w:rPr>
        <w:t xml:space="preserve"> tensile strength and 48.4% in </w:t>
      </w:r>
      <w:r w:rsidRPr="00D003E1">
        <w:rPr>
          <w:rFonts w:ascii="Times New Roman" w:eastAsia="SimSun" w:hAnsi="Times New Roman" w:cs="Times New Roman"/>
          <w:sz w:val="24"/>
          <w:szCs w:val="24"/>
          <w:lang w:val="en-GB"/>
        </w:rPr>
        <w:t xml:space="preserve">tensile </w:t>
      </w:r>
      <w:r w:rsidRPr="00D003E1">
        <w:rPr>
          <w:rFonts w:ascii="Times New Roman" w:eastAsia="SimSun" w:hAnsi="Times New Roman" w:cs="Times New Roman" w:hint="eastAsia"/>
          <w:sz w:val="24"/>
          <w:szCs w:val="24"/>
          <w:lang w:val="en-GB"/>
        </w:rPr>
        <w:t>modulus at 0.08 wt.%</w:t>
      </w:r>
      <w:r w:rsidRPr="00D003E1">
        <w:rPr>
          <w:rFonts w:ascii="Times New Roman" w:eastAsia="SimSun" w:hAnsi="Times New Roman" w:cs="Times New Roman"/>
          <w:sz w:val="24"/>
          <w:szCs w:val="24"/>
          <w:lang w:val="en-GB"/>
        </w:rPr>
        <w:t xml:space="preserve"> GO content</w:t>
      </w:r>
      <w:r w:rsidRPr="00D003E1">
        <w:rPr>
          <w:rFonts w:ascii="Times New Roman" w:eastAsia="SimSun" w:hAnsi="Times New Roman" w:cs="Times New Roman" w:hint="eastAsia"/>
          <w:sz w:val="24"/>
          <w:szCs w:val="24"/>
          <w:lang w:val="en-GB"/>
        </w:rPr>
        <w:t>.</w:t>
      </w:r>
      <w:r w:rsidRPr="00D003E1">
        <w:rPr>
          <w:rFonts w:ascii="Times New Roman" w:eastAsia="SimSun" w:hAnsi="Times New Roman" w:cs="Times New Roman" w:hint="eastAsia"/>
          <w:sz w:val="24"/>
          <w:lang w:val="en-GB"/>
        </w:rPr>
        <w:t xml:space="preserve"> </w:t>
      </w:r>
      <w:r w:rsidRPr="00D003E1">
        <w:rPr>
          <w:rFonts w:ascii="Times New Roman" w:eastAsia="SimSun" w:hAnsi="Times New Roman" w:cs="Times New Roman"/>
          <w:sz w:val="24"/>
          <w:lang w:val="en-GB"/>
        </w:rPr>
        <w:t xml:space="preserve">Water was used for GO dispersion and ethylene glycol (EG) monomer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"10.1039/c3ra42549e", "ISSN" : "2046-2069", "author" : [ { "dropping-particle" : "", "family" : "Liu", "given" : "Chengguo", "non-dropping-particle" : "", "parse-names" : false, "suffix" : "" }, { "dropping-particle" : "", "family" : "Wang", "given" : "Zhimin", "non-dropping-particle" : "", "parse-names" : false, "suffix" : "" }, { "dropping-particle" : "", "family" : "Huang", "given" : "Yu'an", "non-dropping-particle" : "", "parse-names" : false, "suffix" : "" }, { "dropping-particle" : "", "family" : "Xie", "given" : "Hongfeng", "non-dropping-particle" : "", "parse-names" : false, "suffix" : "" }, { "dropping-particle" : "", "family" : "Liu", "given" : "Zengshe", "non-dropping-particle" : "", "parse-names" : false, "suffix" : "" }, { "dropping-particle" : "", "family" : "Chen", "given" : "Ying", "non-dropping-particle" : "", "parse-names" : false, "suffix" : "" }, { "dropping-particle" : "", "family" : "Lei", "given" : "Wen", "non-dropping-particle" : "", "parse-names" : false, "suffix" : "" }, { "dropping-particle" : "", "family" : "Hu", "given" : "Lihong", "non-dropping-particle" : "", "parse-names" : false, "suffix" : "" }, { "dropping-particle" : "", "family" : "Zhou", "given" : "Yonghong", "non-dropping-particle" : "", "parse-names" : false, "suffix" : "" }, { "dropping-particle" : "", "family" : "Cheng", "given" : "Rongshi", "non-dropping-particle" : "", "parse-names" : false, "suffix" : "" } ], "container-title" : "RSC Advances", "id" : "ITEM-1", "issue" : "44", "issued" : { "date-parts" : [ [ "2013" ] ] }, "page" : "22380-22388", "title" : "One-pot preparation of unsaturated polyester nanocomposites containing functionalized graphene sheets via a novel solvent-exchange method", "type" : "article-journal", "volume" : "3" }, "uris" : [ "http://www.mendeley.com/documents/?uuid=a9c4a11a-bdcf-4188-8248-6c506c3c8ce8" ] } ], "mendeley" : { "formattedCitation" : "[155]", "plainTextFormattedCitation" : "[155]", "previouslyFormattedCitation" : "[155]"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[155]</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However, the use of water limits its applications for most of polymers which are organic-soluble. Moreover, the in situ polymerization method needs to start from monomers, which is time-consuming and not useful for bulk production of nanocomposites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"10.1016/j.progpolymsci.2010.11.003", "ISBN" : "0079-6700", "ISSN" : "00796700", "abstract" : "Carbon materials particularly in the form of sparkling diamonds have held mankind spellbound for centuries, and in its other forms, like coal and coke continue to serve mankind as a fuel material, like carbon black, carbon fibers, carbon nanofibers and carbon nanotubes meet requirements of reinforcing filler in several applications. All these various forms of carbon are possible because of the element's unique hybridization ability. Graphene (a single two-dimensional layer of carbon atoms bonded together in the hexagonal graphite lattice), the basic building block of graphite, is at the epicenter of present-day materials research because of its high values of Young's modulus, fracture strength, thermal conductivity, specific surface area and fascinating transport phenomena leading to its use in multifarious applications like energy storage materials, liquid crystal devices, mechanical resonators and polymer composites. In this review, we focus on graphite and describe its various modifications for use as modified fillers in polymer matrices for creating polymer-carbon nanocomposites. ?? 2010 Elsevier Ltd.", "author" : [ { "dropping-particle" : "", "family" : "Sengupta", "given" : "Rajatendu", "non-dropping-particle" : "", "parse-names" : false, "suffix" : "" }, { "dropping-particle" : "", "family" : "Bhattacharya", "given" : "Mithun", "non-dropping-particle" : "", "parse-names" : false, "suffix" : "" }, { "dropping-particle" : "", "family" : "Bandyopadhyay", "given" : "S.", "non-dropping-particle" : "", "parse-names" : false, "suffix" : "" }, { "dropping-particle" : "", "family" : "Bhowmick", "given" : "Anil K.", "non-dropping-particle" : "", "parse-names" : false, "suffix" : "" } ], "container-title" : "Progress in Polymer Science", "id" : "ITEM-1", "issue" : "5", "issued" : { "date-parts" : [ [ "2011", "5" ] ] }, "page" : "638-670", "publisher" : "Elsevier Ltd", "title" : "A review on the mechanical and electrical properties of graphite and modified graphite reinforced polymer composites", "type" : "article-journal", "volume" : "36" }, "uris" : [ "http://www.mendeley.com/documents/?uuid=df5ed079-98a2-4012-94ed-32ad865665bc" ] } ], "mendeley" : { "formattedCitation" : "[21]", "plainTextFormattedCitation" : "[21]", "previouslyFormattedCitation" : "[21]"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[21]</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Tang and Kang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"10.1021/ma300450t", "ISBN" : "0024-9297", "ISSN" : "00249297", "abstract" : "Many reported polymer/graphene composites, even some with excellent graphene dispersion, do not possess impressive conductivity, which may be due to the failure in forming interconnected conductive paths. In this work, a kind of bio-based polyester (BE) is synthesized by polycondensation between plant-derived diols and diacids. It is then grafted onto graphene oxide (GO) via the easterification between hydroxyls of BE and carboxyls of GO. Subsequently, the grafted GO is subjected to reduce by vitamin C. Because of the presence of terminal hydroxyl group in both ends of the BE chains and multiple carboxyl groups on GO, the grafts form specific spatial interconnection structure in BE matrix. The resulting BE/graphene composites possess impressive low threshold percolation of electrical conductivity, in combination of high thermal conductivity.", "author" : [ { "dropping-particle" : "", "family" : "Tang", "given" : "Zhenghai", "non-dropping-particle" : "", "parse-names" : false, "suffix" : "" }, { "dropping-particle" : "", "family" : "Kang", "given" : "Hailan", "non-dropping-particle" : "", "parse-names" : false, "suffix" : "" }, { "dropping-particle" : "", "family" : "Shen", "given" : "Zuoli", "non-dropping-particle" : "", "parse-names" : false, "suffix" : "" }, { "dropping-particle" : "", "family" : "Guo", "given" : "Baochun", "non-dropping-particle" : "", "parse-names" : false, "suffix" : "" }, { "dropping-particle" : "", "family" : "Zhang", "given" : "Liqun", "non-dropping-particle" : "", "parse-names" : false, "suffix" : "" }, { "dropping-particle" : "", "family" : "Jia", "given" : "Demin", "non-dropping-particle" : "", "parse-names" : false, "suffix" : "" } ], "container-title" : "Macromolecules", "id" : "ITEM-1", "issue" : "8", "issued" : { "date-parts" : [ [ "2012" ] ] }, "page" : "3444-3451", "title" : "Grafting of polyester onto graphene for electrically and thermally conductive composites", "type" : "article-journal", "volume" : "45" }, "uris" : [ "http://www.mendeley.com/documents/?uuid=e5b51829-2d98-4663-bd4e-b13906c6e80c" ] } ], "mendeley" : { "formattedCitation" : "[156]", "plainTextFormattedCitation" : "[156]", "previouslyFormattedCitation" : "[156]"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[156]</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fabricated bio-based polyester/GO composite by simple solution mixing method. To graft polyester onto GO, Catalyst DMAP was used to initiate the esterification reaction between hydroxyl groups of polyester and carboxyl groups of GO. High electrical conductivity and thermal conductivity were achieved by this method, which is 0.33 S m</w:t>
      </w:r>
      <w:r w:rsidRPr="00D003E1">
        <w:rPr>
          <w:rFonts w:ascii="Times New Roman" w:eastAsia="SimSun" w:hAnsi="Times New Roman" w:cs="Times New Roman"/>
          <w:sz w:val="24"/>
          <w:vertAlign w:val="superscript"/>
          <w:lang w:val="en-GB"/>
        </w:rPr>
        <w:t>-1</w:t>
      </w:r>
      <w:r w:rsidRPr="00D003E1">
        <w:rPr>
          <w:rFonts w:ascii="Times New Roman" w:eastAsia="SimSun" w:hAnsi="Times New Roman" w:cs="Times New Roman"/>
          <w:sz w:val="24"/>
          <w:lang w:val="en-GB"/>
        </w:rPr>
        <w:t xml:space="preserve"> at 1.06 vol.% and 0.542 W m</w:t>
      </w:r>
      <w:r w:rsidRPr="00D003E1">
        <w:rPr>
          <w:rFonts w:ascii="Times New Roman" w:eastAsia="SimSun" w:hAnsi="Times New Roman" w:cs="Times New Roman"/>
          <w:sz w:val="24"/>
          <w:vertAlign w:val="superscript"/>
          <w:lang w:val="en-GB"/>
        </w:rPr>
        <w:t>-1</w:t>
      </w:r>
      <w:r w:rsidRPr="00D003E1">
        <w:rPr>
          <w:rFonts w:ascii="Times New Roman" w:eastAsia="SimSun" w:hAnsi="Times New Roman" w:cs="Times New Roman"/>
          <w:sz w:val="24"/>
          <w:lang w:val="en-GB"/>
        </w:rPr>
        <w:t xml:space="preserve"> K</w:t>
      </w:r>
      <w:r w:rsidRPr="00D003E1">
        <w:rPr>
          <w:rFonts w:ascii="Times New Roman" w:eastAsia="SimSun" w:hAnsi="Times New Roman" w:cs="Times New Roman"/>
          <w:sz w:val="24"/>
          <w:vertAlign w:val="superscript"/>
          <w:lang w:val="en-GB"/>
        </w:rPr>
        <w:t>-1</w:t>
      </w:r>
      <w:r w:rsidRPr="00D003E1">
        <w:rPr>
          <w:rFonts w:ascii="Times New Roman" w:eastAsia="SimSun" w:hAnsi="Times New Roman" w:cs="Times New Roman"/>
          <w:sz w:val="24"/>
          <w:lang w:val="en-GB"/>
        </w:rPr>
        <w:t xml:space="preserve"> at 1.45 vol.%. However, no mechanical properties were reported in their work. Moreover, the addition of catalyst would also bring some defects on the final properties of composites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"mendeley" : { "formattedCitation" : "[61]", "plainTextFormattedCitation" : "[61]", "previouslyFormattedCitation" : "[61]"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[61]</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In this work, UPR/GO composites were synthesized by simple solution mixing method. Owing to the presence of the oxygen functional groups in the structure of UPR, GO has the potential to form hydrogen bonding with UPR. Therefore, no chemicals were further used for GO modification, which in turn can void any defects caused by additional chemicals. Mechanical properties, thermal properties and dynamic mechanical properties were studied in this work. The effects of GO on the curing process of UPR was also investigated.</w:t>
      </w:r>
    </w:p>
    <w:p w14:paraId="2DF1D71A" w14:textId="77777777" w:rsidR="00EF086B" w:rsidRPr="00D003E1" w:rsidRDefault="00EF086B" w:rsidP="00304442">
      <w:pPr>
        <w:spacing w:after="0" w:line="480" w:lineRule="auto"/>
        <w:ind w:firstLine="360"/>
        <w:jc w:val="both"/>
        <w:rPr>
          <w:rFonts w:ascii="Times New Roman" w:eastAsia="SimSun" w:hAnsi="Times New Roman" w:cs="Times New Roman"/>
          <w:sz w:val="24"/>
          <w:lang w:val="en-GB"/>
        </w:rPr>
      </w:pPr>
    </w:p>
    <w:p w14:paraId="73BE8612" w14:textId="30547E04" w:rsidR="00D003E1" w:rsidRPr="00D003E1" w:rsidRDefault="004715D4" w:rsidP="00D003E1">
      <w:pPr>
        <w:keepNext/>
        <w:keepLines/>
        <w:spacing w:after="0" w:line="480" w:lineRule="auto"/>
        <w:jc w:val="both"/>
        <w:outlineLvl w:val="0"/>
        <w:rPr>
          <w:rFonts w:ascii="Times New Roman" w:eastAsia="SimSun" w:hAnsi="Times New Roman" w:cs="Times New Roman"/>
          <w:b/>
          <w:bCs/>
          <w:color w:val="000000"/>
          <w:sz w:val="40"/>
          <w:szCs w:val="28"/>
          <w:lang w:val="en-GB"/>
        </w:rPr>
      </w:pPr>
      <w:bookmarkStart w:id="66" w:name="_Toc518823254"/>
      <w:r>
        <w:rPr>
          <w:rFonts w:ascii="Times New Roman" w:eastAsia="SimSun" w:hAnsi="Times New Roman" w:cs="Times New Roman" w:hint="eastAsia"/>
          <w:b/>
          <w:bCs/>
          <w:color w:val="000000"/>
          <w:sz w:val="40"/>
          <w:szCs w:val="28"/>
          <w:lang w:val="en-GB"/>
        </w:rPr>
        <w:t>3</w:t>
      </w:r>
      <w:r w:rsidR="00B54D04">
        <w:rPr>
          <w:rFonts w:ascii="Times New Roman" w:eastAsia="SimSun" w:hAnsi="Times New Roman" w:cs="Times New Roman" w:hint="eastAsia"/>
          <w:b/>
          <w:bCs/>
          <w:color w:val="000000"/>
          <w:sz w:val="40"/>
          <w:szCs w:val="28"/>
          <w:lang w:val="en-GB"/>
        </w:rPr>
        <w:t>.</w:t>
      </w:r>
      <w:r w:rsidR="00D003E1" w:rsidRPr="00D003E1">
        <w:rPr>
          <w:rFonts w:ascii="Times New Roman" w:eastAsia="SimSun" w:hAnsi="Times New Roman" w:cs="Times New Roman"/>
          <w:b/>
          <w:bCs/>
          <w:color w:val="000000"/>
          <w:sz w:val="40"/>
          <w:szCs w:val="28"/>
          <w:lang w:val="en-GB"/>
        </w:rPr>
        <w:t>2. Experimental section</w:t>
      </w:r>
      <w:bookmarkEnd w:id="66"/>
    </w:p>
    <w:p w14:paraId="6F2A51E7" w14:textId="0B9D20B3" w:rsidR="00D003E1" w:rsidRPr="00D003E1" w:rsidRDefault="004715D4"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67" w:name="_Toc518823255"/>
      <w:r>
        <w:rPr>
          <w:rFonts w:ascii="Times New Roman" w:eastAsia="SimSun" w:hAnsi="Times New Roman" w:cs="Times New Roman" w:hint="eastAsia"/>
          <w:b/>
          <w:bCs/>
          <w:color w:val="000000"/>
          <w:sz w:val="24"/>
          <w:szCs w:val="26"/>
          <w:lang w:val="en-GB"/>
        </w:rPr>
        <w:t>3</w:t>
      </w:r>
      <w:r w:rsidR="00B54D04">
        <w:rPr>
          <w:rFonts w:ascii="Times New Roman" w:eastAsia="SimSun" w:hAnsi="Times New Roman" w:cs="Times New Roman" w:hint="eastAsia"/>
          <w:b/>
          <w:bCs/>
          <w:color w:val="000000"/>
          <w:sz w:val="24"/>
          <w:szCs w:val="26"/>
          <w:lang w:val="en-GB"/>
        </w:rPr>
        <w:t>.</w:t>
      </w:r>
      <w:r w:rsidR="00B54D04" w:rsidRPr="00D003E1">
        <w:rPr>
          <w:rFonts w:ascii="Times New Roman" w:eastAsia="SimSun" w:hAnsi="Times New Roman" w:cs="Times New Roman"/>
          <w:b/>
          <w:bCs/>
          <w:color w:val="000000"/>
          <w:sz w:val="24"/>
          <w:szCs w:val="26"/>
          <w:lang w:val="en-GB"/>
        </w:rPr>
        <w:t>2.1. Materials</w:t>
      </w:r>
      <w:bookmarkEnd w:id="67"/>
    </w:p>
    <w:p w14:paraId="45950460" w14:textId="77777777"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hint="eastAsia"/>
          <w:sz w:val="24"/>
          <w:lang w:val="en-GB"/>
        </w:rPr>
        <w:t>The unsaturated polyester resin used in this work was CRYSTIC D</w:t>
      </w:r>
      <w:r w:rsidRPr="00D003E1">
        <w:rPr>
          <w:rFonts w:ascii="Times New Roman" w:eastAsia="SimSun" w:hAnsi="Times New Roman" w:cs="Times New Roman"/>
          <w:sz w:val="24"/>
          <w:lang w:val="en-GB"/>
        </w:rPr>
        <w:t xml:space="preserve"> </w:t>
      </w:r>
      <w:r w:rsidRPr="00D003E1">
        <w:rPr>
          <w:rFonts w:ascii="Times New Roman" w:eastAsia="SimSun" w:hAnsi="Times New Roman" w:cs="Times New Roman" w:hint="eastAsia"/>
          <w:sz w:val="24"/>
          <w:lang w:val="en-GB"/>
        </w:rPr>
        <w:t xml:space="preserve">3061(R50054, </w:t>
      </w:r>
      <w:r w:rsidRPr="00D003E1">
        <w:rPr>
          <w:rFonts w:ascii="Times New Roman" w:eastAsia="SimSun" w:hAnsi="Times New Roman" w:cs="Times New Roman"/>
          <w:sz w:val="24"/>
          <w:lang w:val="en-GB"/>
        </w:rPr>
        <w:t>Scott</w:t>
      </w:r>
      <w:r w:rsidRPr="00D003E1">
        <w:rPr>
          <w:rFonts w:ascii="Times New Roman" w:eastAsia="SimSun" w:hAnsi="Times New Roman" w:cs="Times New Roman" w:hint="eastAsia"/>
          <w:sz w:val="24"/>
          <w:lang w:val="en-GB"/>
        </w:rPr>
        <w:t xml:space="preserve"> Bader), </w:t>
      </w:r>
      <w:r w:rsidRPr="00D003E1">
        <w:rPr>
          <w:rFonts w:ascii="Times New Roman" w:eastAsia="SimSun" w:hAnsi="Times New Roman" w:cs="Times New Roman"/>
          <w:sz w:val="24"/>
          <w:lang w:val="en-GB"/>
        </w:rPr>
        <w:t>which was composed of</w:t>
      </w:r>
      <w:r w:rsidRPr="00D003E1">
        <w:rPr>
          <w:rFonts w:ascii="Times New Roman" w:eastAsia="SimSun" w:hAnsi="Times New Roman" w:cs="Times New Roman" w:hint="eastAsia"/>
          <w:sz w:val="24"/>
          <w:lang w:val="en-GB"/>
        </w:rPr>
        <w:t xml:space="preserve"> isophthalic acid </w:t>
      </w:r>
      <w:r w:rsidRPr="00D003E1">
        <w:rPr>
          <w:rFonts w:ascii="Times New Roman" w:eastAsia="SimSun" w:hAnsi="Times New Roman" w:cs="Times New Roman"/>
          <w:sz w:val="24"/>
          <w:lang w:val="en-GB"/>
        </w:rPr>
        <w:t>(25 mol%, 37 wt.%), maleic acid (25 mol%, 22 wt.%), diethylene glycol ((25 mol%, 24 wt.%), and propylene glycol ((25 mol%, 17 wt.%). The average molecular weight (M</w:t>
      </w:r>
      <w:r w:rsidRPr="00D003E1">
        <w:rPr>
          <w:rFonts w:ascii="Times New Roman" w:eastAsia="SimSun" w:hAnsi="Times New Roman" w:cs="Times New Roman"/>
          <w:sz w:val="24"/>
          <w:vertAlign w:val="subscript"/>
          <w:lang w:val="en-GB"/>
        </w:rPr>
        <w:t>w</w:t>
      </w:r>
      <w:r w:rsidRPr="00D003E1">
        <w:rPr>
          <w:rFonts w:ascii="Times New Roman" w:eastAsia="SimSun" w:hAnsi="Times New Roman" w:cs="Times New Roman"/>
          <w:sz w:val="24"/>
          <w:lang w:val="en-GB"/>
        </w:rPr>
        <w:t>) was 2778 Daltons, with polydispersity index of 1.94. It was dissolved in styrene of 33±2 wt.%, with toluhydriqunone and hydriquione as an inhibitors. Methyl ethyl ketone peroxide (MEKP, 30-37 wt.% in diisononyl phthalate, Scott Bader) was used as a initiator, cobalt salt E (2-4 wt.% cobalt 2 ethylhexanoate in styrene, Scott Bader) was an accelerator. Other chemicals including graphite flake (&lt;20µm), concentrated sulfuric acid (98%), sodium nitrate, potassium permanganate, H</w:t>
      </w:r>
      <w:r w:rsidRPr="00D003E1">
        <w:rPr>
          <w:rFonts w:ascii="Times New Roman" w:eastAsia="SimSun" w:hAnsi="Times New Roman" w:cs="Times New Roman"/>
          <w:sz w:val="24"/>
          <w:vertAlign w:val="subscript"/>
          <w:lang w:val="en-GB"/>
        </w:rPr>
        <w:t>2</w:t>
      </w:r>
      <w:r w:rsidRPr="00D003E1">
        <w:rPr>
          <w:rFonts w:ascii="Times New Roman" w:eastAsia="SimSun" w:hAnsi="Times New Roman" w:cs="Times New Roman"/>
          <w:sz w:val="24"/>
          <w:lang w:val="en-GB"/>
        </w:rPr>
        <w:t>O</w:t>
      </w:r>
      <w:r w:rsidRPr="00D003E1">
        <w:rPr>
          <w:rFonts w:ascii="Times New Roman" w:eastAsia="SimSun" w:hAnsi="Times New Roman" w:cs="Times New Roman"/>
          <w:sz w:val="24"/>
          <w:vertAlign w:val="subscript"/>
          <w:lang w:val="en-GB"/>
        </w:rPr>
        <w:t>2</w:t>
      </w:r>
      <w:r w:rsidRPr="00D003E1">
        <w:rPr>
          <w:rFonts w:ascii="Times New Roman" w:eastAsia="SimSun" w:hAnsi="Times New Roman" w:cs="Times New Roman"/>
          <w:sz w:val="24"/>
          <w:lang w:val="en-GB"/>
        </w:rPr>
        <w:t xml:space="preserve"> solution (30%), tetrahydrofuran (THF), and hydrochloric acid (37%) were purchased from Sigma Aldrich.</w:t>
      </w:r>
    </w:p>
    <w:p w14:paraId="00D5C1A7" w14:textId="77777777" w:rsidR="00D003E1" w:rsidRPr="00D003E1" w:rsidRDefault="00D003E1" w:rsidP="00D003E1">
      <w:pPr>
        <w:spacing w:after="0" w:line="480" w:lineRule="auto"/>
        <w:jc w:val="both"/>
        <w:rPr>
          <w:rFonts w:ascii="Times New Roman" w:eastAsia="SimSun" w:hAnsi="Times New Roman" w:cs="Times New Roman"/>
          <w:sz w:val="24"/>
          <w:lang w:val="en-GB"/>
        </w:rPr>
      </w:pPr>
    </w:p>
    <w:p w14:paraId="2372D0ED" w14:textId="432FCE81" w:rsidR="00D003E1" w:rsidRPr="00D003E1" w:rsidRDefault="004715D4"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68" w:name="_Toc518823256"/>
      <w:r>
        <w:rPr>
          <w:rFonts w:ascii="Times New Roman" w:eastAsia="SimSun" w:hAnsi="Times New Roman" w:cs="Times New Roman" w:hint="eastAsia"/>
          <w:b/>
          <w:bCs/>
          <w:color w:val="000000"/>
          <w:sz w:val="24"/>
          <w:szCs w:val="26"/>
          <w:lang w:val="en-GB"/>
        </w:rPr>
        <w:t>3</w:t>
      </w:r>
      <w:r w:rsidR="000A429A">
        <w:rPr>
          <w:rFonts w:ascii="Times New Roman" w:eastAsia="SimSun" w:hAnsi="Times New Roman" w:cs="Times New Roman" w:hint="eastAsia"/>
          <w:b/>
          <w:bCs/>
          <w:color w:val="000000"/>
          <w:sz w:val="24"/>
          <w:szCs w:val="26"/>
          <w:lang w:val="en-GB"/>
        </w:rPr>
        <w:t>.</w:t>
      </w:r>
      <w:r w:rsidR="00D003E1" w:rsidRPr="00D003E1">
        <w:rPr>
          <w:rFonts w:ascii="Times New Roman" w:eastAsia="SimSun" w:hAnsi="Times New Roman" w:cs="Times New Roman"/>
          <w:b/>
          <w:bCs/>
          <w:color w:val="000000"/>
          <w:sz w:val="24"/>
          <w:szCs w:val="26"/>
          <w:lang w:val="en-GB"/>
        </w:rPr>
        <w:t>2.2. Preparation of graphene oxide (GO)</w:t>
      </w:r>
      <w:bookmarkEnd w:id="68"/>
    </w:p>
    <w:p w14:paraId="06C5E2DA" w14:textId="1E84309A" w:rsidR="00D003E1" w:rsidRPr="00D003E1" w:rsidRDefault="00D003E1" w:rsidP="00D003E1">
      <w:pPr>
        <w:spacing w:after="0" w:line="480" w:lineRule="auto"/>
        <w:jc w:val="both"/>
        <w:rPr>
          <w:rFonts w:ascii="Times New Roman" w:eastAsia="SimSun" w:hAnsi="Times New Roman" w:cs="Times New Roman"/>
          <w:sz w:val="24"/>
          <w:szCs w:val="24"/>
          <w:lang w:val="en-GB"/>
        </w:rPr>
      </w:pPr>
      <w:r w:rsidRPr="00D003E1">
        <w:rPr>
          <w:rFonts w:ascii="Times New Roman" w:eastAsia="SimSun" w:hAnsi="Times New Roman" w:cs="Times New Roman"/>
          <w:sz w:val="24"/>
          <w:szCs w:val="24"/>
          <w:lang w:val="en-GB"/>
        </w:rPr>
        <w:t xml:space="preserve">Graphene oxide was prepared by modified </w:t>
      </w:r>
      <w:r w:rsidR="0033210F">
        <w:rPr>
          <w:rFonts w:ascii="Times New Roman" w:eastAsia="SimSun" w:hAnsi="Times New Roman" w:cs="Times New Roman"/>
          <w:sz w:val="24"/>
          <w:szCs w:val="24"/>
          <w:lang w:val="en-GB"/>
        </w:rPr>
        <w:t>Hummers</w:t>
      </w:r>
      <w:r w:rsidRPr="00D003E1">
        <w:rPr>
          <w:rFonts w:ascii="Times New Roman" w:eastAsia="SimSun" w:hAnsi="Times New Roman" w:cs="Times New Roman"/>
          <w:sz w:val="24"/>
          <w:szCs w:val="24"/>
          <w:lang w:val="en-GB"/>
        </w:rPr>
        <w:t xml:space="preserve"> method</w:t>
      </w:r>
      <w:r w:rsidRPr="00D003E1">
        <w:rPr>
          <w:rFonts w:ascii="Times New Roman" w:eastAsia="SimSun" w:hAnsi="Times New Roman" w:cs="Times New Roman"/>
          <w:sz w:val="24"/>
          <w:szCs w:val="24"/>
          <w:vertAlign w:val="superscript"/>
          <w:lang w:val="en-GB"/>
        </w:rPr>
        <w:t xml:space="preserve"> </w:t>
      </w:r>
      <w:r w:rsidRPr="00D003E1">
        <w:rPr>
          <w:rFonts w:ascii="Times New Roman" w:eastAsia="SimSun" w:hAnsi="Times New Roman" w:cs="Times New Roman"/>
          <w:sz w:val="24"/>
          <w:szCs w:val="24"/>
          <w:vertAlign w:val="superscript"/>
          <w:lang w:val="en-GB"/>
        </w:rPr>
        <w:fldChar w:fldCharType="begin" w:fldLock="1"/>
      </w:r>
      <w:r w:rsidR="00D14688">
        <w:rPr>
          <w:rFonts w:ascii="Times New Roman" w:eastAsia="SimSun" w:hAnsi="Times New Roman" w:cs="Times New Roman"/>
          <w:sz w:val="24"/>
          <w:szCs w:val="24"/>
          <w:vertAlign w:val="superscript"/>
          <w:lang w:val="en-GB"/>
        </w:rPr>
        <w:instrText>ADDIN CSL_CITATION { "citationItems" : [ { "id" : "ITEM-1", "itemData" : { "DOI" : "10.1021/nn1006368", "ISBN" : "1936-0851", "ISSN" : "1936-086X", "PMID" : "20731455", "abstract" : "An improved method for the preparation of graphene oxide (GO) is described. Currently, Hummers' method (KMnO(4), NaNO(3), H(2)SO(4)) is the most common method used for preparing graphene oxide. We have found that excluding the NaNO(3), increasing the amount of KMnO(4), and performing the reaction in a 9:1 mixture of H(2)SO(4)/H(3)PO(4) improves the efficiency of the oxidation process. This improved method provides a greater amount of hydrophilic oxidized graphene material as compared to Hummers' method or Hummers' method with additional KMnO(4). Moreover, even though the GO produced by our method is more oxidized than that prepared by Hummers' method, when both are reduced in the same chamber with hydrazine, chemically converted graphene (CCG) produced from this new method is equivalent in its electrical conductivity. In contrast to Hummers' method, the new method does not generate toxic gas and the temperature is easily controlled. This improved synthesis of GO may be important for large-scale production of GO as well as the construction of devices composed of the subsequent CCG.", "author" : [ { "dropping-particle" : "", "family" : "Marcano", "given" : "D.C C", "non-dropping-particle" : "", "parse-names" : false, "suffix" : "" }, { "dropping-particle" : "V", "family" : "Kosynkin", "given" : "D.V", "non-dropping-particle" : "", "parse-names" : false, "suffix" : "" }, { "dropping-particle" : "", "family" : "Berlin", "given" : "J M", "non-dropping-particle" : "", "parse-names" : false, "suffix" : "" }, { "dropping-particle" : "", "family" : "Sinitskii", "given" : "A", "non-dropping-particle" : "", "parse-names" : false, "suffix" : "" }, { "dropping-particle" : "", "family" : "Sun", "given" : "Z Z", "non-dropping-particle" : "", "parse-names" : false, "suffix" : "" }, { "dropping-particle" : "", "family" : "Slesarev", "given" : "A", "non-dropping-particle" : "", "parse-names" : false, "suffix" : "" }, { "dropping-particle" : "", "family" : "Alemany", "given" : "L B", "non-dropping-particle" : "", "parse-names" : false, "suffix" : "" }, { "dropping-particle" : "", "family" : "Lu", "given" : "W", "non-dropping-particle" : "", "parse-names" : false, "suffix" : "" }, { "dropping-particle" : "", "family" : "Tour", "given" : "J M", "non-dropping-particle" : "", "parse-names" : false, "suffix" : "" } ], "container-title" : "Acs Nano", "id" : "ITEM-1", "issue" : "8", "issued" : { "date-parts" : [ [ "2010" ] ] }, "page" : "4806-4814", "title" : "Improved Synthesis of Graphene Oxide", "type" : "article-journal", "volume" : "4" }, "uris" : [ "http://www.mendeley.com/documents/?uuid=4f16782a-e319-4d22-9e19-b5d5c5c6517e" ] } ], "mendeley" : { "formattedCitation" : "[157]", "plainTextFormattedCitation" : "[157]", "previouslyFormattedCitation" : "[157]" }, "properties" : {  }, "schema" : "https://github.com/citation-style-language/schema/raw/master/csl-citation.json" }</w:instrText>
      </w:r>
      <w:r w:rsidRPr="00D003E1">
        <w:rPr>
          <w:rFonts w:ascii="Times New Roman" w:eastAsia="SimSun" w:hAnsi="Times New Roman" w:cs="Times New Roman"/>
          <w:sz w:val="24"/>
          <w:szCs w:val="24"/>
          <w:vertAlign w:val="superscript"/>
          <w:lang w:val="en-GB"/>
        </w:rPr>
        <w:fldChar w:fldCharType="separate"/>
      </w:r>
      <w:r w:rsidR="00D973A8" w:rsidRPr="00D973A8">
        <w:rPr>
          <w:rFonts w:ascii="Times New Roman" w:eastAsia="SimSun" w:hAnsi="Times New Roman" w:cs="Times New Roman"/>
          <w:noProof/>
          <w:sz w:val="24"/>
          <w:szCs w:val="24"/>
          <w:lang w:val="en-GB"/>
        </w:rPr>
        <w:t>[157]</w:t>
      </w:r>
      <w:r w:rsidRPr="00D003E1">
        <w:rPr>
          <w:rFonts w:ascii="Times New Roman" w:eastAsia="SimSun" w:hAnsi="Times New Roman" w:cs="Times New Roman"/>
          <w:sz w:val="24"/>
          <w:szCs w:val="24"/>
          <w:vertAlign w:val="superscript"/>
          <w:lang w:val="en-GB"/>
        </w:rPr>
        <w:fldChar w:fldCharType="end"/>
      </w:r>
      <w:r w:rsidRPr="00D003E1">
        <w:rPr>
          <w:rFonts w:ascii="Times New Roman" w:eastAsia="SimSun" w:hAnsi="Times New Roman" w:cs="Times New Roman"/>
          <w:sz w:val="24"/>
          <w:szCs w:val="24"/>
          <w:lang w:val="en-GB"/>
        </w:rPr>
        <w:t>. Briefly, 138 ml of concentrated H</w:t>
      </w:r>
      <w:r w:rsidRPr="00D003E1">
        <w:rPr>
          <w:rFonts w:ascii="Times New Roman" w:eastAsia="SimSun" w:hAnsi="Times New Roman" w:cs="Times New Roman"/>
          <w:sz w:val="24"/>
          <w:szCs w:val="24"/>
          <w:vertAlign w:val="subscript"/>
          <w:lang w:val="en-GB"/>
        </w:rPr>
        <w:t>2</w:t>
      </w:r>
      <w:r w:rsidRPr="00D003E1">
        <w:rPr>
          <w:rFonts w:ascii="Times New Roman" w:eastAsia="SimSun" w:hAnsi="Times New Roman" w:cs="Times New Roman"/>
          <w:sz w:val="24"/>
          <w:szCs w:val="24"/>
          <w:lang w:val="en-GB"/>
        </w:rPr>
        <w:t>SO</w:t>
      </w:r>
      <w:r w:rsidRPr="00D003E1">
        <w:rPr>
          <w:rFonts w:ascii="Times New Roman" w:eastAsia="SimSun" w:hAnsi="Times New Roman" w:cs="Times New Roman"/>
          <w:sz w:val="24"/>
          <w:szCs w:val="24"/>
          <w:vertAlign w:val="subscript"/>
          <w:lang w:val="en-GB"/>
        </w:rPr>
        <w:t>4</w:t>
      </w:r>
      <w:r w:rsidRPr="00D003E1">
        <w:rPr>
          <w:rFonts w:ascii="Times New Roman" w:eastAsia="SimSun" w:hAnsi="Times New Roman" w:cs="Times New Roman"/>
          <w:sz w:val="24"/>
          <w:szCs w:val="24"/>
          <w:lang w:val="en-GB"/>
        </w:rPr>
        <w:t xml:space="preserve"> was added slowly in portions into the mixture of graphite flakes (6 g) and NaNO</w:t>
      </w:r>
      <w:r w:rsidRPr="00D003E1">
        <w:rPr>
          <w:rFonts w:ascii="Times New Roman" w:eastAsia="SimSun" w:hAnsi="Times New Roman" w:cs="Times New Roman"/>
          <w:sz w:val="24"/>
          <w:szCs w:val="24"/>
          <w:vertAlign w:val="subscript"/>
          <w:lang w:val="en-GB"/>
        </w:rPr>
        <w:t>3</w:t>
      </w:r>
      <w:r w:rsidRPr="00D003E1">
        <w:rPr>
          <w:rFonts w:ascii="Times New Roman" w:eastAsia="SimSun" w:hAnsi="Times New Roman" w:cs="Times New Roman"/>
          <w:sz w:val="24"/>
          <w:szCs w:val="24"/>
          <w:lang w:val="en-GB"/>
        </w:rPr>
        <w:t xml:space="preserve"> (3 g), followed by stirring rigorously for 30 min in an ice bath. KMnO</w:t>
      </w:r>
      <w:r w:rsidRPr="00D003E1">
        <w:rPr>
          <w:rFonts w:ascii="Times New Roman" w:eastAsia="SimSun" w:hAnsi="Times New Roman" w:cs="Times New Roman"/>
          <w:sz w:val="24"/>
          <w:szCs w:val="24"/>
          <w:vertAlign w:val="subscript"/>
          <w:lang w:val="en-GB"/>
        </w:rPr>
        <w:t>4</w:t>
      </w:r>
      <w:r w:rsidRPr="00D003E1">
        <w:rPr>
          <w:rFonts w:ascii="Times New Roman" w:eastAsia="SimSun" w:hAnsi="Times New Roman" w:cs="Times New Roman"/>
          <w:sz w:val="24"/>
          <w:szCs w:val="24"/>
          <w:lang w:val="en-GB"/>
        </w:rPr>
        <w:t xml:space="preserve"> (18 g) was introduced in portions into the mixture under stirring and the reaction was kept at around 35 ˚C for 7 h. Afterwards, another 18 g of KMnO</w:t>
      </w:r>
      <w:r w:rsidRPr="00D003E1">
        <w:rPr>
          <w:rFonts w:ascii="Times New Roman" w:eastAsia="SimSun" w:hAnsi="Times New Roman" w:cs="Times New Roman"/>
          <w:sz w:val="24"/>
          <w:szCs w:val="24"/>
          <w:vertAlign w:val="subscript"/>
          <w:lang w:val="en-GB"/>
        </w:rPr>
        <w:t>4</w:t>
      </w:r>
      <w:r w:rsidRPr="00D003E1">
        <w:rPr>
          <w:rFonts w:ascii="Times New Roman" w:eastAsia="SimSun" w:hAnsi="Times New Roman" w:cs="Times New Roman"/>
          <w:sz w:val="24"/>
          <w:szCs w:val="24"/>
          <w:lang w:val="en-GB"/>
        </w:rPr>
        <w:t xml:space="preserve"> was added in portions followed by stirring for another 12 h at around 35 ˚C. The reaction mixture was poured into 600 ml ice with a mixture of 15 ml H</w:t>
      </w:r>
      <w:r w:rsidRPr="00D003E1">
        <w:rPr>
          <w:rFonts w:ascii="Times New Roman" w:eastAsia="SimSun" w:hAnsi="Times New Roman" w:cs="Times New Roman"/>
          <w:sz w:val="24"/>
          <w:szCs w:val="24"/>
          <w:vertAlign w:val="subscript"/>
          <w:lang w:val="en-GB"/>
        </w:rPr>
        <w:t>2</w:t>
      </w:r>
      <w:r w:rsidRPr="00D003E1">
        <w:rPr>
          <w:rFonts w:ascii="Times New Roman" w:eastAsia="SimSun" w:hAnsi="Times New Roman" w:cs="Times New Roman"/>
          <w:sz w:val="24"/>
          <w:szCs w:val="24"/>
          <w:lang w:val="en-GB"/>
        </w:rPr>
        <w:t>O</w:t>
      </w:r>
      <w:r w:rsidRPr="00D003E1">
        <w:rPr>
          <w:rFonts w:ascii="Times New Roman" w:eastAsia="SimSun" w:hAnsi="Times New Roman" w:cs="Times New Roman"/>
          <w:sz w:val="24"/>
          <w:szCs w:val="24"/>
          <w:vertAlign w:val="subscript"/>
          <w:lang w:val="en-GB"/>
        </w:rPr>
        <w:t>2</w:t>
      </w:r>
      <w:r w:rsidRPr="00D003E1">
        <w:rPr>
          <w:rFonts w:ascii="Times New Roman" w:eastAsia="SimSun" w:hAnsi="Times New Roman" w:cs="Times New Roman"/>
          <w:sz w:val="24"/>
          <w:szCs w:val="24"/>
          <w:lang w:val="en-GB"/>
        </w:rPr>
        <w:t xml:space="preserve"> (30 %) and 330 ml HCl (37%) to reduce excess KMnO</w:t>
      </w:r>
      <w:r w:rsidRPr="00D003E1">
        <w:rPr>
          <w:rFonts w:ascii="Times New Roman" w:eastAsia="SimSun" w:hAnsi="Times New Roman" w:cs="Times New Roman"/>
          <w:sz w:val="24"/>
          <w:szCs w:val="24"/>
          <w:vertAlign w:val="subscript"/>
          <w:lang w:val="en-GB"/>
        </w:rPr>
        <w:t xml:space="preserve">4. </w:t>
      </w:r>
      <w:r w:rsidRPr="00D003E1">
        <w:rPr>
          <w:rFonts w:ascii="Times New Roman" w:eastAsia="SimSun" w:hAnsi="Times New Roman" w:cs="Times New Roman"/>
          <w:sz w:val="24"/>
          <w:szCs w:val="24"/>
          <w:lang w:val="en-GB"/>
        </w:rPr>
        <w:t>GO powder was obtained by Centrifuging, ultra-sonication, and dialysis, followed by freeze-drying.</w:t>
      </w:r>
    </w:p>
    <w:p w14:paraId="3EFA92A4" w14:textId="0EB4474E" w:rsidR="003D1E0D" w:rsidRPr="00D003E1" w:rsidRDefault="004715D4" w:rsidP="003D1E0D">
      <w:pPr>
        <w:keepNext/>
        <w:keepLines/>
        <w:spacing w:after="0" w:line="480" w:lineRule="auto"/>
        <w:jc w:val="both"/>
        <w:outlineLvl w:val="1"/>
        <w:rPr>
          <w:rFonts w:ascii="Times New Roman" w:eastAsia="SimSun" w:hAnsi="Times New Roman" w:cs="Times New Roman"/>
          <w:sz w:val="24"/>
          <w:szCs w:val="24"/>
          <w:lang w:val="en-GB"/>
        </w:rPr>
      </w:pPr>
      <w:bookmarkStart w:id="69" w:name="_Toc518823257"/>
      <w:r>
        <w:rPr>
          <w:rFonts w:ascii="Times New Roman" w:eastAsia="SimSun" w:hAnsi="Times New Roman" w:cs="Times New Roman" w:hint="eastAsia"/>
          <w:b/>
          <w:bCs/>
          <w:color w:val="000000"/>
          <w:sz w:val="24"/>
          <w:szCs w:val="26"/>
          <w:lang w:val="en-GB"/>
        </w:rPr>
        <w:t>3</w:t>
      </w:r>
      <w:r w:rsidR="00DC340E">
        <w:rPr>
          <w:rFonts w:ascii="Times New Roman" w:eastAsia="SimSun" w:hAnsi="Times New Roman" w:cs="Times New Roman" w:hint="eastAsia"/>
          <w:b/>
          <w:bCs/>
          <w:color w:val="000000"/>
          <w:sz w:val="24"/>
          <w:szCs w:val="26"/>
          <w:lang w:val="en-GB"/>
        </w:rPr>
        <w:t>.</w:t>
      </w:r>
      <w:r w:rsidR="00D003E1" w:rsidRPr="00D003E1">
        <w:rPr>
          <w:rFonts w:ascii="Times New Roman" w:eastAsia="SimSun" w:hAnsi="Times New Roman" w:cs="Times New Roman"/>
          <w:b/>
          <w:bCs/>
          <w:color w:val="000000"/>
          <w:sz w:val="24"/>
          <w:szCs w:val="26"/>
          <w:lang w:val="en-GB"/>
        </w:rPr>
        <w:t>2.3. Preparation of graphene oxide–based unsaturated polyester nanocomposites</w:t>
      </w:r>
      <w:bookmarkEnd w:id="69"/>
      <w:r w:rsidR="00D003E1" w:rsidRPr="00D003E1">
        <w:rPr>
          <w:rFonts w:ascii="Times New Roman" w:eastAsia="SimSun" w:hAnsi="Times New Roman" w:cs="Times New Roman"/>
          <w:b/>
          <w:bCs/>
          <w:color w:val="000000"/>
          <w:sz w:val="24"/>
          <w:szCs w:val="26"/>
          <w:lang w:val="en-GB"/>
        </w:rPr>
        <w:t xml:space="preserve"> </w:t>
      </w:r>
    </w:p>
    <w:p w14:paraId="39C01725" w14:textId="6D755EFE" w:rsidR="00FA3C32" w:rsidRDefault="003D1E0D" w:rsidP="00FA3C32">
      <w:pPr>
        <w:spacing w:after="0" w:line="480" w:lineRule="auto"/>
        <w:jc w:val="both"/>
        <w:rPr>
          <w:rFonts w:ascii="Times New Roman" w:eastAsia="SimSun" w:hAnsi="Times New Roman" w:cs="Times New Roman"/>
          <w:sz w:val="24"/>
          <w:szCs w:val="24"/>
          <w:lang w:val="en-GB"/>
        </w:rPr>
      </w:pPr>
      <w:r>
        <w:rPr>
          <w:rFonts w:ascii="Times New Roman" w:eastAsia="SimSun" w:hAnsi="Times New Roman" w:cs="Times New Roman"/>
          <w:sz w:val="24"/>
          <w:szCs w:val="24"/>
          <w:lang w:val="en-GB"/>
        </w:rPr>
        <w:t>To prepare</w:t>
      </w:r>
      <w:r w:rsidR="00D003E1" w:rsidRPr="00D003E1">
        <w:rPr>
          <w:rFonts w:ascii="Times New Roman" w:eastAsia="SimSun" w:hAnsi="Times New Roman" w:cs="Times New Roman"/>
          <w:sz w:val="24"/>
          <w:szCs w:val="24"/>
          <w:lang w:val="en-GB"/>
        </w:rPr>
        <w:t xml:space="preserve"> </w:t>
      </w:r>
      <w:r w:rsidR="00FA3C32">
        <w:rPr>
          <w:rFonts w:ascii="Times New Roman" w:eastAsia="SimSun" w:hAnsi="Times New Roman" w:cs="Times New Roman"/>
          <w:sz w:val="24"/>
          <w:szCs w:val="24"/>
          <w:lang w:val="en-GB"/>
        </w:rPr>
        <w:t xml:space="preserve">neat UPR, and </w:t>
      </w:r>
      <w:r w:rsidR="00D003E1" w:rsidRPr="00D003E1">
        <w:rPr>
          <w:rFonts w:ascii="Times New Roman" w:eastAsia="SimSun" w:hAnsi="Times New Roman" w:cs="Times New Roman"/>
          <w:sz w:val="24"/>
          <w:szCs w:val="24"/>
          <w:lang w:val="en-GB"/>
        </w:rPr>
        <w:t xml:space="preserve">UPR/GO composites with various concentrations of 0.01 wt.%, 0.05 wt.%,  and 0.1 wt.% </w:t>
      </w:r>
      <w:r w:rsidR="00FA3C32">
        <w:rPr>
          <w:rFonts w:ascii="Times New Roman" w:eastAsia="SimSun" w:hAnsi="Times New Roman" w:cs="Times New Roman"/>
          <w:sz w:val="24"/>
          <w:szCs w:val="24"/>
          <w:lang w:val="en-GB"/>
        </w:rPr>
        <w:t xml:space="preserve">bars, </w:t>
      </w:r>
      <w:r w:rsidR="00D003E1" w:rsidRPr="00D003E1">
        <w:rPr>
          <w:rFonts w:ascii="Times New Roman" w:eastAsia="SimSun" w:hAnsi="Times New Roman" w:cs="Times New Roman"/>
          <w:sz w:val="24"/>
          <w:szCs w:val="24"/>
          <w:lang w:val="en-GB"/>
        </w:rPr>
        <w:t xml:space="preserve">the required amount of GO was dispersed </w:t>
      </w:r>
      <w:r w:rsidR="00FA3C32">
        <w:rPr>
          <w:rFonts w:ascii="Times New Roman" w:eastAsia="SimSun" w:hAnsi="Times New Roman" w:cs="Times New Roman"/>
          <w:sz w:val="24"/>
          <w:szCs w:val="24"/>
          <w:lang w:val="en-GB"/>
        </w:rPr>
        <w:t xml:space="preserve">in 40 g UPR by magnetically agitation for 1 h, followed by 1 h mild sonication. The mixture was then degassed in a vacuum oven for 1 h to remove bubbles caused by mixing. </w:t>
      </w:r>
      <w:r w:rsidR="00FA3C32" w:rsidRPr="00D003E1">
        <w:rPr>
          <w:rFonts w:ascii="Times New Roman" w:eastAsia="SimSun" w:hAnsi="Times New Roman" w:cs="Times New Roman"/>
          <w:sz w:val="24"/>
          <w:szCs w:val="24"/>
          <w:lang w:val="en-GB"/>
        </w:rPr>
        <w:t>2 wt.% initiator (MEKP), 1 wt.% promoter (cobalt salt)</w:t>
      </w:r>
      <w:r w:rsidR="00FA3C32">
        <w:rPr>
          <w:rFonts w:ascii="Times New Roman" w:eastAsia="SimSun" w:hAnsi="Times New Roman" w:cs="Times New Roman"/>
          <w:sz w:val="24"/>
          <w:szCs w:val="24"/>
          <w:lang w:val="en-GB"/>
        </w:rPr>
        <w:t xml:space="preserve"> was added</w:t>
      </w:r>
      <w:r w:rsidR="00FA3C32" w:rsidRPr="00D003E1">
        <w:rPr>
          <w:rFonts w:ascii="Times New Roman" w:eastAsia="SimSun" w:hAnsi="Times New Roman" w:cs="Times New Roman"/>
          <w:sz w:val="24"/>
          <w:szCs w:val="24"/>
          <w:lang w:val="en-GB"/>
        </w:rPr>
        <w:t>, stirred for 5 min, respectively</w:t>
      </w:r>
      <w:r w:rsidR="00FA3C32">
        <w:rPr>
          <w:rFonts w:ascii="Times New Roman" w:eastAsia="SimSun" w:hAnsi="Times New Roman" w:cs="Times New Roman"/>
          <w:sz w:val="24"/>
          <w:szCs w:val="24"/>
          <w:lang w:val="en-GB"/>
        </w:rPr>
        <w:t xml:space="preserve"> The UPR/GO </w:t>
      </w:r>
      <w:r w:rsidR="00FA3C32" w:rsidRPr="00D003E1">
        <w:rPr>
          <w:rFonts w:ascii="Times New Roman" w:eastAsia="SimSun" w:hAnsi="Times New Roman" w:cs="Times New Roman"/>
          <w:sz w:val="24"/>
          <w:szCs w:val="24"/>
          <w:lang w:val="en-GB"/>
        </w:rPr>
        <w:t>Dumb-bell</w:t>
      </w:r>
      <w:r w:rsidR="00FA3C32">
        <w:rPr>
          <w:rFonts w:ascii="Times New Roman" w:eastAsia="SimSun" w:hAnsi="Times New Roman" w:cs="Times New Roman"/>
          <w:sz w:val="24"/>
          <w:szCs w:val="24"/>
          <w:lang w:val="en-GB"/>
        </w:rPr>
        <w:t xml:space="preserve"> bars (12 bars for each concentration) were casted in silica moulds for 24 h at room temperature, </w:t>
      </w:r>
      <w:r w:rsidR="00FA3C32" w:rsidRPr="00D003E1">
        <w:rPr>
          <w:rFonts w:ascii="Times New Roman" w:eastAsia="SimSun" w:hAnsi="Times New Roman" w:cs="Times New Roman"/>
          <w:sz w:val="24"/>
          <w:szCs w:val="24"/>
          <w:lang w:val="en-GB"/>
        </w:rPr>
        <w:t>followed by half of samples post cured at 80 °C for 3 hours.</w:t>
      </w:r>
    </w:p>
    <w:p w14:paraId="4ACA1F19" w14:textId="77777777" w:rsidR="003D1E0D" w:rsidRDefault="003D1E0D" w:rsidP="00FA3C32">
      <w:pPr>
        <w:spacing w:after="0" w:line="480" w:lineRule="auto"/>
        <w:jc w:val="both"/>
        <w:rPr>
          <w:rFonts w:ascii="Times New Roman" w:eastAsia="SimSun" w:hAnsi="Times New Roman" w:cs="Times New Roman"/>
          <w:sz w:val="24"/>
          <w:szCs w:val="24"/>
          <w:lang w:val="en-GB"/>
        </w:rPr>
      </w:pPr>
    </w:p>
    <w:p w14:paraId="225FDBBA" w14:textId="1799254B" w:rsidR="00D003E1" w:rsidRPr="00D003E1" w:rsidRDefault="004715D4"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70" w:name="_Toc518823258"/>
      <w:r>
        <w:rPr>
          <w:rFonts w:ascii="Times New Roman" w:eastAsia="SimSun" w:hAnsi="Times New Roman" w:cs="Times New Roman" w:hint="eastAsia"/>
          <w:b/>
          <w:bCs/>
          <w:color w:val="000000"/>
          <w:sz w:val="24"/>
          <w:szCs w:val="26"/>
          <w:lang w:val="en-GB"/>
        </w:rPr>
        <w:t>3</w:t>
      </w:r>
      <w:r w:rsidR="000A429A">
        <w:rPr>
          <w:rFonts w:ascii="Times New Roman" w:eastAsia="SimSun" w:hAnsi="Times New Roman" w:cs="Times New Roman" w:hint="eastAsia"/>
          <w:b/>
          <w:bCs/>
          <w:color w:val="000000"/>
          <w:sz w:val="24"/>
          <w:szCs w:val="26"/>
          <w:lang w:val="en-GB"/>
        </w:rPr>
        <w:t>.</w:t>
      </w:r>
      <w:r w:rsidR="006D4F12">
        <w:rPr>
          <w:rFonts w:ascii="Times New Roman" w:eastAsia="SimSun" w:hAnsi="Times New Roman" w:cs="Times New Roman"/>
          <w:b/>
          <w:bCs/>
          <w:color w:val="000000"/>
          <w:sz w:val="24"/>
          <w:szCs w:val="26"/>
          <w:lang w:val="en-GB"/>
        </w:rPr>
        <w:t>2.</w:t>
      </w:r>
      <w:r w:rsidR="006D4F12">
        <w:rPr>
          <w:rFonts w:ascii="Times New Roman" w:eastAsia="SimSun" w:hAnsi="Times New Roman" w:cs="Times New Roman" w:hint="eastAsia"/>
          <w:b/>
          <w:bCs/>
          <w:color w:val="000000"/>
          <w:sz w:val="24"/>
          <w:szCs w:val="26"/>
          <w:lang w:val="en-GB"/>
        </w:rPr>
        <w:t>4</w:t>
      </w:r>
      <w:r w:rsidR="00D003E1" w:rsidRPr="00D003E1">
        <w:rPr>
          <w:rFonts w:ascii="Times New Roman" w:eastAsia="SimSun" w:hAnsi="Times New Roman" w:cs="Times New Roman"/>
          <w:b/>
          <w:bCs/>
          <w:color w:val="000000"/>
          <w:sz w:val="24"/>
          <w:szCs w:val="26"/>
          <w:lang w:val="en-GB"/>
        </w:rPr>
        <w:t>. Preparation of GO–MEKP and GO–Cobalt hybrids</w:t>
      </w:r>
      <w:bookmarkEnd w:id="70"/>
    </w:p>
    <w:p w14:paraId="527D3B39" w14:textId="77777777"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To study the factors which affect the curing process of UPR, GO–MEKP and GO–cobalt mixtures were prepared by mixing 0.04g GO with 0.8 g MEKP, and with 0.8 g cobalt (the same ratio of 0.1 wt.% UPR/GO composites), respectively. Magnetically agitation for 10 min was needed before cured at room temperature for 24 hours, and post cured at 80 °C for 3 hours. The mixtures were washed with acetone by centrifuging for 3 times to remove the excess MEKP and cobalt residues, and the resultant powders were obtained by drying in a vacuum oven overnight.</w:t>
      </w:r>
    </w:p>
    <w:p w14:paraId="2955CC94" w14:textId="77777777" w:rsidR="00D003E1" w:rsidRPr="00D003E1" w:rsidRDefault="00D003E1" w:rsidP="00D003E1">
      <w:pPr>
        <w:spacing w:after="0" w:line="480" w:lineRule="auto"/>
        <w:jc w:val="both"/>
        <w:rPr>
          <w:rFonts w:ascii="Times New Roman" w:eastAsia="SimSun" w:hAnsi="Times New Roman" w:cs="Times New Roman"/>
          <w:sz w:val="24"/>
          <w:lang w:val="en-GB"/>
        </w:rPr>
      </w:pPr>
    </w:p>
    <w:p w14:paraId="5B961F8F" w14:textId="79B00059" w:rsidR="00D003E1" w:rsidRPr="00D003E1" w:rsidRDefault="004715D4" w:rsidP="000C127D">
      <w:pPr>
        <w:pStyle w:val="Heading2"/>
        <w:rPr>
          <w:lang w:val="en-GB"/>
        </w:rPr>
      </w:pPr>
      <w:bookmarkStart w:id="71" w:name="_Toc518823259"/>
      <w:r>
        <w:rPr>
          <w:rFonts w:hint="eastAsia"/>
          <w:lang w:val="en-GB"/>
        </w:rPr>
        <w:t>3</w:t>
      </w:r>
      <w:r w:rsidR="000A429A">
        <w:rPr>
          <w:rFonts w:hint="eastAsia"/>
          <w:lang w:val="en-GB"/>
        </w:rPr>
        <w:t>.</w:t>
      </w:r>
      <w:r w:rsidR="006D4F12">
        <w:rPr>
          <w:lang w:val="en-GB"/>
        </w:rPr>
        <w:t>2.</w:t>
      </w:r>
      <w:r w:rsidR="006D4F12">
        <w:rPr>
          <w:rFonts w:hint="eastAsia"/>
          <w:lang w:val="en-GB"/>
        </w:rPr>
        <w:t>5</w:t>
      </w:r>
      <w:r w:rsidR="000C127D">
        <w:rPr>
          <w:lang w:val="en-GB"/>
        </w:rPr>
        <w:t>.</w:t>
      </w:r>
      <w:r w:rsidR="00D003E1" w:rsidRPr="00D003E1">
        <w:rPr>
          <w:lang w:val="en-GB"/>
        </w:rPr>
        <w:t xml:space="preserve"> Characterization</w:t>
      </w:r>
      <w:bookmarkEnd w:id="71"/>
    </w:p>
    <w:p w14:paraId="294589F7" w14:textId="2947C208" w:rsidR="00D003E1" w:rsidRPr="00D003E1" w:rsidRDefault="004715D4" w:rsidP="000C127D">
      <w:pPr>
        <w:pStyle w:val="Heading3"/>
        <w:rPr>
          <w:lang w:val="en-GB"/>
        </w:rPr>
      </w:pPr>
      <w:bookmarkStart w:id="72" w:name="_Toc518823260"/>
      <w:r>
        <w:rPr>
          <w:rFonts w:hint="eastAsia"/>
          <w:lang w:val="en-GB"/>
        </w:rPr>
        <w:t>3</w:t>
      </w:r>
      <w:r w:rsidR="000A429A">
        <w:rPr>
          <w:rFonts w:hint="eastAsia"/>
          <w:lang w:val="en-GB"/>
        </w:rPr>
        <w:t>.</w:t>
      </w:r>
      <w:r w:rsidR="006D4F12">
        <w:rPr>
          <w:lang w:val="en-GB"/>
        </w:rPr>
        <w:t>2.</w:t>
      </w:r>
      <w:r w:rsidR="006D4F12">
        <w:rPr>
          <w:rFonts w:hint="eastAsia"/>
          <w:lang w:val="en-GB"/>
        </w:rPr>
        <w:t>5</w:t>
      </w:r>
      <w:r w:rsidR="000A429A" w:rsidRPr="00D003E1">
        <w:rPr>
          <w:lang w:val="en-GB"/>
        </w:rPr>
        <w:t>.1. Atomic force microscopy (AFM)</w:t>
      </w:r>
      <w:bookmarkEnd w:id="72"/>
    </w:p>
    <w:p w14:paraId="6BCA9A7A" w14:textId="77777777"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AFM of GO sheets was conducted on Verso Dimension 3100 with Olympus AC160TS probe, in tapping mode at 0.5 Hz on a mica substrate. GO clear suspension was created by mechanical agitation, ultra-sonication and centrifuge at 6000 rpm.</w:t>
      </w:r>
    </w:p>
    <w:p w14:paraId="56951AAD" w14:textId="77777777" w:rsidR="00D003E1" w:rsidRPr="00D003E1" w:rsidRDefault="00D003E1" w:rsidP="00D003E1">
      <w:pPr>
        <w:spacing w:after="0" w:line="480" w:lineRule="auto"/>
        <w:jc w:val="both"/>
        <w:rPr>
          <w:rFonts w:ascii="Times New Roman" w:eastAsia="SimSun" w:hAnsi="Times New Roman" w:cs="Times New Roman"/>
          <w:sz w:val="24"/>
          <w:lang w:val="en-GB"/>
        </w:rPr>
      </w:pPr>
    </w:p>
    <w:p w14:paraId="312D4F77" w14:textId="6829D858" w:rsidR="00D003E1" w:rsidRPr="00D003E1" w:rsidRDefault="000B2036" w:rsidP="000C127D">
      <w:pPr>
        <w:pStyle w:val="Heading3"/>
        <w:rPr>
          <w:lang w:val="en-GB"/>
        </w:rPr>
      </w:pPr>
      <w:bookmarkStart w:id="73" w:name="_Toc518823261"/>
      <w:r>
        <w:rPr>
          <w:rFonts w:hint="eastAsia"/>
          <w:lang w:val="en-GB"/>
        </w:rPr>
        <w:t>3</w:t>
      </w:r>
      <w:r w:rsidR="000A429A">
        <w:rPr>
          <w:rFonts w:hint="eastAsia"/>
          <w:lang w:val="en-GB"/>
        </w:rPr>
        <w:t>.</w:t>
      </w:r>
      <w:r w:rsidR="006D4F12">
        <w:rPr>
          <w:lang w:val="en-GB"/>
        </w:rPr>
        <w:t>2.</w:t>
      </w:r>
      <w:r w:rsidR="006D4F12">
        <w:rPr>
          <w:rFonts w:hint="eastAsia"/>
          <w:lang w:val="en-GB"/>
        </w:rPr>
        <w:t>5</w:t>
      </w:r>
      <w:r w:rsidR="00D003E1" w:rsidRPr="00D003E1">
        <w:rPr>
          <w:lang w:val="en-GB"/>
        </w:rPr>
        <w:t>.2. Fourier transformed infrared spectroscopy (FTIR)</w:t>
      </w:r>
      <w:bookmarkEnd w:id="73"/>
    </w:p>
    <w:p w14:paraId="324E624C" w14:textId="77777777"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FTIR of neat UPR, UPR/GO composites, GO–MEKP and GO-Cobalt hybrids were conducted on Spectrum 100 (Perkin Elmer, USA) in the wavenumber range of 4000–500 cm</w:t>
      </w:r>
      <w:r w:rsidRPr="00D003E1">
        <w:rPr>
          <w:rFonts w:ascii="Times New Roman" w:eastAsia="SimSun" w:hAnsi="Times New Roman" w:cs="Times New Roman"/>
          <w:sz w:val="24"/>
          <w:vertAlign w:val="superscript"/>
          <w:lang w:val="en-GB"/>
        </w:rPr>
        <w:t>-1</w:t>
      </w:r>
      <w:r w:rsidRPr="00D003E1">
        <w:rPr>
          <w:rFonts w:ascii="Times New Roman" w:eastAsia="SimSun" w:hAnsi="Times New Roman" w:cs="Times New Roman"/>
          <w:sz w:val="24"/>
          <w:lang w:val="en-GB"/>
        </w:rPr>
        <w:t xml:space="preserve"> with a resolution of 1 cm</w:t>
      </w:r>
      <w:r w:rsidRPr="00D003E1">
        <w:rPr>
          <w:rFonts w:ascii="Times New Roman" w:eastAsia="SimSun" w:hAnsi="Times New Roman" w:cs="Times New Roman"/>
          <w:sz w:val="24"/>
          <w:vertAlign w:val="superscript"/>
          <w:lang w:val="en-GB"/>
        </w:rPr>
        <w:t>-1</w:t>
      </w:r>
      <w:r w:rsidRPr="00D003E1">
        <w:rPr>
          <w:rFonts w:ascii="Times New Roman" w:eastAsia="SimSun" w:hAnsi="Times New Roman" w:cs="Times New Roman"/>
          <w:sz w:val="24"/>
          <w:lang w:val="en-GB"/>
        </w:rPr>
        <w:t xml:space="preserve">. </w:t>
      </w:r>
    </w:p>
    <w:p w14:paraId="041DBDD4" w14:textId="77777777" w:rsidR="00D003E1" w:rsidRPr="00D003E1" w:rsidRDefault="00D003E1" w:rsidP="00D003E1">
      <w:pPr>
        <w:spacing w:after="0" w:line="480" w:lineRule="auto"/>
        <w:jc w:val="both"/>
        <w:rPr>
          <w:rFonts w:ascii="Times New Roman" w:eastAsia="SimSun" w:hAnsi="Times New Roman" w:cs="Times New Roman"/>
          <w:sz w:val="24"/>
          <w:lang w:val="en-GB"/>
        </w:rPr>
      </w:pPr>
    </w:p>
    <w:p w14:paraId="040814AF" w14:textId="492F5FE6" w:rsidR="00D003E1" w:rsidRPr="00D003E1" w:rsidRDefault="000B2036" w:rsidP="000C127D">
      <w:pPr>
        <w:pStyle w:val="Heading3"/>
        <w:rPr>
          <w:lang w:val="en-GB"/>
        </w:rPr>
      </w:pPr>
      <w:bookmarkStart w:id="74" w:name="_Toc518823262"/>
      <w:r>
        <w:rPr>
          <w:rFonts w:hint="eastAsia"/>
          <w:lang w:val="en-GB"/>
        </w:rPr>
        <w:t>3</w:t>
      </w:r>
      <w:r w:rsidR="000A429A">
        <w:rPr>
          <w:rFonts w:hint="eastAsia"/>
          <w:lang w:val="en-GB"/>
        </w:rPr>
        <w:t>.</w:t>
      </w:r>
      <w:r w:rsidR="006D4F12">
        <w:rPr>
          <w:lang w:val="en-GB"/>
        </w:rPr>
        <w:t>2.</w:t>
      </w:r>
      <w:r w:rsidR="006D4F12">
        <w:rPr>
          <w:rFonts w:hint="eastAsia"/>
          <w:lang w:val="en-GB"/>
        </w:rPr>
        <w:t>5</w:t>
      </w:r>
      <w:r w:rsidR="00D003E1" w:rsidRPr="00D003E1">
        <w:rPr>
          <w:lang w:val="en-GB"/>
        </w:rPr>
        <w:t>.</w:t>
      </w:r>
      <w:r w:rsidR="00D003E1" w:rsidRPr="00D003E1">
        <w:rPr>
          <w:rFonts w:hint="eastAsia"/>
          <w:lang w:val="en-GB"/>
        </w:rPr>
        <w:t>3</w:t>
      </w:r>
      <w:r w:rsidR="00D003E1" w:rsidRPr="00D003E1">
        <w:rPr>
          <w:lang w:val="en-GB"/>
        </w:rPr>
        <w:t>. Scanning electron microscopy (SEM)</w:t>
      </w:r>
      <w:bookmarkEnd w:id="74"/>
      <w:r w:rsidR="00D003E1" w:rsidRPr="00D003E1">
        <w:rPr>
          <w:lang w:val="en-GB"/>
        </w:rPr>
        <w:t xml:space="preserve"> </w:t>
      </w:r>
    </w:p>
    <w:p w14:paraId="450E268F" w14:textId="75A32B3C" w:rsid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SEM studies were carried out on an FEG-SEM (with a Gatan MonoCL</w:t>
      </w:r>
      <w:r w:rsidRPr="00D003E1">
        <w:rPr>
          <w:rFonts w:ascii="Times New Roman" w:eastAsia="SimSun" w:hAnsi="Times New Roman" w:cs="Times New Roman"/>
          <w:sz w:val="24"/>
          <w:vertAlign w:val="subscript"/>
          <w:lang w:val="en-GB"/>
        </w:rPr>
        <w:t xml:space="preserve">4 </w:t>
      </w:r>
      <w:r w:rsidRPr="00D003E1">
        <w:rPr>
          <w:rFonts w:ascii="Times New Roman" w:eastAsia="SimSun" w:hAnsi="Times New Roman" w:cs="Times New Roman"/>
          <w:sz w:val="24"/>
          <w:lang w:val="en-GB"/>
        </w:rPr>
        <w:t>cathodoluminescence spectrometer attached, UK), with an accelera</w:t>
      </w:r>
      <w:r w:rsidRPr="00D003E1">
        <w:rPr>
          <w:rFonts w:ascii="Times New Roman" w:eastAsia="SimSun" w:hAnsi="Times New Roman" w:cs="Times New Roman" w:hint="eastAsia"/>
          <w:sz w:val="24"/>
          <w:lang w:val="en-GB"/>
        </w:rPr>
        <w:t>ted</w:t>
      </w:r>
      <w:r w:rsidRPr="00D003E1">
        <w:rPr>
          <w:rFonts w:ascii="Times New Roman" w:eastAsia="SimSun" w:hAnsi="Times New Roman" w:cs="Times New Roman"/>
          <w:sz w:val="24"/>
          <w:lang w:val="en-GB"/>
        </w:rPr>
        <w:t xml:space="preserve"> voltage of 10 kV. Prior to the SEM observation, the fracture surface which was previously ruptured by tensile test was sputter-coated with gold by using an SPI sputter-coater for enhanced conductivity.</w:t>
      </w:r>
    </w:p>
    <w:p w14:paraId="0FBE95BC" w14:textId="77777777" w:rsidR="0068275D" w:rsidRPr="00D003E1" w:rsidRDefault="0068275D" w:rsidP="00D003E1">
      <w:pPr>
        <w:spacing w:after="0" w:line="480" w:lineRule="auto"/>
        <w:jc w:val="both"/>
        <w:rPr>
          <w:rFonts w:ascii="Times New Roman" w:eastAsia="SimSun" w:hAnsi="Times New Roman" w:cs="Times New Roman"/>
          <w:sz w:val="24"/>
          <w:lang w:val="en-GB"/>
        </w:rPr>
      </w:pPr>
    </w:p>
    <w:p w14:paraId="4AEA2380" w14:textId="28047F09" w:rsidR="00D003E1" w:rsidRPr="00D003E1" w:rsidRDefault="000B2036" w:rsidP="000C127D">
      <w:pPr>
        <w:pStyle w:val="Heading3"/>
        <w:rPr>
          <w:lang w:val="en-GB"/>
        </w:rPr>
      </w:pPr>
      <w:bookmarkStart w:id="75" w:name="_Toc518823263"/>
      <w:r>
        <w:rPr>
          <w:rFonts w:hint="eastAsia"/>
          <w:lang w:val="en-GB"/>
        </w:rPr>
        <w:t>3</w:t>
      </w:r>
      <w:r w:rsidR="000A429A">
        <w:rPr>
          <w:rFonts w:hint="eastAsia"/>
          <w:lang w:val="en-GB"/>
        </w:rPr>
        <w:t>.</w:t>
      </w:r>
      <w:r w:rsidR="006D4F12">
        <w:rPr>
          <w:lang w:val="en-GB"/>
        </w:rPr>
        <w:t>2.</w:t>
      </w:r>
      <w:r w:rsidR="006D4F12">
        <w:rPr>
          <w:rFonts w:hint="eastAsia"/>
          <w:lang w:val="en-GB"/>
        </w:rPr>
        <w:t>5</w:t>
      </w:r>
      <w:r w:rsidR="00D003E1" w:rsidRPr="00D003E1">
        <w:rPr>
          <w:lang w:val="en-GB"/>
        </w:rPr>
        <w:t>.</w:t>
      </w:r>
      <w:r w:rsidR="00D003E1" w:rsidRPr="00D003E1">
        <w:rPr>
          <w:rFonts w:hint="eastAsia"/>
          <w:lang w:val="en-GB"/>
        </w:rPr>
        <w:t>4</w:t>
      </w:r>
      <w:r w:rsidR="00D003E1" w:rsidRPr="00D003E1">
        <w:rPr>
          <w:lang w:val="en-GB"/>
        </w:rPr>
        <w:t xml:space="preserve">. Tensile </w:t>
      </w:r>
      <w:r w:rsidR="00D003E1" w:rsidRPr="00D003E1">
        <w:rPr>
          <w:rFonts w:hint="eastAsia"/>
          <w:lang w:val="en-GB"/>
        </w:rPr>
        <w:t>and 3</w:t>
      </w:r>
      <w:r w:rsidR="00D003E1" w:rsidRPr="00D003E1">
        <w:rPr>
          <w:lang w:val="en-GB"/>
        </w:rPr>
        <w:t>–</w:t>
      </w:r>
      <w:r w:rsidR="00D003E1" w:rsidRPr="00D003E1">
        <w:rPr>
          <w:rFonts w:hint="eastAsia"/>
          <w:lang w:val="en-GB"/>
        </w:rPr>
        <w:t>point bending</w:t>
      </w:r>
      <w:r w:rsidR="00D003E1" w:rsidRPr="00D003E1">
        <w:rPr>
          <w:lang w:val="en-GB"/>
        </w:rPr>
        <w:t xml:space="preserve"> tests</w:t>
      </w:r>
      <w:bookmarkEnd w:id="75"/>
    </w:p>
    <w:p w14:paraId="1360C064" w14:textId="77777777" w:rsidR="00D003E1" w:rsidRPr="00D003E1" w:rsidRDefault="00D003E1" w:rsidP="00D003E1">
      <w:pPr>
        <w:spacing w:after="0" w:line="480" w:lineRule="auto"/>
        <w:jc w:val="both"/>
        <w:rPr>
          <w:rFonts w:ascii="Times New Roman" w:eastAsia="SimSun" w:hAnsi="Times New Roman" w:cs="Times New Roman"/>
          <w:sz w:val="24"/>
          <w:szCs w:val="24"/>
          <w:lang w:val="en-GB"/>
        </w:rPr>
      </w:pPr>
      <w:r w:rsidRPr="00D003E1">
        <w:rPr>
          <w:rFonts w:ascii="Times New Roman" w:eastAsia="SimSun" w:hAnsi="Times New Roman" w:cs="Times New Roman"/>
          <w:sz w:val="24"/>
          <w:szCs w:val="24"/>
          <w:lang w:val="en-GB"/>
        </w:rPr>
        <w:t>A Hounsfield Test Equipment LTD was employed to study the mechanical properties of neat UPR, and UPR/GO composites. Tensile testing was carried out on specimens of dumb-bell shape (25 mm in gauge length, 5 mm in width at narrow portion) with loading cell of 1 kN (under speed of 2 mm min</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3 point bending testing was carried out on specimens of (20 mm x 5 mm) rectangular bars </w:t>
      </w:r>
      <w:r w:rsidRPr="00D003E1">
        <w:rPr>
          <w:rFonts w:ascii="Times New Roman" w:eastAsia="SimSun" w:hAnsi="Times New Roman" w:cs="Times New Roman" w:hint="eastAsia"/>
          <w:sz w:val="24"/>
          <w:szCs w:val="24"/>
          <w:lang w:val="en-GB"/>
        </w:rPr>
        <w:t xml:space="preserve">with load cell of </w:t>
      </w:r>
      <w:r w:rsidRPr="00D003E1">
        <w:rPr>
          <w:rFonts w:ascii="Times New Roman" w:eastAsia="SimSun" w:hAnsi="Times New Roman" w:cs="Times New Roman"/>
          <w:sz w:val="24"/>
          <w:szCs w:val="24"/>
          <w:lang w:val="en-GB"/>
        </w:rPr>
        <w:t>1 kN (under a speed of 1 mm min</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hint="eastAsia"/>
          <w:sz w:val="24"/>
          <w:szCs w:val="24"/>
          <w:lang w:val="en-GB"/>
        </w:rPr>
        <w:t>).</w:t>
      </w:r>
    </w:p>
    <w:p w14:paraId="01C17C79" w14:textId="77777777" w:rsidR="00D003E1" w:rsidRPr="00D003E1" w:rsidRDefault="00D003E1" w:rsidP="00D003E1">
      <w:pPr>
        <w:spacing w:after="0" w:line="480" w:lineRule="auto"/>
        <w:jc w:val="both"/>
        <w:rPr>
          <w:rFonts w:ascii="Times New Roman" w:eastAsia="SimSun" w:hAnsi="Times New Roman" w:cs="Times New Roman"/>
          <w:sz w:val="24"/>
          <w:szCs w:val="24"/>
          <w:lang w:val="en-GB"/>
        </w:rPr>
      </w:pPr>
    </w:p>
    <w:p w14:paraId="76D0CDA6" w14:textId="3C692096" w:rsidR="00D003E1" w:rsidRPr="00D003E1" w:rsidRDefault="000B2036" w:rsidP="000C127D">
      <w:pPr>
        <w:pStyle w:val="Heading3"/>
        <w:rPr>
          <w:lang w:val="en-GB"/>
        </w:rPr>
      </w:pPr>
      <w:bookmarkStart w:id="76" w:name="_Toc518823264"/>
      <w:r>
        <w:rPr>
          <w:rFonts w:hint="eastAsia"/>
          <w:lang w:val="en-GB"/>
        </w:rPr>
        <w:t>3</w:t>
      </w:r>
      <w:r w:rsidR="000A429A">
        <w:rPr>
          <w:rFonts w:hint="eastAsia"/>
          <w:lang w:val="en-GB"/>
        </w:rPr>
        <w:t>.</w:t>
      </w:r>
      <w:r w:rsidR="006D4F12">
        <w:rPr>
          <w:lang w:val="en-GB"/>
        </w:rPr>
        <w:t>2.</w:t>
      </w:r>
      <w:r w:rsidR="006D4F12">
        <w:rPr>
          <w:rFonts w:hint="eastAsia"/>
          <w:lang w:val="en-GB"/>
        </w:rPr>
        <w:t>5</w:t>
      </w:r>
      <w:r w:rsidR="00D003E1" w:rsidRPr="00D003E1">
        <w:rPr>
          <w:lang w:val="en-GB"/>
        </w:rPr>
        <w:t>.</w:t>
      </w:r>
      <w:r w:rsidR="00D003E1" w:rsidRPr="00D003E1">
        <w:rPr>
          <w:rFonts w:hint="eastAsia"/>
          <w:lang w:val="en-GB"/>
        </w:rPr>
        <w:t>5</w:t>
      </w:r>
      <w:r w:rsidR="00D003E1" w:rsidRPr="00D003E1">
        <w:rPr>
          <w:lang w:val="en-GB"/>
        </w:rPr>
        <w:t>. Dynamic mechanical analysis (DMA)</w:t>
      </w:r>
      <w:bookmarkEnd w:id="76"/>
    </w:p>
    <w:p w14:paraId="436E5324" w14:textId="77777777"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DMA of neat UPR, and UPR/GO composites with various GO loadings was carried out on a DMA 8000 (Perkin Emler, USA) under a tensile mode, with a temperature range from -20 °C to 160 °C under a heating rate of 2 °C min</w:t>
      </w:r>
      <w:r w:rsidRPr="00D003E1">
        <w:rPr>
          <w:rFonts w:ascii="Times New Roman" w:eastAsia="SimSun" w:hAnsi="Times New Roman" w:cs="Times New Roman"/>
          <w:sz w:val="24"/>
          <w:vertAlign w:val="superscript"/>
          <w:lang w:val="en-GB"/>
        </w:rPr>
        <w:t>-1</w:t>
      </w:r>
      <w:r w:rsidRPr="00D003E1">
        <w:rPr>
          <w:rFonts w:ascii="Times New Roman" w:eastAsia="SimSun" w:hAnsi="Times New Roman" w:cs="Times New Roman"/>
          <w:sz w:val="24"/>
          <w:lang w:val="en-GB"/>
        </w:rPr>
        <w:t xml:space="preserve"> with a consistent frequency of 1 Hz and pre strain of 0.01 mm (0.1 % of length). The specimens for DMA tests were prepared in rectangular stripe of 10 mm (L) x 5 mm (W) x 3 mm (T).</w:t>
      </w:r>
    </w:p>
    <w:p w14:paraId="7A7863F7" w14:textId="77777777" w:rsidR="00D003E1" w:rsidRPr="00D003E1" w:rsidRDefault="00D003E1" w:rsidP="00D003E1">
      <w:pPr>
        <w:spacing w:after="0" w:line="480" w:lineRule="auto"/>
        <w:jc w:val="both"/>
        <w:rPr>
          <w:rFonts w:ascii="Times New Roman" w:eastAsia="SimSun" w:hAnsi="Times New Roman" w:cs="Times New Roman"/>
          <w:sz w:val="24"/>
          <w:lang w:val="en-GB"/>
        </w:rPr>
      </w:pPr>
    </w:p>
    <w:p w14:paraId="779FFD67" w14:textId="0C496960" w:rsidR="00D003E1" w:rsidRPr="00D003E1" w:rsidRDefault="000B2036" w:rsidP="000C127D">
      <w:pPr>
        <w:pStyle w:val="Heading3"/>
        <w:rPr>
          <w:lang w:val="en-GB"/>
        </w:rPr>
      </w:pPr>
      <w:bookmarkStart w:id="77" w:name="_Toc518823265"/>
      <w:r>
        <w:rPr>
          <w:rFonts w:hint="eastAsia"/>
          <w:lang w:val="en-GB"/>
        </w:rPr>
        <w:t>3</w:t>
      </w:r>
      <w:r w:rsidR="000A429A">
        <w:rPr>
          <w:rFonts w:hint="eastAsia"/>
          <w:lang w:val="en-GB"/>
        </w:rPr>
        <w:t>.</w:t>
      </w:r>
      <w:r w:rsidR="006D4F12">
        <w:rPr>
          <w:lang w:val="en-GB"/>
        </w:rPr>
        <w:t>2.</w:t>
      </w:r>
      <w:r w:rsidR="006D4F12">
        <w:rPr>
          <w:rFonts w:hint="eastAsia"/>
          <w:lang w:val="en-GB"/>
        </w:rPr>
        <w:t>5</w:t>
      </w:r>
      <w:r w:rsidR="00D003E1" w:rsidRPr="00D003E1">
        <w:rPr>
          <w:lang w:val="en-GB"/>
        </w:rPr>
        <w:t>.</w:t>
      </w:r>
      <w:r w:rsidR="00D003E1" w:rsidRPr="00D003E1">
        <w:rPr>
          <w:rFonts w:hint="eastAsia"/>
          <w:lang w:val="en-GB"/>
        </w:rPr>
        <w:t>6</w:t>
      </w:r>
      <w:r w:rsidR="00D003E1" w:rsidRPr="00D003E1">
        <w:rPr>
          <w:lang w:val="en-GB"/>
        </w:rPr>
        <w:t>. Thermogravimetric analysis (TGA)</w:t>
      </w:r>
      <w:bookmarkEnd w:id="77"/>
    </w:p>
    <w:p w14:paraId="4FC9503A" w14:textId="77777777"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TGA of UPR/GO composites, as well as GO–MEKP, and GO–cobalt hybrids was performed on a Thermogravimetric Analyzer Pyris 1 (Perkin Elmer, USA), with the temperature range from 25 °C to 800 °C, heating rate of 10 °C min</w:t>
      </w:r>
      <w:r w:rsidRPr="00D003E1">
        <w:rPr>
          <w:rFonts w:ascii="Times New Roman" w:eastAsia="SimSun" w:hAnsi="Times New Roman" w:cs="Times New Roman"/>
          <w:sz w:val="24"/>
          <w:vertAlign w:val="superscript"/>
          <w:lang w:val="en-GB"/>
        </w:rPr>
        <w:t>-1</w:t>
      </w:r>
      <w:r w:rsidRPr="00D003E1">
        <w:rPr>
          <w:rFonts w:ascii="Times New Roman" w:eastAsia="SimSun" w:hAnsi="Times New Roman" w:cs="Times New Roman"/>
          <w:sz w:val="24"/>
          <w:lang w:val="en-GB"/>
        </w:rPr>
        <w:t xml:space="preserve"> under a nitrogen flow of 20 ml min</w:t>
      </w:r>
      <w:r w:rsidRPr="00D003E1">
        <w:rPr>
          <w:rFonts w:ascii="Times New Roman" w:eastAsia="SimSun" w:hAnsi="Times New Roman" w:cs="Times New Roman"/>
          <w:sz w:val="24"/>
          <w:vertAlign w:val="superscript"/>
          <w:lang w:val="en-GB"/>
        </w:rPr>
        <w:t>-1</w:t>
      </w:r>
      <w:r w:rsidRPr="00D003E1">
        <w:rPr>
          <w:rFonts w:ascii="Times New Roman" w:eastAsia="SimSun" w:hAnsi="Times New Roman" w:cs="Times New Roman"/>
          <w:sz w:val="24"/>
          <w:lang w:val="en-GB"/>
        </w:rPr>
        <w:t xml:space="preserve">. </w:t>
      </w:r>
    </w:p>
    <w:p w14:paraId="7917ABFD" w14:textId="77777777" w:rsidR="00D003E1" w:rsidRPr="00D003E1" w:rsidRDefault="00D003E1" w:rsidP="00D003E1">
      <w:pPr>
        <w:spacing w:after="0" w:line="480" w:lineRule="auto"/>
        <w:jc w:val="both"/>
        <w:rPr>
          <w:rFonts w:ascii="Times New Roman" w:eastAsia="SimSun" w:hAnsi="Times New Roman" w:cs="Times New Roman"/>
          <w:sz w:val="24"/>
          <w:lang w:val="en-GB"/>
        </w:rPr>
      </w:pPr>
    </w:p>
    <w:p w14:paraId="1C2E10D5" w14:textId="64F62859" w:rsidR="00D003E1" w:rsidRPr="00D003E1" w:rsidRDefault="000B2036" w:rsidP="00D003E1">
      <w:pPr>
        <w:keepNext/>
        <w:keepLines/>
        <w:spacing w:after="0" w:line="480" w:lineRule="auto"/>
        <w:jc w:val="both"/>
        <w:outlineLvl w:val="0"/>
        <w:rPr>
          <w:rFonts w:ascii="Times New Roman" w:eastAsia="SimSun" w:hAnsi="Times New Roman" w:cs="Times New Roman"/>
          <w:b/>
          <w:bCs/>
          <w:color w:val="000000"/>
          <w:sz w:val="40"/>
          <w:szCs w:val="28"/>
          <w:lang w:val="en-GB"/>
        </w:rPr>
      </w:pPr>
      <w:bookmarkStart w:id="78" w:name="_Toc518823266"/>
      <w:r>
        <w:rPr>
          <w:rFonts w:ascii="Times New Roman" w:eastAsia="SimSun" w:hAnsi="Times New Roman" w:cs="Times New Roman" w:hint="eastAsia"/>
          <w:b/>
          <w:bCs/>
          <w:color w:val="000000"/>
          <w:sz w:val="40"/>
          <w:szCs w:val="28"/>
          <w:lang w:val="en-GB"/>
        </w:rPr>
        <w:t>3</w:t>
      </w:r>
      <w:r w:rsidR="000A429A">
        <w:rPr>
          <w:rFonts w:ascii="Times New Roman" w:eastAsia="SimSun" w:hAnsi="Times New Roman" w:cs="Times New Roman" w:hint="eastAsia"/>
          <w:b/>
          <w:bCs/>
          <w:color w:val="000000"/>
          <w:sz w:val="40"/>
          <w:szCs w:val="28"/>
          <w:lang w:val="en-GB"/>
        </w:rPr>
        <w:t>.</w:t>
      </w:r>
      <w:r w:rsidR="000C127D">
        <w:rPr>
          <w:rFonts w:ascii="Times New Roman" w:eastAsia="SimSun" w:hAnsi="Times New Roman" w:cs="Times New Roman"/>
          <w:b/>
          <w:bCs/>
          <w:color w:val="000000"/>
          <w:sz w:val="40"/>
          <w:szCs w:val="28"/>
          <w:lang w:val="en-GB"/>
        </w:rPr>
        <w:t>3</w:t>
      </w:r>
      <w:r w:rsidR="00D003E1" w:rsidRPr="00D003E1">
        <w:rPr>
          <w:rFonts w:ascii="Times New Roman" w:eastAsia="SimSun" w:hAnsi="Times New Roman" w:cs="Times New Roman"/>
          <w:b/>
          <w:bCs/>
          <w:color w:val="000000"/>
          <w:sz w:val="40"/>
          <w:szCs w:val="28"/>
          <w:lang w:val="en-GB"/>
        </w:rPr>
        <w:t>. Results and discussion</w:t>
      </w:r>
      <w:bookmarkEnd w:id="78"/>
    </w:p>
    <w:p w14:paraId="2E48820A" w14:textId="21E0B0B6" w:rsidR="00D003E1" w:rsidRPr="00D003E1" w:rsidRDefault="000B2036"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79" w:name="_Toc518823267"/>
      <w:r>
        <w:rPr>
          <w:rFonts w:ascii="Times New Roman" w:eastAsia="SimSun" w:hAnsi="Times New Roman" w:cs="Times New Roman" w:hint="eastAsia"/>
          <w:b/>
          <w:bCs/>
          <w:color w:val="000000"/>
          <w:sz w:val="24"/>
          <w:szCs w:val="26"/>
          <w:lang w:val="en-GB"/>
        </w:rPr>
        <w:t>3</w:t>
      </w:r>
      <w:r w:rsidR="00C266A6">
        <w:rPr>
          <w:rFonts w:ascii="Times New Roman" w:eastAsia="SimSun" w:hAnsi="Times New Roman" w:cs="Times New Roman" w:hint="eastAsia"/>
          <w:b/>
          <w:bCs/>
          <w:color w:val="000000"/>
          <w:sz w:val="24"/>
          <w:szCs w:val="26"/>
          <w:lang w:val="en-GB"/>
        </w:rPr>
        <w:t>.</w:t>
      </w:r>
      <w:r w:rsidR="00C266A6">
        <w:rPr>
          <w:rFonts w:ascii="Times New Roman" w:eastAsia="SimSun" w:hAnsi="Times New Roman" w:cs="Times New Roman"/>
          <w:b/>
          <w:bCs/>
          <w:color w:val="000000"/>
          <w:sz w:val="24"/>
          <w:szCs w:val="26"/>
          <w:lang w:val="en-GB"/>
        </w:rPr>
        <w:t>3</w:t>
      </w:r>
      <w:r w:rsidR="00C266A6" w:rsidRPr="00D003E1">
        <w:rPr>
          <w:rFonts w:ascii="Times New Roman" w:eastAsia="SimSun" w:hAnsi="Times New Roman" w:cs="Times New Roman"/>
          <w:b/>
          <w:bCs/>
          <w:color w:val="000000"/>
          <w:sz w:val="24"/>
          <w:szCs w:val="26"/>
          <w:lang w:val="en-GB"/>
        </w:rPr>
        <w:t>.</w:t>
      </w:r>
      <w:r w:rsidR="00C266A6" w:rsidRPr="00D003E1">
        <w:rPr>
          <w:rFonts w:ascii="Times New Roman" w:eastAsia="SimSun" w:hAnsi="Times New Roman" w:cs="Times New Roman" w:hint="eastAsia"/>
          <w:b/>
          <w:bCs/>
          <w:color w:val="000000"/>
          <w:sz w:val="24"/>
          <w:szCs w:val="26"/>
          <w:lang w:val="en-GB"/>
        </w:rPr>
        <w:t>1</w:t>
      </w:r>
      <w:r w:rsidR="00C266A6" w:rsidRPr="00D003E1">
        <w:rPr>
          <w:rFonts w:ascii="Times New Roman" w:eastAsia="SimSun" w:hAnsi="Times New Roman" w:cs="Times New Roman"/>
          <w:b/>
          <w:bCs/>
          <w:color w:val="000000"/>
          <w:sz w:val="24"/>
          <w:szCs w:val="26"/>
          <w:lang w:val="en-GB"/>
        </w:rPr>
        <w:t>. Characterization of GO</w:t>
      </w:r>
      <w:bookmarkEnd w:id="79"/>
    </w:p>
    <w:p w14:paraId="2EB17820" w14:textId="2D0F5968" w:rsidR="00D003E1" w:rsidRPr="00D003E1" w:rsidRDefault="00D003E1" w:rsidP="00D003E1">
      <w:pPr>
        <w:spacing w:after="20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Oxygenic functional groups on GO sheets allow GO to be readily dispersed in aqueous media like water via suitable agitation and mild sonication. Stable and clear GO aqueous suspension was dropped onto mica substrates</w:t>
      </w:r>
      <w:r w:rsidRPr="00D003E1">
        <w:rPr>
          <w:rFonts w:ascii="Times New Roman" w:eastAsia="SimSun" w:hAnsi="Times New Roman" w:cs="Times New Roman" w:hint="eastAsia"/>
          <w:sz w:val="24"/>
          <w:lang w:val="en-GB"/>
        </w:rPr>
        <w:t xml:space="preserve">. </w:t>
      </w:r>
      <w:r w:rsidRPr="00D003E1">
        <w:rPr>
          <w:rFonts w:ascii="Times New Roman" w:eastAsia="SimSun" w:hAnsi="Times New Roman" w:cs="Times New Roman"/>
          <w:sz w:val="24"/>
          <w:lang w:val="en-GB"/>
        </w:rPr>
        <w:t>The thickness and dimension of as–prepared GO sheets was observed by AFM in tapping mode. The AFM image of GO shee</w:t>
      </w:r>
      <w:r w:rsidR="008159AF">
        <w:rPr>
          <w:rFonts w:ascii="Times New Roman" w:eastAsia="SimSun" w:hAnsi="Times New Roman" w:cs="Times New Roman"/>
          <w:sz w:val="24"/>
          <w:lang w:val="en-GB"/>
        </w:rPr>
        <w:t xml:space="preserve">ts in water is shown in </w:t>
      </w:r>
      <w:r w:rsidR="000B2036">
        <w:rPr>
          <w:rFonts w:ascii="Times New Roman" w:eastAsia="SimSun" w:hAnsi="Times New Roman" w:cs="Times New Roman"/>
          <w:sz w:val="24"/>
          <w:lang w:val="en-GB"/>
        </w:rPr>
        <w:t>Figure 3</w:t>
      </w:r>
      <w:r w:rsidRPr="00D003E1">
        <w:rPr>
          <w:rFonts w:ascii="Times New Roman" w:eastAsia="SimSun" w:hAnsi="Times New Roman" w:cs="Times New Roman"/>
          <w:sz w:val="24"/>
          <w:lang w:val="en-GB"/>
        </w:rPr>
        <w:t>.1</w:t>
      </w:r>
      <w:r w:rsidRPr="00D003E1">
        <w:rPr>
          <w:rFonts w:ascii="Times New Roman" w:eastAsia="SimSun" w:hAnsi="Times New Roman" w:cs="Times New Roman" w:hint="eastAsia"/>
          <w:sz w:val="24"/>
          <w:lang w:val="en-GB"/>
        </w:rPr>
        <w:t>(a, b)</w:t>
      </w:r>
      <w:r w:rsidRPr="00D003E1">
        <w:rPr>
          <w:rFonts w:ascii="Times New Roman" w:eastAsia="SimSun" w:hAnsi="Times New Roman" w:cs="Times New Roman"/>
          <w:sz w:val="24"/>
          <w:lang w:val="en-GB"/>
        </w:rPr>
        <w:t>, which shows that the average thickness of single GO sheet is around 0.7</w:t>
      </w:r>
      <w:r w:rsidRPr="00D003E1">
        <w:rPr>
          <w:rFonts w:ascii="Times New Roman" w:eastAsia="SimSun" w:hAnsi="Times New Roman" w:cs="Times New Roman" w:hint="eastAsia"/>
          <w:sz w:val="24"/>
          <w:lang w:val="en-GB"/>
        </w:rPr>
        <w:t>~0.8</w:t>
      </w:r>
      <w:r w:rsidRPr="00D003E1">
        <w:rPr>
          <w:rFonts w:ascii="Times New Roman" w:eastAsia="SimSun" w:hAnsi="Times New Roman" w:cs="Times New Roman"/>
          <w:sz w:val="24"/>
          <w:lang w:val="en-GB"/>
        </w:rPr>
        <w:t xml:space="preserve"> nm, similar to the thickness of GO sheet in previous research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"10.3144/expresspolymlett.2012.107", "ISBN" : "1788-618X", "ISSN" : "1788618X", "PMID" : "20473982", "abstract" : "Dispersion of nanomaterials in polymeric matrices plays an important role in determining the final properties of the composites. Dispersion in nano scale, and especially in single layers, provides best opportunity for bonding. In this study, we propose that by proper functionalization and mixing strategy of graphene its dispersion, and bonding to the polymeric matrix can be improved. We then apply this strategy to graphene-epoxy system by amino functionalization of graphene oxide (GO). The process included two phase extraction, and resulted in better dispersion and higher loading of graphene in epoxy matrix. Rheological evaluation of different graphene-epoxy dispersions showed a rheological percolation threshold of 0.2 vol% which is an indication of highly dispersed nanosheets. Observation of the samples by optical microscopy, scanning electron microscopy (SEM), and atomic force microscopy (AFM), showed dispersion homogeneity of the sheets at micro and nano scales. Study of graphene-epoxy composites showed good bonding between graphene and epoxy. Mechanical properties of the samples were consistent with theoretical predictions for ideal composites indicating molecular level dispersion and good bonding between nanosheets and epoxy matrix.", "author" : [ { "dropping-particle" : "", "family" : "Gudarzi", "given" : "M. Moazzami", "non-dropping-particle" : "", "parse-names" : false, "suffix" : "" }, { "dropping-particle" : "", "family" : "Sharif", "given" : "F.", "non-dropping-particle" : "", "parse-names" : false, "suffix" : "" } ], "container-title" : "Express Polymer Letters", "id" : "ITEM-1", "issue" : "12", "issued" : { "date-parts" : [ [ "2012" ] ] }, "page" : "1017-1031", "title" : "Enhancement of dispersion and bonding of graphene-polymer through wet transfer of functionalized graphene oxide", "type" : "article-journal", "volume" : "6" }, "uris" : [ "http://www.mendeley.com/documents/?uuid=57f6c8df-1ce7-427c-883e-438e0d493f09" ] } ], "mendeley" : { "formattedCitation" : "[48]", "plainTextFormattedCitation" : "[48]", "previouslyFormattedCitation" : "[48]"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[48]</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w:t>
      </w:r>
      <w:r w:rsidR="005D75EA">
        <w:rPr>
          <w:rFonts w:ascii="Times New Roman" w:eastAsia="SimSun" w:hAnsi="Times New Roman" w:cs="Times New Roman"/>
          <w:sz w:val="24"/>
          <w:lang w:val="en-GB"/>
        </w:rPr>
        <w:t>Moreover, the particle size o</w:t>
      </w:r>
      <w:r w:rsidR="005B21AE">
        <w:rPr>
          <w:rFonts w:ascii="Times New Roman" w:eastAsia="SimSun" w:hAnsi="Times New Roman" w:cs="Times New Roman"/>
          <w:sz w:val="24"/>
          <w:lang w:val="en-GB"/>
        </w:rPr>
        <w:t>btained from AFM is from 0.</w:t>
      </w:r>
      <w:r w:rsidR="005B21AE">
        <w:rPr>
          <w:rFonts w:ascii="Times New Roman" w:eastAsia="SimSun" w:hAnsi="Times New Roman" w:cs="Times New Roman" w:hint="eastAsia"/>
          <w:sz w:val="24"/>
          <w:lang w:val="en-GB"/>
        </w:rPr>
        <w:t>43</w:t>
      </w:r>
      <w:r w:rsidR="005B21AE">
        <w:rPr>
          <w:rFonts w:ascii="Times New Roman" w:eastAsia="SimSun" w:hAnsi="Times New Roman" w:cs="Times New Roman"/>
          <w:sz w:val="24"/>
          <w:lang w:val="en-GB"/>
        </w:rPr>
        <w:t xml:space="preserve"> μm to 0.</w:t>
      </w:r>
      <w:r w:rsidR="005B21AE">
        <w:rPr>
          <w:rFonts w:ascii="Times New Roman" w:eastAsia="SimSun" w:hAnsi="Times New Roman" w:cs="Times New Roman" w:hint="eastAsia"/>
          <w:sz w:val="24"/>
          <w:lang w:val="en-GB"/>
        </w:rPr>
        <w:t>89</w:t>
      </w:r>
      <w:r w:rsidR="005D75EA">
        <w:rPr>
          <w:rFonts w:ascii="Times New Roman" w:eastAsia="SimSun" w:hAnsi="Times New Roman" w:cs="Times New Roman"/>
          <w:sz w:val="24"/>
          <w:lang w:val="en-GB"/>
        </w:rPr>
        <w:t xml:space="preserve"> μ</w:t>
      </w:r>
      <w:r w:rsidR="005B21AE">
        <w:rPr>
          <w:rFonts w:ascii="Times New Roman" w:eastAsia="SimSun" w:hAnsi="Times New Roman" w:cs="Times New Roman"/>
          <w:sz w:val="24"/>
          <w:lang w:val="en-GB"/>
        </w:rPr>
        <w:t>m, with an average value of 0.</w:t>
      </w:r>
      <w:r w:rsidR="005B21AE">
        <w:rPr>
          <w:rFonts w:ascii="Times New Roman" w:eastAsia="SimSun" w:hAnsi="Times New Roman" w:cs="Times New Roman" w:hint="eastAsia"/>
          <w:sz w:val="24"/>
          <w:lang w:val="en-GB"/>
        </w:rPr>
        <w:t>66</w:t>
      </w:r>
      <w:r w:rsidR="005B21AE">
        <w:rPr>
          <w:rFonts w:ascii="Times New Roman" w:eastAsia="SimSun" w:hAnsi="Times New Roman" w:cs="Times New Roman"/>
          <w:sz w:val="24"/>
          <w:lang w:val="en-GB"/>
        </w:rPr>
        <w:t xml:space="preserve"> </w:t>
      </w:r>
      <w:r w:rsidR="005D75EA">
        <w:rPr>
          <w:rFonts w:ascii="Times New Roman" w:eastAsia="SimSun" w:hAnsi="Times New Roman" w:cs="Times New Roman"/>
          <w:sz w:val="24"/>
          <w:lang w:val="en-GB"/>
        </w:rPr>
        <w:t xml:space="preserve">μm. </w:t>
      </w:r>
      <w:r w:rsidRPr="00D003E1">
        <w:rPr>
          <w:rFonts w:ascii="Times New Roman" w:eastAsia="SimSun" w:hAnsi="Times New Roman" w:cs="Times New Roman"/>
          <w:sz w:val="24"/>
          <w:lang w:val="en-GB"/>
        </w:rPr>
        <w:t xml:space="preserve">This implies that GO produced by modified </w:t>
      </w:r>
      <w:r w:rsidR="0033210F">
        <w:rPr>
          <w:rFonts w:ascii="Times New Roman" w:eastAsia="SimSun" w:hAnsi="Times New Roman" w:cs="Times New Roman"/>
          <w:sz w:val="24"/>
          <w:lang w:val="en-GB"/>
        </w:rPr>
        <w:t>Hummers</w:t>
      </w:r>
      <w:r w:rsidRPr="00D003E1">
        <w:rPr>
          <w:rFonts w:ascii="Times New Roman" w:eastAsia="SimSun" w:hAnsi="Times New Roman" w:cs="Times New Roman"/>
          <w:sz w:val="24"/>
          <w:lang w:val="en-GB"/>
        </w:rPr>
        <w:t xml:space="preserve"> method could be exfoliated into individual layers in aqueous media via mild agitation with sonication treatment. Compared with the average thickness of single graphene sheet around 0.3</w:t>
      </w:r>
      <w:r w:rsidRPr="00D003E1">
        <w:rPr>
          <w:rFonts w:ascii="Times New Roman" w:eastAsia="SimSun" w:hAnsi="Times New Roman" w:cs="Times New Roman" w:hint="eastAsia"/>
          <w:sz w:val="24"/>
          <w:lang w:val="en-GB"/>
        </w:rPr>
        <w:t>4</w:t>
      </w:r>
      <w:r w:rsidRPr="00D003E1">
        <w:rPr>
          <w:rFonts w:ascii="Times New Roman" w:eastAsia="SimSun" w:hAnsi="Times New Roman" w:cs="Times New Roman"/>
          <w:sz w:val="24"/>
          <w:lang w:val="en-GB"/>
        </w:rPr>
        <w:t xml:space="preserve"> nm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"ITEM-1", "issue" : "7", "issued" : { "date-parts" : [ [ "2007" ] ] }, "page" : "1558-1565", "title" : "Synthesis of graphene-based nanosheets via chemical reduction of exfoliated graphite oxide", "type" : "article-journal", "volume" : "45" }, "uris" : [ "http://www.mendeley.com/documents/?uuid=7d96f1a7-d047-463c-8a60-e43142ea0559" ] } ], "mendeley" : { "formattedCitation" : "[34]", "plainTextFormattedCitation" : "[34]", "previouslyFormattedCitation" : "[34]"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[34]</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GO represented a thicker layer due to the extension between layers caused by the functional groups such as epoxy rings, COOH, C=O, and OH. Besides, the displacement of sp</w:t>
      </w:r>
      <w:r w:rsidRPr="00D003E1">
        <w:rPr>
          <w:rFonts w:ascii="Times New Roman" w:eastAsia="SimSun" w:hAnsi="Times New Roman" w:cs="Times New Roman"/>
          <w:sz w:val="24"/>
          <w:vertAlign w:val="superscript"/>
          <w:lang w:val="en-GB"/>
        </w:rPr>
        <w:t>3</w:t>
      </w:r>
      <w:r w:rsidRPr="00D003E1">
        <w:rPr>
          <w:rFonts w:ascii="Times New Roman" w:eastAsia="SimSun" w:hAnsi="Times New Roman" w:cs="Times New Roman"/>
          <w:sz w:val="24"/>
          <w:lang w:val="en-GB"/>
        </w:rPr>
        <w:t xml:space="preserve">-hybridized carbon atoms slightly above and below the original graphene plane is another reason for the widened inter layer space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"10.1002/smll.200901934", "ISBN" : "1613-6829", "ISSN" : "16136810", "PMID" : "20225186", "abstract" : "Isolated graphene, a nanometer-thick two-dimensional analog of fullerenes and carbon nanotubes, has recently sparked great excitement in the scientific community given its excellent mechanical and electronic properties. Particularly attractive is the availability of bulk quantities of graphene as both colloidal dispersions and powders, which enables the facile fabrication of many carbon-based materials. The fact that such large amounts of graphene are most easily produced via the reduction of graphene oxide--oxygenated graphene sheets covered with epoxy, hydroxyl, and carboxyl groups--offers tremendous opportunities for access to functionalized graphene-based materials. Both graphene oxide and graphene can be processed into a wide variety of novel materials with distinctly different morphological features, where the carbonaceous nanosheets can serve as either the sole component, as in papers and thin films, or as fillers in polymer and/or inorganic nanocomposites. This Review summarizes techniques for preparing such advanced materials via stable graphene oxide, highly reduced graphene oxide, and graphene dispersions in aqueous and organic media. The excellent mechanical and electronic properties of the resulting materials are highlighted with a forward outlook on their applications.", "author" : [ { "dropping-particle" : "", "family" : "Compton", "given" : "Owen C.", "non-dropping-particle" : "", "parse-names" : false, "suffix" : "" }, { "dropping-particle" : "", "family" : "Nguyen", "given" : "Sonbinh T.", "non-dropping-particle" : "", "parse-names" : false, "suffix" : "" } ], "container-title" : "Small", "id" : "ITEM-1", "issue" : "6", "issued" : { "date-parts" : [ [ "2010" ] ] }, "page" : "711-723", "title" : "Graphene oxide, highly reduced graphene oxide, and graphene: Versatile building blocks for carbon-based materials", "type" : "article-journal", "volume" : "6" }, "uris" : [ "http://www.mendeley.com/documents/?uuid=90e9afa4-4b34-4e67-8977-31ce6b3dfab0" ] }, { "id" : "ITEM-2", "itemData" : { "DOI" : "10.1021/nn1006368", "ISBN" : "1936-0851", "ISSN" : "1936-086X", "PMID" : "20731455", "abstract" : "An improved method for the preparation of graphene oxide (GO) is described. Currently, Hummers' method (KMnO(4), NaNO(3), H(2)SO(4)) is the most common method used for preparing graphene oxide. We have found that excluding the NaNO(3), increasing the amount of KMnO(4), and performing the reaction in a 9:1 mixture of H(2)SO(4)/H(3)PO(4) improves the efficiency of the oxidation process. This improved method provides a greater amount of hydrophilic oxidized graphene material as compared to Hummers' method or Hummers' method with additional KMnO(4). Moreover, even though the GO produced by our method is more oxidized than that prepared by Hummers' method, when both are reduced in the same chamber with hydrazine, chemically converted graphene (CCG) produced from this new method is equivalent in its electrical conductivity. In contrast to Hummers' method, the new method does not generate toxic gas and the temperature is easily controlled. This improved synthesis of GO may be important for large-scale production of GO as well as the construction of devices composed of the subsequent CCG.", "author" : [ { "dropping-particle" : "", "family" : "Marcano", "given" : "D.C C", "non-dropping-particle" : "", "parse-names" : false, "suffix" : "" }, { "dropping-particle" : "V", "family" : "Kosynkin", "given" : "D.V", "non-dropping-particle" : "", "parse-names" : false, "suffix" : "" }, { "dropping-particle" : "", "family" : "Berlin", "given" : "J M", "non-dropping-particle" : "", "parse-names" : false, "suffix" : "" }, { "dropping-particle" : "", "family" : "Sinitskii", "given" : "A", "non-dropping-particle" : "", "parse-names" : false, "suffix" : "" }, { "dropping-particle" : "", "family" : "Sun", "given" : "Z Z", "non-dropping-particle" : "", "parse-names" : false, "suffix" : "" }, { "dropping-particle" : "", "family" : "Slesarev", "given" : "A", "non-dropping-particle" : "", "parse-names" : false, "suffix" : "" }, { "dropping-particle" : "", "family" : "Alemany", "given" : "L B", "non-dropping-particle" : "", "parse-names" : false, "suffix" : "" }, { "dropping-particle" : "", "family" : "Lu", "given" : "W", "non-dropping-particle" : "", "parse-names" : false, "suffix" : "" }, { "dropping-particle" : "", "family" : "Tour", "given" : "J M", "non-dropping-particle" : "", "parse-names" : false, "suffix" : "" } ], "container-title" : "Acs Nano", "id" : "ITEM-2", "issue" : "8", "issued" : { "date-parts" : [ [ "2010" ] ] }, "page" : "4806-4814", "title" : "Improved Synthesis of Graphene Oxide", "type" : "article-journal", "volume" : "4" }, "uris" : [ "http://www.mendeley.com/documents/?uuid=4f16782a-e319-4d22-9e19-b5d5c5c6517e" ] } ], "mendeley" : { "formattedCitation" : "[22,157]", "plainTextFormattedCitation" : "[22,157]", "previouslyFormattedCitation" : "[22,157]"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[22,157]</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w:t>
      </w:r>
    </w:p>
    <w:p w14:paraId="695A29D5" w14:textId="0E5F9969" w:rsidR="00D003E1" w:rsidRPr="00D003E1" w:rsidRDefault="00D003E1" w:rsidP="00D003E1">
      <w:pPr>
        <w:spacing w:after="0" w:line="480" w:lineRule="auto"/>
        <w:ind w:firstLine="360"/>
        <w:jc w:val="both"/>
        <w:rPr>
          <w:rFonts w:ascii="Times New Roman" w:eastAsia="SimSun" w:hAnsi="Times New Roman" w:cs="Times New Roman"/>
          <w:noProof/>
          <w:sz w:val="24"/>
          <w:lang w:val="en-GB"/>
        </w:rPr>
      </w:pPr>
      <w:r w:rsidRPr="00D003E1">
        <w:rPr>
          <w:rFonts w:ascii="Times New Roman" w:eastAsia="SimSun" w:hAnsi="Times New Roman" w:cs="Times New Roman"/>
          <w:noProof/>
          <w:sz w:val="24"/>
          <w:lang w:val="en-GB"/>
        </w:rPr>
        <w:t xml:space="preserve">The chemical structure of GO was investigated by FTIR </w:t>
      </w:r>
      <w:r w:rsidR="000B2036">
        <w:rPr>
          <w:rFonts w:ascii="Times New Roman" w:eastAsia="SimSun" w:hAnsi="Times New Roman" w:cs="Times New Roman"/>
          <w:noProof/>
          <w:sz w:val="24"/>
          <w:lang w:val="en-GB"/>
        </w:rPr>
        <w:t>analysis, as shown in Figure 3</w:t>
      </w:r>
      <w:r w:rsidRPr="00D003E1">
        <w:rPr>
          <w:rFonts w:ascii="Times New Roman" w:eastAsia="SimSun" w:hAnsi="Times New Roman" w:cs="Times New Roman"/>
          <w:noProof/>
          <w:sz w:val="24"/>
          <w:lang w:val="en-GB"/>
        </w:rPr>
        <w:t>.1</w:t>
      </w:r>
      <w:r w:rsidRPr="00D003E1">
        <w:rPr>
          <w:rFonts w:ascii="Times New Roman" w:eastAsia="SimSun" w:hAnsi="Times New Roman" w:cs="Times New Roman" w:hint="eastAsia"/>
          <w:noProof/>
          <w:sz w:val="24"/>
          <w:lang w:val="en-GB"/>
        </w:rPr>
        <w:t>(c)</w:t>
      </w:r>
      <w:r w:rsidRPr="00D003E1">
        <w:rPr>
          <w:rFonts w:ascii="Times New Roman" w:eastAsia="SimSun" w:hAnsi="Times New Roman" w:cs="Times New Roman"/>
          <w:noProof/>
          <w:sz w:val="24"/>
          <w:lang w:val="en-GB"/>
        </w:rPr>
        <w:t>.</w:t>
      </w:r>
      <w:r w:rsidRPr="00D003E1">
        <w:rPr>
          <w:rFonts w:ascii="Times New Roman" w:eastAsia="SimSun" w:hAnsi="Times New Roman" w:cs="Times New Roman" w:hint="eastAsia"/>
          <w:noProof/>
          <w:sz w:val="24"/>
          <w:lang w:val="en-GB"/>
        </w:rPr>
        <w:t xml:space="preserve"> </w:t>
      </w:r>
      <w:r w:rsidRPr="00D003E1">
        <w:rPr>
          <w:rFonts w:ascii="Times New Roman" w:eastAsia="SimSun" w:hAnsi="Times New Roman" w:cs="Times New Roman"/>
          <w:noProof/>
          <w:sz w:val="24"/>
          <w:lang w:val="en-GB"/>
        </w:rPr>
        <w:t>Characteristic peaks at 3240 cm</w:t>
      </w:r>
      <w:r w:rsidRPr="00D003E1">
        <w:rPr>
          <w:rFonts w:ascii="Times New Roman" w:eastAsia="SimSun" w:hAnsi="Times New Roman" w:cs="Times New Roman"/>
          <w:noProof/>
          <w:sz w:val="24"/>
          <w:vertAlign w:val="superscript"/>
          <w:lang w:val="en-GB"/>
        </w:rPr>
        <w:t>-1</w:t>
      </w:r>
      <w:r w:rsidRPr="00D003E1">
        <w:rPr>
          <w:rFonts w:ascii="Times New Roman" w:eastAsia="SimSun" w:hAnsi="Times New Roman" w:cs="Times New Roman"/>
          <w:noProof/>
          <w:sz w:val="24"/>
          <w:lang w:val="en-GB"/>
        </w:rPr>
        <w:t>, 1734 cm</w:t>
      </w:r>
      <w:r w:rsidRPr="00D003E1">
        <w:rPr>
          <w:rFonts w:ascii="Times New Roman" w:eastAsia="SimSun" w:hAnsi="Times New Roman" w:cs="Times New Roman"/>
          <w:noProof/>
          <w:sz w:val="24"/>
          <w:vertAlign w:val="superscript"/>
          <w:lang w:val="en-GB"/>
        </w:rPr>
        <w:t>-1</w:t>
      </w:r>
      <w:r w:rsidRPr="00D003E1">
        <w:rPr>
          <w:rFonts w:ascii="Times New Roman" w:eastAsia="SimSun" w:hAnsi="Times New Roman" w:cs="Times New Roman"/>
          <w:noProof/>
          <w:sz w:val="24"/>
          <w:lang w:val="en-GB"/>
        </w:rPr>
        <w:t>, and 1618 cm</w:t>
      </w:r>
      <w:r w:rsidRPr="00D003E1">
        <w:rPr>
          <w:rFonts w:ascii="Times New Roman" w:eastAsia="SimSun" w:hAnsi="Times New Roman" w:cs="Times New Roman"/>
          <w:noProof/>
          <w:sz w:val="24"/>
          <w:vertAlign w:val="superscript"/>
          <w:lang w:val="en-GB"/>
        </w:rPr>
        <w:t>-1</w:t>
      </w:r>
      <w:r w:rsidRPr="00D003E1">
        <w:rPr>
          <w:rFonts w:ascii="Times New Roman" w:eastAsia="SimSun" w:hAnsi="Times New Roman" w:cs="Times New Roman"/>
          <w:noProof/>
          <w:sz w:val="24"/>
          <w:lang w:val="en-GB"/>
        </w:rPr>
        <w:t xml:space="preserve"> are assigned to O-H, C=O, and C=C stretching vibrations, respectively </w:t>
      </w:r>
      <w:r w:rsidRPr="00D003E1">
        <w:rPr>
          <w:rFonts w:ascii="Times New Roman" w:eastAsia="SimSun" w:hAnsi="Times New Roman" w:cs="Times New Roman"/>
          <w:noProof/>
          <w:sz w:val="24"/>
          <w:lang w:val="en-GB"/>
        </w:rPr>
        <w:fldChar w:fldCharType="begin" w:fldLock="1"/>
      </w:r>
      <w:r w:rsidR="00D14688">
        <w:rPr>
          <w:rFonts w:ascii="Times New Roman" w:eastAsia="SimSun" w:hAnsi="Times New Roman" w:cs="Times New Roman"/>
          <w:noProof/>
          <w:sz w:val="24"/>
          <w:lang w:val="en-GB"/>
        </w:rPr>
        <w:instrText>ADDIN CSL_CITATION { "citationItems" : [ { "id" : "ITEM-1", "itemData" : { "DOI" : "10.1002/app.39068", "ISSN" : "00218995", "abstract" : "Graphene oxide (GO) has attracted huge scientific interest due to its unique physical and chemical properties as well as its wide-scale applicability including facile synthesis and high yield. Here, we report preparation of nanocomposites based on GO and unsaturated polyester resin (PE). The synthesized samples were characterized by Fourier transform infrared spectroscopy, X-ray diffraction, scanning electron microscopy, thermogravimetric analysis, and tensile strength measurements. A good dispersion of the GO sheets within the resin matrix was observed from the morphological analysis. A significant enhancement in mechanical properties of the PE/GO composites is obtained at low graphene loading. Around 76% improvement of tensile strength and 41% increase of Young's modulus of the composites are achieved at 3 wt % loading of GO. Thermal analysis of the composite showed a noticeable improvement in thermal stability in comparison to neat PE. Copyright \u00a9 2013 Wiley Periodicals, Inc.", "author" : [ { "dropping-particle" : "", "family" : "Bora", "given" : "Chandramika", "non-dropping-particle" : "", "parse-names" : false, "suffix" : "" }, { "dropping-particle" : "", "family" : "Gogoi", "given" : "Pronob", "non-dropping-particle" : "", "parse-names" : false, "suffix" : "" }, { "dropping-particle" : "", "family" : "Baglari", "given" : "Silpi", "non-dropping-particle" : "", "parse-names" : false, "suffix" : "" }, { "dropping-particle" : "", "family" : "Dolui", "given" : "Swapan K.", "non-dropping-particle" : "", "parse-names" : false, "suffix" : "" } ], "container-title" : "Applied Polymer Science", "id" : "ITEM-1", "issue" : "6", "issued" : { "date-parts" : [ [ "2013" ] ] }, "page" : "3432-3438", "title" : "Preparation of polyester resin/graphene oxide nanocomposite with improved mechanical strength", "type" : "article-journal", "volume" : "10" }, "uris" : [ "http://www.mendeley.com/documents/?uuid=6219ff23-f6d1-449e-becd-bd0afc5dc85f" ] }, { "id" : "ITEM-2", "itemData" : { "DOI" : "10.1021/ma300450t", "ISBN" : "0024-9297", "ISSN" : "00249297", "abstract" : "Many reported polymer/graphene composites, even some with excellent graphene dispersion, do not possess impressive conductivity, which may be due to the failure in forming interconnected conductive paths. In this work, a kind of bio-based polyester (BE) is synthesized by polycondensation between plant-derived diols and diacids. It is then grafted onto graphene oxide (GO) via the easterification between hydroxyls of BE and carboxyls of GO. Subsequently, the grafted GO is subjected to reduce by vitamin C. Because of the presence of terminal hydroxyl group in both ends of the BE chains and multiple carboxyl groups on GO, the grafts form specific spatial interconnection structure in BE matrix. The resulting BE/graphene composites possess impressive low threshold percolation of electrical conductivity, in combination of high thermal conductivity.", "author" : [ { "dropping-particle" : "", "family" : "Tang", "given" : "Zhenghai", "non-dropping-particle" : "", "parse-names" : false, "suffix" : "" }, { "dropping-particle" : "", "family" : "Kang", "given" : "Hailan", "non-dropping-particle" : "", "parse-names" : false, "suffix" : "" }, { "dropping-particle" : "", "family" : "Shen", "given" : "Zuoli", "non-dropping-particle" : "", "parse-names" : false, "suffix" : "" }, { "dropping-particle" : "", "family" : "Guo", "given" : "Baochun", "non-dropping-particle" : "", "parse-names" : false, "suffix" : "" }, { "dropping-particle" : "", "family" : "Zhang", "given" : "Liqun", "non-dropping-particle" : "", "parse-names" : false, "suffix" : "" }, { "dropping-particle" : "", "family" : "Jia", "given" : "Demin", "non-dropping-particle" : "", "parse-names" : false, "suffix" : "" } ], "container-title" : "Macromolecules", "id" : "ITEM-2", "issue" : "8", "issued" : { "date-parts" : [ [ "2012" ] ] }, "page" : "3444-3451", "title" : "Grafting of polyester onto graphene for electrically and thermally conductive composites", "type" : "article-journal", "volume" : "45" }, "uris" : [ "http://www.mendeley.com/documents/?uuid=e5b51829-2d98-4663-bd4e-b13906c6e80c" ] } ], "mendeley" : { "formattedCitation" : "[141,156]", "plainTextFormattedCitation" : "[141,156]", "previouslyFormattedCitation" : "[141,156]" }, "properties" : {  }, "schema" : "https://github.com/citation-style-language/schema/raw/master/csl-citation.json" }</w:instrText>
      </w:r>
      <w:r w:rsidRPr="00D003E1">
        <w:rPr>
          <w:rFonts w:ascii="Times New Roman" w:eastAsia="SimSun" w:hAnsi="Times New Roman" w:cs="Times New Roman"/>
          <w:noProof/>
          <w:sz w:val="24"/>
          <w:lang w:val="en-GB"/>
        </w:rPr>
        <w:fldChar w:fldCharType="separate"/>
      </w:r>
      <w:r w:rsidR="00D973A8" w:rsidRPr="00D973A8">
        <w:rPr>
          <w:rFonts w:ascii="Times New Roman" w:eastAsia="SimSun" w:hAnsi="Times New Roman" w:cs="Times New Roman"/>
          <w:noProof/>
          <w:sz w:val="24"/>
          <w:lang w:val="en-GB"/>
        </w:rPr>
        <w:t>[141,156]</w:t>
      </w:r>
      <w:r w:rsidRPr="00D003E1">
        <w:rPr>
          <w:rFonts w:ascii="Times New Roman" w:eastAsia="SimSun" w:hAnsi="Times New Roman" w:cs="Times New Roman"/>
          <w:noProof/>
          <w:sz w:val="24"/>
          <w:lang w:val="en-GB"/>
        </w:rPr>
        <w:fldChar w:fldCharType="end"/>
      </w:r>
      <w:r w:rsidRPr="00D003E1">
        <w:rPr>
          <w:rFonts w:ascii="Times New Roman" w:eastAsia="SimSun" w:hAnsi="Times New Roman" w:cs="Times New Roman"/>
          <w:noProof/>
          <w:sz w:val="24"/>
          <w:lang w:val="en-GB"/>
        </w:rPr>
        <w:t>. The peak at 1074 cm</w:t>
      </w:r>
      <w:r w:rsidRPr="00D003E1">
        <w:rPr>
          <w:rFonts w:ascii="Times New Roman" w:eastAsia="SimSun" w:hAnsi="Times New Roman" w:cs="Times New Roman"/>
          <w:noProof/>
          <w:sz w:val="24"/>
          <w:vertAlign w:val="superscript"/>
          <w:lang w:val="en-GB"/>
        </w:rPr>
        <w:t>-1</w:t>
      </w:r>
      <w:r w:rsidRPr="00D003E1">
        <w:rPr>
          <w:rFonts w:ascii="Times New Roman" w:eastAsia="SimSun" w:hAnsi="Times New Roman" w:cs="Times New Roman"/>
          <w:noProof/>
          <w:sz w:val="24"/>
          <w:lang w:val="en-GB"/>
        </w:rPr>
        <w:t xml:space="preserve"> is attributed to C-O stretching vibration, which confirmed the presence of epoxy groups on GO sheets </w:t>
      </w:r>
      <w:r w:rsidRPr="00D003E1">
        <w:rPr>
          <w:rFonts w:ascii="Times New Roman" w:eastAsia="SimSun" w:hAnsi="Times New Roman" w:cs="Times New Roman"/>
          <w:noProof/>
          <w:sz w:val="24"/>
          <w:lang w:val="en-GB"/>
        </w:rPr>
        <w:fldChar w:fldCharType="begin" w:fldLock="1"/>
      </w:r>
      <w:r w:rsidR="00D14688">
        <w:rPr>
          <w:rFonts w:ascii="Times New Roman" w:eastAsia="SimSun" w:hAnsi="Times New Roman" w:cs="Times New Roman"/>
          <w:noProof/>
          <w:sz w:val="24"/>
          <w:lang w:val="en-GB"/>
        </w:rPr>
        <w:instrText>ADDIN CSL_CITATION { "citationItems" : [ { "id" : "ITEM-1", "itemData" : { "DOI" : "10.1039/c3ra42549e", "ISSN" : "2046-2069", "author" : [ { "dropping-particle" : "", "family" : "Liu", "given" : "Chengguo", "non-dropping-particle" : "", "parse-names" : false, "suffix" : "" }, { "dropping-particle" : "", "family" : "Wang", "given" : "Zhimin", "non-dropping-particle" : "", "parse-names" : false, "suffix" : "" }, { "dropping-particle" : "", "family" : "Huang", "given" : "Yu'an", "non-dropping-particle" : "", "parse-names" : false, "suffix" : "" }, { "dropping-particle" : "", "family" : "Xie", "given" : "Hongfeng", "non-dropping-particle" : "", "parse-names" : false, "suffix" : "" }, { "dropping-particle" : "", "family" : "Liu", "given" : "Zengshe", "non-dropping-particle" : "", "parse-names" : false, "suffix" : "" }, { "dropping-particle" : "", "family" : "Chen", "given" : "Ying", "non-dropping-particle" : "", "parse-names" : false, "suffix" : "" }, { "dropping-particle" : "", "family" : "Lei", "given" : "Wen", "non-dropping-particle" : "", "parse-names" : false, "suffix" : "" }, { "dropping-particle" : "", "family" : "Hu", "given" : "Lihong", "non-dropping-particle" : "", "parse-names" : false, "suffix" : "" }, { "dropping-particle" : "", "family" : "Zhou", "given" : "Yonghong", "non-dropping-particle" : "", "parse-names" : false, "suffix" : "" }, { "dropping-particle" : "", "family" : "Cheng", "given" : "Rongshi", "non-dropping-particle" : "", "parse-names" : false, "suffix" : "" } ], "container-title" : "RSC Advances", "id" : "ITEM-1", "issue" : "44", "issued" : { "date-parts" : [ [ "2013" ] ] }, "page" : "22380-22388", "title" : "One-pot preparation of unsaturated polyester nanocomposites containing functionalized graphene sheets via a novel solvent-exchange method", "type" : "article-journal", "volume" : "3" }, "uris" : [ "http://www.mendeley.com/documents/?uuid=a9c4a11a-bdcf-4188-8248-6c506c3c8ce8" ] } ], "mendeley" : { "formattedCitation" : "[155]", "plainTextFormattedCitation" : "[155]", "previouslyFormattedCitation" : "[155]" }, "properties" : {  }, "schema" : "https://github.com/citation-style-language/schema/raw/master/csl-citation.json" }</w:instrText>
      </w:r>
      <w:r w:rsidRPr="00D003E1">
        <w:rPr>
          <w:rFonts w:ascii="Times New Roman" w:eastAsia="SimSun" w:hAnsi="Times New Roman" w:cs="Times New Roman"/>
          <w:noProof/>
          <w:sz w:val="24"/>
          <w:lang w:val="en-GB"/>
        </w:rPr>
        <w:fldChar w:fldCharType="separate"/>
      </w:r>
      <w:r w:rsidR="00D973A8" w:rsidRPr="00D973A8">
        <w:rPr>
          <w:rFonts w:ascii="Times New Roman" w:eastAsia="SimSun" w:hAnsi="Times New Roman" w:cs="Times New Roman"/>
          <w:noProof/>
          <w:sz w:val="24"/>
          <w:lang w:val="en-GB"/>
        </w:rPr>
        <w:t>[155]</w:t>
      </w:r>
      <w:r w:rsidRPr="00D003E1">
        <w:rPr>
          <w:rFonts w:ascii="Times New Roman" w:eastAsia="SimSun" w:hAnsi="Times New Roman" w:cs="Times New Roman"/>
          <w:noProof/>
          <w:sz w:val="24"/>
          <w:lang w:val="en-GB"/>
        </w:rPr>
        <w:fldChar w:fldCharType="end"/>
      </w:r>
      <w:r w:rsidRPr="00D003E1">
        <w:rPr>
          <w:rFonts w:ascii="Times New Roman" w:eastAsia="SimSun" w:hAnsi="Times New Roman" w:cs="Times New Roman"/>
          <w:noProof/>
          <w:sz w:val="24"/>
          <w:lang w:val="en-GB"/>
        </w:rPr>
        <w:t>. This indicates that oxygenated functional groups have been successfully introduced onto graphite by modified Hummers method.</w:t>
      </w:r>
      <w:r w:rsidRPr="00D003E1">
        <w:rPr>
          <w:rFonts w:ascii="Times New Roman" w:eastAsia="SimSun" w:hAnsi="Times New Roman" w:cs="Times New Roman"/>
          <w:sz w:val="24"/>
          <w:lang w:val="en-GB"/>
        </w:rPr>
        <w:t xml:space="preserve"> Both FTIR </w:t>
      </w:r>
      <w:r w:rsidRPr="00D003E1">
        <w:rPr>
          <w:rFonts w:ascii="Times New Roman" w:eastAsia="SimSun" w:hAnsi="Times New Roman" w:cs="Times New Roman" w:hint="eastAsia"/>
          <w:sz w:val="24"/>
          <w:lang w:val="en-GB"/>
        </w:rPr>
        <w:t xml:space="preserve">and AMF </w:t>
      </w:r>
      <w:r w:rsidRPr="00D003E1">
        <w:rPr>
          <w:rFonts w:ascii="Times New Roman" w:eastAsia="SimSun" w:hAnsi="Times New Roman" w:cs="Times New Roman"/>
          <w:sz w:val="24"/>
          <w:lang w:val="en-GB"/>
        </w:rPr>
        <w:t>verify</w:t>
      </w:r>
      <w:r w:rsidRPr="00D003E1">
        <w:rPr>
          <w:rFonts w:ascii="Times New Roman" w:eastAsia="SimSun" w:hAnsi="Times New Roman" w:cs="Times New Roman" w:hint="eastAsia"/>
          <w:sz w:val="24"/>
          <w:lang w:val="en-GB"/>
        </w:rPr>
        <w:t xml:space="preserve"> that GO has been successfully oxidized and exfoliated into single layers by </w:t>
      </w:r>
      <w:r w:rsidRPr="00D003E1">
        <w:rPr>
          <w:rFonts w:ascii="Times New Roman" w:eastAsia="SimSun" w:hAnsi="Times New Roman" w:cs="Times New Roman"/>
          <w:sz w:val="24"/>
          <w:lang w:val="en-GB"/>
        </w:rPr>
        <w:t>modified Hummers</w:t>
      </w:r>
      <w:r w:rsidRPr="00D003E1">
        <w:rPr>
          <w:rFonts w:ascii="Times New Roman" w:eastAsia="SimSun" w:hAnsi="Times New Roman" w:cs="Times New Roman" w:hint="eastAsia"/>
          <w:sz w:val="24"/>
          <w:lang w:val="en-GB"/>
        </w:rPr>
        <w:t xml:space="preserve"> method with mild sonication treatment.</w:t>
      </w:r>
    </w:p>
    <w:p w14:paraId="4303B1C9" w14:textId="57318474" w:rsidR="00D003E1" w:rsidRPr="00D003E1" w:rsidRDefault="005D75EA" w:rsidP="00D003E1">
      <w:pPr>
        <w:spacing w:after="0" w:line="480" w:lineRule="auto"/>
        <w:ind w:firstLine="284"/>
        <w:jc w:val="center"/>
        <w:rPr>
          <w:rFonts w:ascii="Times New Roman" w:eastAsia="SimSun" w:hAnsi="Times New Roman" w:cs="Times New Roman"/>
          <w:sz w:val="24"/>
          <w:lang w:val="en-GB"/>
        </w:rPr>
      </w:pPr>
      <w:r>
        <w:rPr>
          <w:rFonts w:ascii="Times New Roman" w:eastAsia="SimSun" w:hAnsi="Times New Roman" w:cs="Times New Roman"/>
          <w:noProof/>
          <w:sz w:val="24"/>
          <w:lang w:val="en-GB"/>
        </w:rPr>
        <w:drawing>
          <wp:inline distT="0" distB="0" distL="0" distR="0" wp14:anchorId="503F1FAF" wp14:editId="114A8668">
            <wp:extent cx="5728437" cy="3404367"/>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4341" cy="3413818"/>
                    </a:xfrm>
                    <a:prstGeom prst="rect">
                      <a:avLst/>
                    </a:prstGeom>
                    <a:noFill/>
                  </pic:spPr>
                </pic:pic>
              </a:graphicData>
            </a:graphic>
          </wp:inline>
        </w:drawing>
      </w:r>
    </w:p>
    <w:p w14:paraId="7FC84AF3" w14:textId="29B2F854" w:rsidR="00D003E1" w:rsidRPr="00D003E1" w:rsidRDefault="000B2036" w:rsidP="0005778C">
      <w:pPr>
        <w:pStyle w:val="Caption"/>
        <w:jc w:val="center"/>
        <w:rPr>
          <w:rFonts w:eastAsia="SimSun" w:cs="Times New Roman"/>
          <w:bCs/>
          <w:lang w:val="en-GB"/>
        </w:rPr>
      </w:pPr>
      <w:bookmarkStart w:id="80" w:name="_Toc502661654"/>
      <w:bookmarkStart w:id="81" w:name="_Toc518823392"/>
      <w:r>
        <w:t>Figure 3</w:t>
      </w:r>
      <w:r w:rsidR="00EF086B">
        <w:t>.</w:t>
      </w:r>
      <w:r w:rsidR="0005778C">
        <w:fldChar w:fldCharType="begin"/>
      </w:r>
      <w:r w:rsidR="0005778C">
        <w:instrText xml:space="preserve"> SEQ Figure_3. \* ARABIC </w:instrText>
      </w:r>
      <w:r w:rsidR="0005778C">
        <w:fldChar w:fldCharType="separate"/>
      </w:r>
      <w:r w:rsidR="00551ED9">
        <w:rPr>
          <w:noProof/>
        </w:rPr>
        <w:t>1</w:t>
      </w:r>
      <w:r w:rsidR="0005778C">
        <w:fldChar w:fldCharType="end"/>
      </w:r>
      <w:r w:rsidR="0005778C">
        <w:t>.</w:t>
      </w:r>
      <w:r w:rsidR="00D003E1" w:rsidRPr="00D003E1">
        <w:rPr>
          <w:rFonts w:eastAsia="SimSun" w:cs="Times New Roman"/>
          <w:bCs/>
          <w:lang w:val="en-GB"/>
        </w:rPr>
        <w:t xml:space="preserve"> </w:t>
      </w:r>
      <w:r w:rsidR="00D003E1" w:rsidRPr="00D003E1">
        <w:rPr>
          <w:rFonts w:eastAsia="SimSun" w:cs="Times New Roman" w:hint="eastAsia"/>
          <w:bCs/>
          <w:lang w:val="en-GB"/>
        </w:rPr>
        <w:t>(a,</w:t>
      </w:r>
      <w:r w:rsidR="00D003E1" w:rsidRPr="00D003E1">
        <w:rPr>
          <w:rFonts w:eastAsia="SimSun" w:cs="Times New Roman"/>
          <w:bCs/>
          <w:lang w:val="en-GB"/>
        </w:rPr>
        <w:t xml:space="preserve"> </w:t>
      </w:r>
      <w:r w:rsidR="00D003E1" w:rsidRPr="00D003E1">
        <w:rPr>
          <w:rFonts w:eastAsia="SimSun" w:cs="Times New Roman" w:hint="eastAsia"/>
          <w:bCs/>
          <w:lang w:val="en-GB"/>
        </w:rPr>
        <w:t xml:space="preserve">b) AFM image of GO in water </w:t>
      </w:r>
      <w:r w:rsidR="00D003E1" w:rsidRPr="00D003E1">
        <w:rPr>
          <w:rFonts w:eastAsia="SimSun" w:cs="Times New Roman"/>
          <w:bCs/>
          <w:lang w:val="en-GB"/>
        </w:rPr>
        <w:t>and</w:t>
      </w:r>
      <w:r w:rsidR="00D003E1" w:rsidRPr="00D003E1">
        <w:rPr>
          <w:rFonts w:eastAsia="SimSun" w:cs="Times New Roman" w:hint="eastAsia"/>
          <w:bCs/>
          <w:lang w:val="en-GB"/>
        </w:rPr>
        <w:t xml:space="preserve"> (c) FTIR spectrum of GO</w:t>
      </w:r>
      <w:r w:rsidR="00D003E1" w:rsidRPr="00D003E1">
        <w:rPr>
          <w:rFonts w:eastAsia="SimSun" w:cs="Times New Roman"/>
          <w:bCs/>
          <w:lang w:val="en-GB"/>
        </w:rPr>
        <w:t>.</w:t>
      </w:r>
      <w:bookmarkEnd w:id="80"/>
      <w:bookmarkEnd w:id="81"/>
    </w:p>
    <w:p w14:paraId="41F051CD" w14:textId="77777777" w:rsidR="00D003E1" w:rsidRPr="00D003E1" w:rsidRDefault="00D003E1"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p>
    <w:p w14:paraId="3B7EF353" w14:textId="33B88DE4" w:rsidR="00D003E1" w:rsidRPr="00D003E1" w:rsidRDefault="000B2036"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82" w:name="_Toc518823268"/>
      <w:r>
        <w:rPr>
          <w:rFonts w:ascii="Times New Roman" w:eastAsia="SimSun" w:hAnsi="Times New Roman" w:cs="Times New Roman" w:hint="eastAsia"/>
          <w:b/>
          <w:bCs/>
          <w:color w:val="000000"/>
          <w:sz w:val="24"/>
          <w:szCs w:val="26"/>
          <w:lang w:val="en-GB"/>
        </w:rPr>
        <w:t>3</w:t>
      </w:r>
      <w:r w:rsidR="00C266A6">
        <w:rPr>
          <w:rFonts w:ascii="Times New Roman" w:eastAsia="SimSun" w:hAnsi="Times New Roman" w:cs="Times New Roman" w:hint="eastAsia"/>
          <w:b/>
          <w:bCs/>
          <w:color w:val="000000"/>
          <w:sz w:val="24"/>
          <w:szCs w:val="26"/>
          <w:lang w:val="en-GB"/>
        </w:rPr>
        <w:t>.</w:t>
      </w:r>
      <w:r w:rsidR="00C266A6">
        <w:rPr>
          <w:rFonts w:ascii="Times New Roman" w:eastAsia="SimSun" w:hAnsi="Times New Roman" w:cs="Times New Roman"/>
          <w:b/>
          <w:bCs/>
          <w:color w:val="000000"/>
          <w:sz w:val="24"/>
          <w:szCs w:val="26"/>
          <w:lang w:val="en-GB"/>
        </w:rPr>
        <w:t>3</w:t>
      </w:r>
      <w:r w:rsidR="00C266A6" w:rsidRPr="00D003E1">
        <w:rPr>
          <w:rFonts w:ascii="Times New Roman" w:eastAsia="SimSun" w:hAnsi="Times New Roman" w:cs="Times New Roman"/>
          <w:b/>
          <w:bCs/>
          <w:color w:val="000000"/>
          <w:sz w:val="24"/>
          <w:szCs w:val="26"/>
          <w:lang w:val="en-GB"/>
        </w:rPr>
        <w:t>.</w:t>
      </w:r>
      <w:r w:rsidR="00C266A6" w:rsidRPr="00D003E1">
        <w:rPr>
          <w:rFonts w:ascii="Times New Roman" w:eastAsia="SimSun" w:hAnsi="Times New Roman" w:cs="Times New Roman" w:hint="eastAsia"/>
          <w:b/>
          <w:bCs/>
          <w:color w:val="000000"/>
          <w:sz w:val="24"/>
          <w:szCs w:val="26"/>
          <w:lang w:val="en-GB"/>
        </w:rPr>
        <w:t>2</w:t>
      </w:r>
      <w:r w:rsidR="00C266A6" w:rsidRPr="00D003E1">
        <w:rPr>
          <w:rFonts w:ascii="Times New Roman" w:eastAsia="SimSun" w:hAnsi="Times New Roman" w:cs="Times New Roman"/>
          <w:b/>
          <w:bCs/>
          <w:color w:val="000000"/>
          <w:sz w:val="24"/>
          <w:szCs w:val="26"/>
          <w:lang w:val="en-GB"/>
        </w:rPr>
        <w:t>. Chemical structure of neat UPR, and UPR/GO nanocomposites with THF</w:t>
      </w:r>
      <w:bookmarkEnd w:id="82"/>
    </w:p>
    <w:p w14:paraId="1049866E" w14:textId="6163109B" w:rsidR="00D003E1" w:rsidRPr="00D003E1" w:rsidRDefault="000B2036" w:rsidP="00D003E1">
      <w:pPr>
        <w:keepNext/>
        <w:keepLines/>
        <w:spacing w:after="0" w:line="480" w:lineRule="auto"/>
        <w:jc w:val="both"/>
        <w:outlineLvl w:val="2"/>
        <w:rPr>
          <w:rFonts w:ascii="Times New Roman" w:eastAsia="SimSun" w:hAnsi="Times New Roman" w:cs="Times New Roman"/>
          <w:bCs/>
          <w:sz w:val="24"/>
          <w:lang w:val="en-GB"/>
        </w:rPr>
      </w:pPr>
      <w:bookmarkStart w:id="83" w:name="_Toc518823269"/>
      <w:r>
        <w:rPr>
          <w:rFonts w:ascii="Times New Roman" w:eastAsia="SimSun" w:hAnsi="Times New Roman" w:cs="Times New Roman"/>
          <w:bCs/>
          <w:sz w:val="24"/>
          <w:lang w:val="en-GB"/>
        </w:rPr>
        <w:t>3</w:t>
      </w:r>
      <w:r w:rsidR="00C266A6">
        <w:rPr>
          <w:rFonts w:ascii="Times New Roman" w:eastAsia="SimSun" w:hAnsi="Times New Roman" w:cs="Times New Roman" w:hint="eastAsia"/>
          <w:bCs/>
          <w:sz w:val="24"/>
          <w:lang w:val="en-GB"/>
        </w:rPr>
        <w:t>.</w:t>
      </w:r>
      <w:r w:rsidR="00C266A6">
        <w:rPr>
          <w:rFonts w:ascii="Times New Roman" w:eastAsia="SimSun" w:hAnsi="Times New Roman" w:cs="Times New Roman"/>
          <w:bCs/>
          <w:sz w:val="24"/>
          <w:lang w:val="en-GB"/>
        </w:rPr>
        <w:t>3</w:t>
      </w:r>
      <w:r w:rsidR="00C266A6" w:rsidRPr="00D003E1">
        <w:rPr>
          <w:rFonts w:ascii="Times New Roman" w:eastAsia="SimSun" w:hAnsi="Times New Roman" w:cs="Times New Roman"/>
          <w:bCs/>
          <w:sz w:val="24"/>
          <w:lang w:val="en-GB"/>
        </w:rPr>
        <w:t>.2.1 FTIR analysis of neat UPR with post cured and non-post cured</w:t>
      </w:r>
      <w:bookmarkEnd w:id="83"/>
    </w:p>
    <w:p w14:paraId="6FB6E42D" w14:textId="012979B3" w:rsidR="00D003E1" w:rsidRPr="00D003E1" w:rsidRDefault="00D003E1" w:rsidP="00D003E1">
      <w:pPr>
        <w:spacing w:after="0" w:line="480" w:lineRule="auto"/>
        <w:jc w:val="both"/>
        <w:rPr>
          <w:rFonts w:ascii="Times New Roman" w:eastAsia="SimSun" w:hAnsi="Times New Roman" w:cs="Times New Roman"/>
          <w:sz w:val="24"/>
          <w:szCs w:val="24"/>
          <w:lang w:val="en-GB"/>
        </w:rPr>
      </w:pPr>
      <w:r w:rsidRPr="00D003E1">
        <w:rPr>
          <w:rFonts w:ascii="Times New Roman" w:eastAsia="SimSun" w:hAnsi="Times New Roman" w:cs="Times New Roman"/>
          <w:sz w:val="24"/>
          <w:szCs w:val="24"/>
          <w:lang w:val="en-GB"/>
        </w:rPr>
        <w:t>F</w:t>
      </w:r>
      <w:r w:rsidRPr="00D003E1">
        <w:rPr>
          <w:rFonts w:ascii="Times New Roman" w:eastAsia="SimSun" w:hAnsi="Times New Roman" w:cs="Times New Roman" w:hint="eastAsia"/>
          <w:sz w:val="24"/>
          <w:szCs w:val="24"/>
          <w:lang w:val="en-GB"/>
        </w:rPr>
        <w:t xml:space="preserve">igure </w:t>
      </w:r>
      <w:r w:rsidR="000B2036">
        <w:rPr>
          <w:rFonts w:ascii="Times New Roman" w:eastAsia="SimSun" w:hAnsi="Times New Roman" w:cs="Times New Roman"/>
          <w:sz w:val="24"/>
          <w:szCs w:val="24"/>
          <w:lang w:val="en-GB"/>
        </w:rPr>
        <w:t>3</w:t>
      </w:r>
      <w:r w:rsidR="008159AF">
        <w:rPr>
          <w:rFonts w:ascii="Times New Roman" w:eastAsia="SimSun" w:hAnsi="Times New Roman" w:cs="Times New Roman"/>
          <w:sz w:val="24"/>
          <w:szCs w:val="24"/>
          <w:lang w:val="en-GB"/>
        </w:rPr>
        <w:t>.</w:t>
      </w:r>
      <w:r w:rsidRPr="00D003E1">
        <w:rPr>
          <w:rFonts w:ascii="Times New Roman" w:eastAsia="SimSun" w:hAnsi="Times New Roman" w:cs="Times New Roman"/>
          <w:sz w:val="24"/>
          <w:szCs w:val="24"/>
          <w:lang w:val="en-GB"/>
        </w:rPr>
        <w:t>2(a) shows the FTIR spectra of neat UPR with post cured at 80 °C and non-post cured. FTIR spectrum of non-post cured UPR shows peak at 2915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which is attributed to C-H stretch from alkyl. Peaks at 2184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2011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1584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1473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are assigned to C=C stretch from UPR polymer chains and styrene </w:t>
      </w:r>
      <w:r w:rsidRPr="00D003E1">
        <w:rPr>
          <w:rFonts w:ascii="Times New Roman" w:eastAsia="SimSun" w:hAnsi="Times New Roman" w:cs="Times New Roman"/>
          <w:sz w:val="24"/>
          <w:szCs w:val="24"/>
          <w:lang w:val="en-GB"/>
        </w:rPr>
        <w:fldChar w:fldCharType="begin" w:fldLock="1"/>
      </w:r>
      <w:r w:rsidR="00D14688">
        <w:rPr>
          <w:rFonts w:ascii="Times New Roman" w:eastAsia="SimSun" w:hAnsi="Times New Roman" w:cs="Times New Roman"/>
          <w:sz w:val="24"/>
          <w:szCs w:val="24"/>
          <w:lang w:val="en-GB"/>
        </w:rPr>
        <w:instrText>ADDIN CSL_CITATION { "citationItems" : [ { "id" : "ITEM-1", "itemData" : { "DOI" : "10.11648/j.cm.20160101.11", "abstract" : "This work is focused to fabricate and characterize hybrid polyester composites containing equal weight percentages of lignocellulosic fruit fibers namely Cocos nucifera and Luffa cylindrica. Samples with four different compositions (10%, 20%, 30%, and 40%) containing random fiber orientation are fabricated using handlayup technique and their effect on the flexural strength and impact strength is studied and compared with their individual counterparts. Enhanced mechanical properties are obtained when the combined weight percentage of both fibers is 30% by weight. This hybrid composite sample is characterized by Fourier Transform Infrared spectroscopy, X-ray diffraction and Thermogravimetric analysis. Surface morphology of the fractured sample with elemental analysis is studied using scanning electron microscope and Energy Dispersive Analysis of X-rays. FTIR peaks confirm the presence of biopolymers cellulose, hemicellulose and lignin. The thermogram confirms the presence of lignin, an amorphous hydrophobic biopolymer with strong intermolecular, intramolecular hydrogen bond and cross linking of the molecules requiring more energy to breakdown resulting in good thermal stability of the hybrid composites around 200\u00b0C. Elemental analysis gives O/C ratio of 0.45 corroborating the lignin presence at the surface.", "author" : [ { "dropping-particle" : "", "family" : "Nagarajaganesh", "given" : "B", "non-dropping-particle" : "", "parse-names" : false, "suffix" : "" }, { "dropping-particle" : "", "family" : "Muralikannan", "given" : "R", "non-dropping-particle" : "", "parse-names" : false, "suffix" : "" } ], "container-title" : "Composite Materials", "id" : "ITEM-1", "issue" : "1", "issued" : { "date-parts" : [ [ "2016" ] ] }, "page" : "1-6", "title" : "Comprehensive Characterization of Lignocellulosic Fruit Fibers Reinforced Hybrid Polyester Composites", "type" : "article-journal", "volume" : "1" }, "uris" : [ "http://www.mendeley.com/documents/?uuid=cbcd5d30-c4b7-4618-b744-e92e26e205e1" ] }, { "id" : "ITEM-2", "itemData" : { "DOI" : "10.4313/TEEM.2013.14.2.53", "ISSN" : "1229-7607", "abstract" : "Graphene-based polymer nanocomposites are very promising candidates for new high-performance materials that offer improved mechanical, barrier, thermal and electrical properties. Herein, an approach is presented to improve the mechanical, thermal and electrical properties of unsaturated polyester resin (UPR) by using graphene nano sheets (GNS).The extent of dispersion of GNS into the polymer matrix was also observed by using the scanning electron microscopy (SEM) which indicated homogeneous dispersion of GNS through the UPR matrix and strong interfacial adhesion between the GNS and UPR matrix were achieved in the UPR composite, which enhanced the mechanical properties. The tensile strength of the nanocomposites improved at a tune of 52% at a GNS concentration of 0.05%. Again the flexural strength also increased around 92% at a GNS concentration of 0.05%. Similarly the thermal properties and the electrical properties for the nanocomposites were also improved as evidenced from the differential scanning caloriemetry (DSC) and dielectric strength measurement. \u00a9 2013 KIEEME. All rights reserved.", "author" : [ { "dropping-particle" : "", "family" : "Swain", "given" : "Sarojini", "non-dropping-particle" : "", "parse-names" : false, "suffix" : "" } ], "container-title" : "Transactions on electrical and electronic materials", "id" : "ITEM-2", "issued" : { "date-parts" : [ [ "2013" ] ] }, "page" : "53-58", "title" : "Synthesis and Characterization of Graphene Based Unsaturated Polyester Resin Composites", "type" : "article-journal", "volume" : "14" }, "uris" : [ "http://www.mendeley.com/documents/?uuid=d96fecc9-5f0c-46b2-aca9-c851dc448fe1" ] } ], "mendeley" : { "formattedCitation" : "[158,159]", "plainTextFormattedCitation" : "[158,159]", "previouslyFormattedCitation" : "[158,159]" }, "properties" : {  }, "schema" : "https://github.com/citation-style-language/schema/raw/master/csl-citation.json" }</w:instrText>
      </w:r>
      <w:r w:rsidRPr="00D003E1">
        <w:rPr>
          <w:rFonts w:ascii="Times New Roman" w:eastAsia="SimSun" w:hAnsi="Times New Roman" w:cs="Times New Roman"/>
          <w:sz w:val="24"/>
          <w:szCs w:val="24"/>
          <w:lang w:val="en-GB"/>
        </w:rPr>
        <w:fldChar w:fldCharType="separate"/>
      </w:r>
      <w:r w:rsidR="00D973A8" w:rsidRPr="00D973A8">
        <w:rPr>
          <w:rFonts w:ascii="Times New Roman" w:eastAsia="SimSun" w:hAnsi="Times New Roman" w:cs="Times New Roman"/>
          <w:noProof/>
          <w:sz w:val="24"/>
          <w:szCs w:val="24"/>
          <w:lang w:val="en-GB"/>
        </w:rPr>
        <w:t>[158,159]</w:t>
      </w:r>
      <w:r w:rsidRPr="00D003E1">
        <w:rPr>
          <w:rFonts w:ascii="Times New Roman" w:eastAsia="SimSun" w:hAnsi="Times New Roman" w:cs="Times New Roman"/>
          <w:sz w:val="24"/>
          <w:szCs w:val="24"/>
          <w:lang w:val="en-GB"/>
        </w:rPr>
        <w:fldChar w:fldCharType="end"/>
      </w:r>
      <w:r w:rsidRPr="00D003E1">
        <w:rPr>
          <w:rFonts w:ascii="Times New Roman" w:eastAsia="SimSun" w:hAnsi="Times New Roman" w:cs="Times New Roman"/>
          <w:sz w:val="24"/>
          <w:szCs w:val="24"/>
          <w:lang w:val="en-GB"/>
        </w:rPr>
        <w:t>. Peak at 1709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is assigned to the C=O stretch from ester groups which confirms the formation of polyester resin </w:t>
      </w:r>
      <w:r w:rsidRPr="00D003E1">
        <w:rPr>
          <w:rFonts w:ascii="Times New Roman" w:eastAsia="SimSun" w:hAnsi="Times New Roman" w:cs="Times New Roman"/>
          <w:sz w:val="24"/>
          <w:szCs w:val="24"/>
          <w:lang w:val="en-GB"/>
        </w:rPr>
        <w:fldChar w:fldCharType="begin" w:fldLock="1"/>
      </w:r>
      <w:r w:rsidR="00D14688">
        <w:rPr>
          <w:rFonts w:ascii="Times New Roman" w:eastAsia="SimSun" w:hAnsi="Times New Roman" w:cs="Times New Roman"/>
          <w:sz w:val="24"/>
          <w:szCs w:val="24"/>
          <w:lang w:val="en-GB"/>
        </w:rPr>
        <w:instrText>ADDIN CSL_CITATION { "citationItems" : [ { "id" : "ITEM-1", "itemData" : { "author" : [ { "dropping-particle" : "", "family" : "Bharat Dholakiya", "given" : "", "non-dropping-particle" : "", "parse-names" : false, "suffix" : "" } ], "container-title" : "Polyester", "editor" : [ { "dropping-particle" : "", "family" : "Saleh", "given" : "Hosam El-Din M.", "non-dropping-particle" : "", "parse-names" : false, "suffix" : "" } ], "id" : "ITEM-1", "issued" : { "date-parts" : [ [ "2012" ] ] }, "publisher" : "Intech", "title" : "Unsaturated polyester resin for speciality applications", "type" : "chapter", "volume" : "7" }, "uris" : [ "http://www.mendeley.com/documents/?uuid=62678da0-5c14-498f-a783-eb193a3c9644" ] } ], "mendeley" : { "formattedCitation" : "[160]", "plainTextFormattedCitation" : "[160]", "previouslyFormattedCitation" : "[160]" }, "properties" : {  }, "schema" : "https://github.com/citation-style-language/schema/raw/master/csl-citation.json" }</w:instrText>
      </w:r>
      <w:r w:rsidRPr="00D003E1">
        <w:rPr>
          <w:rFonts w:ascii="Times New Roman" w:eastAsia="SimSun" w:hAnsi="Times New Roman" w:cs="Times New Roman"/>
          <w:sz w:val="24"/>
          <w:szCs w:val="24"/>
          <w:lang w:val="en-GB"/>
        </w:rPr>
        <w:fldChar w:fldCharType="separate"/>
      </w:r>
      <w:r w:rsidR="00D973A8" w:rsidRPr="00D973A8">
        <w:rPr>
          <w:rFonts w:ascii="Times New Roman" w:eastAsia="SimSun" w:hAnsi="Times New Roman" w:cs="Times New Roman"/>
          <w:noProof/>
          <w:sz w:val="24"/>
          <w:szCs w:val="24"/>
          <w:lang w:val="en-GB"/>
        </w:rPr>
        <w:t>[160]</w:t>
      </w:r>
      <w:r w:rsidRPr="00D003E1">
        <w:rPr>
          <w:rFonts w:ascii="Times New Roman" w:eastAsia="SimSun" w:hAnsi="Times New Roman" w:cs="Times New Roman"/>
          <w:sz w:val="24"/>
          <w:szCs w:val="24"/>
          <w:lang w:val="en-GB"/>
        </w:rPr>
        <w:fldChar w:fldCharType="end"/>
      </w:r>
      <w:r w:rsidRPr="00D003E1">
        <w:rPr>
          <w:rFonts w:ascii="Times New Roman" w:eastAsia="SimSun" w:hAnsi="Times New Roman" w:cs="Times New Roman"/>
          <w:sz w:val="24"/>
          <w:szCs w:val="24"/>
          <w:lang w:val="en-GB"/>
        </w:rPr>
        <w:t>. Peaks at 1217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1096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are contributed to C-O stretch from ester group. Compared to non-post cured UPR, some shifts are observed in the spectrum of UPR with post cured at 80 °C. In details, </w:t>
      </w:r>
      <w:r w:rsidRPr="00D003E1">
        <w:rPr>
          <w:rFonts w:ascii="Times New Roman" w:eastAsia="SimSun" w:hAnsi="Times New Roman" w:cs="Times New Roman" w:hint="eastAsia"/>
          <w:sz w:val="24"/>
          <w:szCs w:val="24"/>
          <w:lang w:val="en-GB"/>
        </w:rPr>
        <w:t>aro</w:t>
      </w:r>
      <w:r w:rsidRPr="00D003E1">
        <w:rPr>
          <w:rFonts w:ascii="Times New Roman" w:eastAsia="SimSun" w:hAnsi="Times New Roman" w:cs="Times New Roman"/>
          <w:sz w:val="24"/>
          <w:szCs w:val="24"/>
          <w:lang w:val="en-GB"/>
        </w:rPr>
        <w:t>matic C=C peaks at 2184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2011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1584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and 1473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shift to 2198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2008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1579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and 1428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respectively.  Moreover, peak at 1428 cm</w:t>
      </w:r>
      <w:r w:rsidRPr="00D003E1">
        <w:rPr>
          <w:rFonts w:ascii="Times New Roman" w:eastAsia="SimSun" w:hAnsi="Times New Roman" w:cs="Times New Roman"/>
          <w:sz w:val="24"/>
          <w:szCs w:val="24"/>
          <w:vertAlign w:val="superscript"/>
          <w:lang w:val="en-GB"/>
        </w:rPr>
        <w:t xml:space="preserve">-1 </w:t>
      </w:r>
      <w:r w:rsidRPr="00D003E1">
        <w:rPr>
          <w:rFonts w:ascii="Times New Roman" w:eastAsia="SimSun" w:hAnsi="Times New Roman" w:cs="Times New Roman"/>
          <w:sz w:val="24"/>
          <w:szCs w:val="24"/>
          <w:lang w:val="en-GB"/>
        </w:rPr>
        <w:t>is much weaker compared with the peak at 1473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This indicates that the further polymerization reaction of reactive C=C bonds between UPR and styrene in curing process are carried out at 80 °C. In addition, peaks of C=O (1709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C-O (1096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shift to 1715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and 1090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respectively. All these imply that post cured at 80 °C is essential for UPR to possess higher crosslinking density and better mechanical properties.</w:t>
      </w:r>
    </w:p>
    <w:p w14:paraId="565C97B8" w14:textId="77777777" w:rsidR="00D003E1" w:rsidRPr="00D003E1" w:rsidRDefault="00D003E1" w:rsidP="00D003E1">
      <w:pPr>
        <w:spacing w:after="0" w:line="480" w:lineRule="auto"/>
        <w:jc w:val="both"/>
        <w:rPr>
          <w:rFonts w:ascii="Times New Roman" w:eastAsia="SimSun" w:hAnsi="Times New Roman" w:cs="Times New Roman"/>
          <w:sz w:val="24"/>
          <w:szCs w:val="24"/>
          <w:lang w:val="en-GB"/>
        </w:rPr>
      </w:pPr>
    </w:p>
    <w:p w14:paraId="393553F9" w14:textId="58C26C18" w:rsidR="00D003E1" w:rsidRPr="00D003E1" w:rsidRDefault="000B2036" w:rsidP="00D003E1">
      <w:pPr>
        <w:keepNext/>
        <w:keepLines/>
        <w:spacing w:after="0" w:line="480" w:lineRule="auto"/>
        <w:jc w:val="both"/>
        <w:outlineLvl w:val="2"/>
        <w:rPr>
          <w:rFonts w:ascii="Times New Roman" w:eastAsia="SimSun" w:hAnsi="Times New Roman" w:cs="Times New Roman"/>
          <w:bCs/>
          <w:sz w:val="24"/>
          <w:lang w:val="en-GB"/>
        </w:rPr>
      </w:pPr>
      <w:bookmarkStart w:id="84" w:name="_Toc518823270"/>
      <w:r>
        <w:rPr>
          <w:rFonts w:ascii="Times New Roman" w:eastAsia="SimSun" w:hAnsi="Times New Roman" w:cs="Times New Roman" w:hint="eastAsia"/>
          <w:bCs/>
          <w:sz w:val="24"/>
          <w:lang w:val="en-GB"/>
        </w:rPr>
        <w:t>3</w:t>
      </w:r>
      <w:r w:rsidR="00C266A6">
        <w:rPr>
          <w:rFonts w:ascii="Times New Roman" w:eastAsia="SimSun" w:hAnsi="Times New Roman" w:cs="Times New Roman" w:hint="eastAsia"/>
          <w:bCs/>
          <w:sz w:val="24"/>
          <w:lang w:val="en-GB"/>
        </w:rPr>
        <w:t>.</w:t>
      </w:r>
      <w:r w:rsidR="000C127D">
        <w:rPr>
          <w:rFonts w:ascii="Times New Roman" w:eastAsia="SimSun" w:hAnsi="Times New Roman" w:cs="Times New Roman"/>
          <w:bCs/>
          <w:sz w:val="24"/>
          <w:lang w:val="en-GB"/>
        </w:rPr>
        <w:t>3</w:t>
      </w:r>
      <w:r w:rsidR="00D003E1" w:rsidRPr="00D003E1">
        <w:rPr>
          <w:rFonts w:ascii="Times New Roman" w:eastAsia="SimSun" w:hAnsi="Times New Roman" w:cs="Times New Roman"/>
          <w:bCs/>
          <w:sz w:val="24"/>
          <w:lang w:val="en-GB"/>
        </w:rPr>
        <w:t>.2.2 FTIR analysis of UPR, UPR-THF, and 0.1 wt.% UPR/GO composite with post cure</w:t>
      </w:r>
      <w:bookmarkEnd w:id="84"/>
    </w:p>
    <w:p w14:paraId="4DE34109" w14:textId="4352A31E" w:rsidR="00D003E1" w:rsidRPr="00D003E1" w:rsidRDefault="00D003E1" w:rsidP="00D003E1">
      <w:pPr>
        <w:spacing w:after="0" w:line="480" w:lineRule="auto"/>
        <w:jc w:val="both"/>
        <w:rPr>
          <w:rFonts w:ascii="Times New Roman" w:eastAsia="SimSun" w:hAnsi="Times New Roman" w:cs="Times New Roman"/>
          <w:sz w:val="24"/>
          <w:szCs w:val="24"/>
          <w:lang w:val="en-GB"/>
        </w:rPr>
      </w:pPr>
      <w:r w:rsidRPr="00D003E1">
        <w:rPr>
          <w:rFonts w:ascii="Times New Roman" w:eastAsia="SimSun" w:hAnsi="Times New Roman" w:cs="Times New Roman"/>
          <w:sz w:val="24"/>
          <w:szCs w:val="24"/>
          <w:lang w:val="en-GB"/>
        </w:rPr>
        <w:t>It is well known that the interaction bonding between polymeric matrix and inorganic filler is the basis for the improvement of interfacial interaction between polymer and nanofillers and enhancement of mechanical, thermal, electrical properties, etc. In this work, the interfacial interaction between UPR and GO is investigated by FTI</w:t>
      </w:r>
      <w:r w:rsidR="000B2036">
        <w:rPr>
          <w:rFonts w:ascii="Times New Roman" w:eastAsia="SimSun" w:hAnsi="Times New Roman" w:cs="Times New Roman"/>
          <w:sz w:val="24"/>
          <w:szCs w:val="24"/>
          <w:lang w:val="en-GB"/>
        </w:rPr>
        <w:t>R analysis, as shown in Figure 3</w:t>
      </w:r>
      <w:r w:rsidRPr="00D003E1">
        <w:rPr>
          <w:rFonts w:ascii="Times New Roman" w:eastAsia="SimSun" w:hAnsi="Times New Roman" w:cs="Times New Roman"/>
          <w:sz w:val="24"/>
          <w:szCs w:val="24"/>
          <w:lang w:val="en-GB"/>
        </w:rPr>
        <w:t>.2. To study the effect of THF on the chemical structure of UPR, controlled sample UPR-THF were prepared in the same procedure of UPR. No significant changes of UPR and UPR-THF are observed from FTIR spectra, indicating that the addition of THF doesn’t affect the chemical structure of UPR. FTIR spectrum of 0.1 wt.% UPR/GO composite shows some changes in comparison with UPR. Specifically, the C=O stretching, C-O stretching, and C-H bending are shifted from  1715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to 1710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1096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to 1089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and 1371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to 1373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respectively. This confirms the formation of hydrogen bonding between oxygen functional groups from GO and UPR chains. Moreover, absorption peaks of aromatic C=C are shifted from 1428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to 1431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2198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to 2176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and 2008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to 2004 cm</w:t>
      </w:r>
      <w:r w:rsidRPr="00D003E1">
        <w:rPr>
          <w:rFonts w:ascii="Times New Roman" w:eastAsia="SimSun" w:hAnsi="Times New Roman" w:cs="Times New Roman"/>
          <w:sz w:val="24"/>
          <w:szCs w:val="24"/>
          <w:vertAlign w:val="superscript"/>
          <w:lang w:val="en-GB"/>
        </w:rPr>
        <w:t>-1</w:t>
      </w:r>
      <w:r w:rsidRPr="00D003E1">
        <w:rPr>
          <w:rFonts w:ascii="Times New Roman" w:eastAsia="SimSun" w:hAnsi="Times New Roman" w:cs="Times New Roman"/>
          <w:sz w:val="24"/>
          <w:szCs w:val="24"/>
          <w:lang w:val="en-GB"/>
        </w:rPr>
        <w:t xml:space="preserve">, respectively. This is related to the п-п interaction of aromatic rings from GO and UPR </w:t>
      </w:r>
      <w:r w:rsidRPr="00D003E1">
        <w:rPr>
          <w:rFonts w:ascii="Times New Roman" w:eastAsia="SimSun" w:hAnsi="Times New Roman" w:cs="Times New Roman"/>
          <w:sz w:val="24"/>
          <w:szCs w:val="24"/>
          <w:lang w:val="en-GB"/>
        </w:rPr>
        <w:fldChar w:fldCharType="begin" w:fldLock="1"/>
      </w:r>
      <w:r w:rsidR="00D14688">
        <w:rPr>
          <w:rFonts w:ascii="Times New Roman" w:eastAsia="SimSun" w:hAnsi="Times New Roman" w:cs="Times New Roman"/>
          <w:sz w:val="24"/>
          <w:szCs w:val="24"/>
          <w:lang w:val="en-GB"/>
        </w:rPr>
        <w:instrText>ADDIN CSL_CITATION { "citationItems" : [ { "id" : "ITEM-1", "itemData" : { "DOI" : "10.1021/ma300450t", "ISBN" : "0024-9297", "ISSN" : "00249297", "abstract" : "Many reported polymer/graphene composites, even some with excellent graphene dispersion, do not possess impressive conductivity, which may be due to the failure in forming interconnected conductive paths. In this work, a kind of bio-based polyester (BE) is synthesized by polycondensation between plant-derived diols and diacids. It is then grafted onto graphene oxide (GO) via the easterification between hydroxyls of BE and carboxyls of GO. Subsequently, the grafted GO is subjected to reduce by vitamin C. Because of the presence of terminal hydroxyl group in both ends of the BE chains and multiple carboxyl groups on GO, the grafts form specific spatial interconnection structure in BE matrix. The resulting BE/graphene composites possess impressive low threshold percolation of electrical conductivity, in combination of high thermal conductivity.", "author" : [ { "dropping-particle" : "", "family" : "Tang", "given" : "Zhenghai", "non-dropping-particle" : "", "parse-names" : false, "suffix" : "" }, { "dropping-particle" : "", "family" : "Kang", "given" : "Hailan", "non-dropping-particle" : "", "parse-names" : false, "suffix" : "" }, { "dropping-particle" : "", "family" : "Shen", "given" : "Zuoli", "non-dropping-particle" : "", "parse-names" : false, "suffix" : "" }, { "dropping-particle" : "", "family" : "Guo", "given" : "Baochun", "non-dropping-particle" : "", "parse-names" : false, "suffix" : "" }, { "dropping-particle" : "", "family" : "Zhang", "given" : "Liqun", "non-dropping-particle" : "", "parse-names" : false, "suffix" : "" }, { "dropping-particle" : "", "family" : "Jia", "given" : "Demin", "non-dropping-particle" : "", "parse-names" : false, "suffix" : "" } ], "container-title" : "Macromolecules", "id" : "ITEM-1", "issue" : "8", "issued" : { "date-parts" : [ [ "2012" ] ] }, "page" : "3444-3451", "title" : "Grafting of polyester onto graphene for electrically and thermally conductive composites", "type" : "article-journal", "volume" : "45" }, "uris" : [ "http://www.mendeley.com/documents/?uuid=e5b51829-2d98-4663-bd4e-b13906c6e80c" ] } ], "mendeley" : { "formattedCitation" : "[156]", "plainTextFormattedCitation" : "[156]", "previouslyFormattedCitation" : "[156]" }, "properties" : {  }, "schema" : "https://github.com/citation-style-language/schema/raw/master/csl-citation.json" }</w:instrText>
      </w:r>
      <w:r w:rsidRPr="00D003E1">
        <w:rPr>
          <w:rFonts w:ascii="Times New Roman" w:eastAsia="SimSun" w:hAnsi="Times New Roman" w:cs="Times New Roman"/>
          <w:sz w:val="24"/>
          <w:szCs w:val="24"/>
          <w:lang w:val="en-GB"/>
        </w:rPr>
        <w:fldChar w:fldCharType="separate"/>
      </w:r>
      <w:r w:rsidR="00D973A8" w:rsidRPr="00D973A8">
        <w:rPr>
          <w:rFonts w:ascii="Times New Roman" w:eastAsia="SimSun" w:hAnsi="Times New Roman" w:cs="Times New Roman"/>
          <w:noProof/>
          <w:sz w:val="24"/>
          <w:szCs w:val="24"/>
          <w:lang w:val="en-GB"/>
        </w:rPr>
        <w:t>[156]</w:t>
      </w:r>
      <w:r w:rsidRPr="00D003E1">
        <w:rPr>
          <w:rFonts w:ascii="Times New Roman" w:eastAsia="SimSun" w:hAnsi="Times New Roman" w:cs="Times New Roman"/>
          <w:sz w:val="24"/>
          <w:szCs w:val="24"/>
          <w:lang w:val="en-GB"/>
        </w:rPr>
        <w:fldChar w:fldCharType="end"/>
      </w:r>
      <w:r w:rsidRPr="00D003E1">
        <w:rPr>
          <w:rFonts w:ascii="Times New Roman" w:eastAsia="SimSun" w:hAnsi="Times New Roman" w:cs="Times New Roman"/>
          <w:sz w:val="24"/>
          <w:szCs w:val="24"/>
          <w:lang w:val="en-GB"/>
        </w:rPr>
        <w:t>. Therefore, FTIR spectra confirm that UPR chains are grafted on GO sheets by hydrogen bond and п-п interaction, which is the potential for enhanced properties of UPR/GO composites.</w:t>
      </w:r>
    </w:p>
    <w:p w14:paraId="2242DE59" w14:textId="77777777" w:rsidR="00D003E1" w:rsidRPr="00D003E1" w:rsidRDefault="00D003E1" w:rsidP="0068275D">
      <w:pPr>
        <w:spacing w:after="0" w:line="480" w:lineRule="auto"/>
        <w:jc w:val="center"/>
        <w:rPr>
          <w:rFonts w:ascii="Times New Roman" w:eastAsia="SimSun" w:hAnsi="Times New Roman" w:cs="Times New Roman"/>
          <w:sz w:val="24"/>
          <w:szCs w:val="24"/>
          <w:lang w:val="en-GB"/>
        </w:rPr>
      </w:pPr>
      <w:r w:rsidRPr="00D003E1">
        <w:rPr>
          <w:rFonts w:ascii="Times New Roman" w:eastAsia="SimSun" w:hAnsi="Times New Roman" w:cs="Times New Roman"/>
          <w:noProof/>
          <w:sz w:val="24"/>
          <w:lang w:val="en-GB"/>
        </w:rPr>
        <w:drawing>
          <wp:inline distT="0" distB="0" distL="0" distR="0" wp14:anchorId="516829F9" wp14:editId="241F119F">
            <wp:extent cx="5447323" cy="71611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51239" cy="7166314"/>
                    </a:xfrm>
                    <a:prstGeom prst="rect">
                      <a:avLst/>
                    </a:prstGeom>
                    <a:noFill/>
                  </pic:spPr>
                </pic:pic>
              </a:graphicData>
            </a:graphic>
          </wp:inline>
        </w:drawing>
      </w:r>
    </w:p>
    <w:p w14:paraId="39153616" w14:textId="26F8108C" w:rsidR="00D003E1" w:rsidRPr="0005778C" w:rsidRDefault="000B2036" w:rsidP="0005778C">
      <w:pPr>
        <w:pStyle w:val="Caption"/>
        <w:ind w:firstLine="0"/>
        <w:rPr>
          <w:rFonts w:eastAsia="SimSun" w:cs="Times New Roman"/>
          <w:bCs/>
          <w:lang w:val="en-GB"/>
        </w:rPr>
      </w:pPr>
      <w:bookmarkStart w:id="85" w:name="_Toc502661655"/>
      <w:bookmarkStart w:id="86" w:name="_Toc518823393"/>
      <w:r>
        <w:t>Figure 3</w:t>
      </w:r>
      <w:r w:rsidR="00EF086B">
        <w:t>.</w:t>
      </w:r>
      <w:r w:rsidR="0005778C">
        <w:fldChar w:fldCharType="begin"/>
      </w:r>
      <w:r w:rsidR="0005778C">
        <w:instrText xml:space="preserve"> SEQ Figure_3. \* ARABIC </w:instrText>
      </w:r>
      <w:r w:rsidR="0005778C">
        <w:fldChar w:fldCharType="separate"/>
      </w:r>
      <w:r w:rsidR="00551ED9">
        <w:rPr>
          <w:noProof/>
        </w:rPr>
        <w:t>2</w:t>
      </w:r>
      <w:r w:rsidR="0005778C">
        <w:fldChar w:fldCharType="end"/>
      </w:r>
      <w:r w:rsidR="0005778C">
        <w:t xml:space="preserve">. </w:t>
      </w:r>
      <w:r w:rsidR="00D003E1" w:rsidRPr="00D003E1">
        <w:rPr>
          <w:rFonts w:eastAsia="SimSun" w:cs="Times New Roman"/>
          <w:bCs/>
          <w:lang w:val="en-GB"/>
        </w:rPr>
        <w:t>FTIR spectrum of (a) neat UPR non-post cured and post cured; (b) UPR, UPR-THF, and 0.1 wt.% UPR/GO composite.</w:t>
      </w:r>
      <w:bookmarkEnd w:id="85"/>
      <w:bookmarkEnd w:id="86"/>
    </w:p>
    <w:p w14:paraId="7DC8B2BE" w14:textId="68863DEA" w:rsidR="00D003E1" w:rsidRPr="00D003E1" w:rsidRDefault="002354ED"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87" w:name="_Toc518823271"/>
      <w:r>
        <w:rPr>
          <w:rFonts w:ascii="Times New Roman" w:eastAsia="SimSun" w:hAnsi="Times New Roman" w:cs="Times New Roman"/>
          <w:b/>
          <w:bCs/>
          <w:color w:val="000000"/>
          <w:sz w:val="24"/>
          <w:szCs w:val="24"/>
          <w:lang w:val="en-GB"/>
        </w:rPr>
        <w:t>3</w:t>
      </w:r>
      <w:r w:rsidR="00C266A6">
        <w:rPr>
          <w:rFonts w:ascii="Times New Roman" w:eastAsia="SimSun" w:hAnsi="Times New Roman" w:cs="Times New Roman" w:hint="eastAsia"/>
          <w:b/>
          <w:bCs/>
          <w:color w:val="000000"/>
          <w:sz w:val="24"/>
          <w:szCs w:val="24"/>
          <w:lang w:val="en-GB"/>
        </w:rPr>
        <w:t>.</w:t>
      </w:r>
      <w:r w:rsidR="000C127D">
        <w:rPr>
          <w:rFonts w:ascii="Times New Roman" w:eastAsia="SimSun" w:hAnsi="Times New Roman" w:cs="Times New Roman"/>
          <w:b/>
          <w:bCs/>
          <w:color w:val="000000"/>
          <w:sz w:val="24"/>
          <w:szCs w:val="24"/>
          <w:lang w:val="en-GB"/>
        </w:rPr>
        <w:t>3</w:t>
      </w:r>
      <w:r w:rsidR="00D003E1" w:rsidRPr="00D003E1">
        <w:rPr>
          <w:rFonts w:ascii="Times New Roman" w:eastAsia="SimSun" w:hAnsi="Times New Roman" w:cs="Times New Roman"/>
          <w:b/>
          <w:bCs/>
          <w:color w:val="000000"/>
          <w:sz w:val="24"/>
          <w:szCs w:val="24"/>
          <w:lang w:val="en-GB"/>
        </w:rPr>
        <w:t xml:space="preserve">.3. </w:t>
      </w:r>
      <w:r w:rsidR="00D003E1" w:rsidRPr="00D003E1">
        <w:rPr>
          <w:rFonts w:ascii="Times New Roman" w:eastAsia="SimSun" w:hAnsi="Times New Roman" w:cs="Times New Roman"/>
          <w:b/>
          <w:bCs/>
          <w:color w:val="000000"/>
          <w:sz w:val="24"/>
          <w:szCs w:val="26"/>
          <w:lang w:val="en-GB"/>
        </w:rPr>
        <w:t>Morphology of UPR, and UPR/GO composites</w:t>
      </w:r>
      <w:bookmarkEnd w:id="87"/>
    </w:p>
    <w:p w14:paraId="177E318A" w14:textId="5FA894F9"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To examine the quality of the dispersion of GO in UPR matrix, SEM is performed on the cross-section of UPR, and UPR/GO</w:t>
      </w:r>
      <w:r w:rsidR="002354ED">
        <w:rPr>
          <w:rFonts w:ascii="Times New Roman" w:eastAsia="SimSun" w:hAnsi="Times New Roman" w:cs="Times New Roman"/>
          <w:sz w:val="24"/>
          <w:lang w:val="en-GB"/>
        </w:rPr>
        <w:t xml:space="preserve"> composites as shown in Figure 3</w:t>
      </w:r>
      <w:r w:rsidRPr="00D003E1">
        <w:rPr>
          <w:rFonts w:ascii="Times New Roman" w:eastAsia="SimSun" w:hAnsi="Times New Roman" w:cs="Times New Roman"/>
          <w:sz w:val="24"/>
          <w:lang w:val="en-GB"/>
        </w:rPr>
        <w:t>.3. The cross-section of samples for SEM analysis is fractured by tensile test. N</w:t>
      </w:r>
      <w:r w:rsidRPr="00D003E1">
        <w:rPr>
          <w:rFonts w:ascii="Times New Roman" w:eastAsia="SimSun" w:hAnsi="Times New Roman" w:cs="Times New Roman" w:hint="eastAsia"/>
          <w:sz w:val="24"/>
          <w:lang w:val="en-GB"/>
        </w:rPr>
        <w:t>eat</w:t>
      </w:r>
      <w:r w:rsidRPr="00D003E1">
        <w:rPr>
          <w:rFonts w:ascii="Times New Roman" w:eastAsia="SimSun" w:hAnsi="Times New Roman" w:cs="Times New Roman"/>
          <w:sz w:val="24"/>
          <w:lang w:val="en-GB"/>
        </w:rPr>
        <w:t xml:space="preserve"> UPR (</w:t>
      </w:r>
      <w:r w:rsidR="00D14688">
        <w:rPr>
          <w:rFonts w:ascii="Times New Roman" w:eastAsia="SimSun" w:hAnsi="Times New Roman" w:cs="Times New Roman"/>
          <w:sz w:val="24"/>
          <w:lang w:val="en-GB"/>
        </w:rPr>
        <w:t>F</w:t>
      </w:r>
      <w:r w:rsidR="00D14688">
        <w:rPr>
          <w:rFonts w:ascii="Times New Roman" w:eastAsia="SimSun" w:hAnsi="Times New Roman" w:cs="Times New Roman" w:hint="eastAsia"/>
          <w:sz w:val="24"/>
          <w:lang w:val="en-GB"/>
        </w:rPr>
        <w:t>igure</w:t>
      </w:r>
      <w:r w:rsidR="00D14688">
        <w:rPr>
          <w:rFonts w:ascii="Times New Roman" w:eastAsia="SimSun" w:hAnsi="Times New Roman" w:cs="Times New Roman"/>
          <w:sz w:val="24"/>
          <w:lang w:val="en-GB"/>
        </w:rPr>
        <w:t xml:space="preserve"> </w:t>
      </w:r>
      <w:r w:rsidR="002354ED">
        <w:rPr>
          <w:rFonts w:ascii="Times New Roman" w:eastAsia="SimSun" w:hAnsi="Times New Roman" w:cs="Times New Roman"/>
          <w:sz w:val="24"/>
          <w:lang w:val="en-GB"/>
        </w:rPr>
        <w:t>3</w:t>
      </w:r>
      <w:r w:rsidRPr="00D003E1">
        <w:rPr>
          <w:rFonts w:ascii="Times New Roman" w:eastAsia="SimSun" w:hAnsi="Times New Roman" w:cs="Times New Roman"/>
          <w:sz w:val="24"/>
          <w:lang w:val="en-GB"/>
        </w:rPr>
        <w:t>.3(a)) shows smooth flat surface with some stripes and debris which are the typical signs of brittle materials after tensile test. Compared to neat UPR, some rough, wrinkled–structure are represented in the SEM images of UPR/GO composites. In detail, no GO sheet can be observed in SEM image of 0.01 wt.% UPR/GO composite, indicating a strong interfacial interaction between GO and UPR. For 0.05 wt.% UPR/GO composite, still no visible GO sheet can be seen from SEM image. However, few clusters are observed, as highlighted unde</w:t>
      </w:r>
      <w:r w:rsidR="002354ED">
        <w:rPr>
          <w:rFonts w:ascii="Times New Roman" w:eastAsia="SimSun" w:hAnsi="Times New Roman" w:cs="Times New Roman"/>
          <w:sz w:val="24"/>
          <w:lang w:val="en-GB"/>
        </w:rPr>
        <w:t>r higher magnification (Figure 3</w:t>
      </w:r>
      <w:r w:rsidR="00E231A1">
        <w:rPr>
          <w:rFonts w:ascii="Times New Roman" w:eastAsia="SimSun" w:hAnsi="Times New Roman" w:cs="Times New Roman"/>
          <w:sz w:val="24"/>
          <w:lang w:val="en-GB"/>
        </w:rPr>
        <w:t>.3.</w:t>
      </w:r>
      <w:r w:rsidRPr="00D003E1">
        <w:rPr>
          <w:rFonts w:ascii="Times New Roman" w:eastAsia="SimSun" w:hAnsi="Times New Roman" w:cs="Times New Roman"/>
          <w:sz w:val="24"/>
          <w:lang w:val="en-GB"/>
        </w:rPr>
        <w:t xml:space="preserve">(d)). This implies that GO starts to aggregate from 0.05 wt.%, but the overall dispersion of GO in UPR matrix at 0.05 wt.% is homogeneous. The significant aggregation of GO sheets is observed in SEM image of 0.1 wt.% UPR/GO, indicating that GO tends to agglomerate at 0.1 wt.% due to the Van der Waals’ forces between GO sheets. This morphology of UPR, and UPR/GO composites can further explain the effects of GO on the properties of UPR. </w:t>
      </w:r>
    </w:p>
    <w:p w14:paraId="5F3F4130" w14:textId="77777777" w:rsidR="00D003E1" w:rsidRPr="00D003E1" w:rsidRDefault="00D003E1" w:rsidP="00D003E1">
      <w:pPr>
        <w:spacing w:after="0" w:line="480" w:lineRule="auto"/>
        <w:jc w:val="both"/>
        <w:rPr>
          <w:rFonts w:ascii="Times New Roman" w:eastAsia="SimSun" w:hAnsi="Times New Roman" w:cs="Times New Roman"/>
          <w:sz w:val="24"/>
          <w:lang w:val="en-GB"/>
        </w:rPr>
      </w:pPr>
    </w:p>
    <w:p w14:paraId="18B4C846" w14:textId="77777777" w:rsidR="00D003E1" w:rsidRPr="00D003E1" w:rsidRDefault="00D003E1" w:rsidP="00D003E1">
      <w:pPr>
        <w:spacing w:after="0" w:line="480" w:lineRule="auto"/>
        <w:jc w:val="both"/>
        <w:rPr>
          <w:rFonts w:ascii="Times New Roman" w:eastAsia="SimSun" w:hAnsi="Times New Roman" w:cs="Times New Roman"/>
          <w:sz w:val="24"/>
          <w:lang w:val="en-GB"/>
        </w:rPr>
      </w:pPr>
    </w:p>
    <w:p w14:paraId="6A73E63E" w14:textId="77777777"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 xml:space="preserve"> </w:t>
      </w:r>
    </w:p>
    <w:p w14:paraId="7B54B6EE" w14:textId="77777777" w:rsidR="00D003E1" w:rsidRPr="00D003E1" w:rsidRDefault="00D003E1" w:rsidP="00D003E1">
      <w:pPr>
        <w:spacing w:after="0" w:line="480" w:lineRule="auto"/>
        <w:ind w:firstLine="284"/>
        <w:jc w:val="center"/>
        <w:rPr>
          <w:rFonts w:ascii="Times New Roman" w:eastAsia="SimSun" w:hAnsi="Times New Roman" w:cs="Times New Roman"/>
          <w:sz w:val="24"/>
          <w:lang w:val="en-GB"/>
        </w:rPr>
      </w:pPr>
      <w:r w:rsidRPr="00D003E1">
        <w:rPr>
          <w:rFonts w:ascii="Times New Roman" w:eastAsia="SimSun" w:hAnsi="Times New Roman" w:cs="Times New Roman"/>
          <w:noProof/>
          <w:sz w:val="24"/>
          <w:lang w:val="en-GB"/>
        </w:rPr>
        <w:t xml:space="preserve"> </w:t>
      </w:r>
    </w:p>
    <w:p w14:paraId="7BFAC391" w14:textId="77777777" w:rsidR="00D003E1" w:rsidRPr="00D003E1" w:rsidRDefault="00D003E1" w:rsidP="00D003E1">
      <w:pPr>
        <w:spacing w:after="0" w:line="480" w:lineRule="auto"/>
        <w:ind w:firstLine="284"/>
        <w:jc w:val="center"/>
        <w:rPr>
          <w:rFonts w:ascii="Times New Roman" w:eastAsia="SimSun" w:hAnsi="Times New Roman" w:cs="Times New Roman"/>
          <w:sz w:val="24"/>
          <w:lang w:val="en-GB"/>
        </w:rPr>
      </w:pPr>
      <w:r w:rsidRPr="00D003E1">
        <w:rPr>
          <w:rFonts w:ascii="Times New Roman" w:eastAsia="SimSun" w:hAnsi="Times New Roman" w:cs="Times New Roman"/>
          <w:noProof/>
          <w:sz w:val="24"/>
          <w:lang w:val="en-GB"/>
        </w:rPr>
        <w:drawing>
          <wp:inline distT="0" distB="0" distL="0" distR="0" wp14:anchorId="56F3C445" wp14:editId="60BD7E28">
            <wp:extent cx="4103464" cy="5634242"/>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09840" cy="5642997"/>
                    </a:xfrm>
                    <a:prstGeom prst="rect">
                      <a:avLst/>
                    </a:prstGeom>
                    <a:noFill/>
                  </pic:spPr>
                </pic:pic>
              </a:graphicData>
            </a:graphic>
          </wp:inline>
        </w:drawing>
      </w:r>
      <w:r w:rsidRPr="00D003E1">
        <w:rPr>
          <w:rFonts w:ascii="Times New Roman" w:eastAsia="SimSun" w:hAnsi="Times New Roman" w:cs="Times New Roman"/>
          <w:noProof/>
          <w:sz w:val="24"/>
          <w:lang w:val="en-GB"/>
        </w:rPr>
        <w:t xml:space="preserve"> </w:t>
      </w:r>
    </w:p>
    <w:p w14:paraId="5E2D7C4C" w14:textId="12DF0328" w:rsidR="00D003E1" w:rsidRPr="00D003E1" w:rsidRDefault="002354ED" w:rsidP="0005778C">
      <w:pPr>
        <w:pStyle w:val="Caption"/>
        <w:ind w:firstLine="0"/>
        <w:rPr>
          <w:rFonts w:eastAsia="SimSun" w:cs="Times New Roman"/>
          <w:bCs/>
          <w:lang w:val="en-GB"/>
        </w:rPr>
      </w:pPr>
      <w:bookmarkStart w:id="88" w:name="_Toc502661656"/>
      <w:bookmarkStart w:id="89" w:name="_Toc518823394"/>
      <w:r>
        <w:t>Figure 3</w:t>
      </w:r>
      <w:r w:rsidR="00EF086B">
        <w:t>.</w:t>
      </w:r>
      <w:r w:rsidR="0005778C">
        <w:fldChar w:fldCharType="begin"/>
      </w:r>
      <w:r w:rsidR="0005778C">
        <w:instrText xml:space="preserve"> SEQ Figure_3. \* ARABIC </w:instrText>
      </w:r>
      <w:r w:rsidR="0005778C">
        <w:fldChar w:fldCharType="separate"/>
      </w:r>
      <w:r w:rsidR="00551ED9">
        <w:rPr>
          <w:noProof/>
        </w:rPr>
        <w:t>3</w:t>
      </w:r>
      <w:r w:rsidR="0005778C">
        <w:fldChar w:fldCharType="end"/>
      </w:r>
      <w:r w:rsidR="0005778C">
        <w:t xml:space="preserve">. </w:t>
      </w:r>
      <w:r w:rsidR="00D003E1" w:rsidRPr="00D003E1">
        <w:rPr>
          <w:rFonts w:eastAsia="SimSun" w:cs="Times New Roman" w:hint="eastAsia"/>
          <w:bCs/>
          <w:lang w:val="en-GB"/>
        </w:rPr>
        <w:t>SEM</w:t>
      </w:r>
      <w:r w:rsidR="00D003E1" w:rsidRPr="00D003E1">
        <w:rPr>
          <w:rFonts w:eastAsia="SimSun" w:cs="Times New Roman"/>
          <w:bCs/>
          <w:lang w:val="en-GB"/>
        </w:rPr>
        <w:t xml:space="preserve"> images of (a) neat UPR, (b) 0.01 wt.% UPR/GO, (c, d) 0.05 wt.% UPR/GO, and (e, f) 0.1 wt.% UPR/GO.</w:t>
      </w:r>
      <w:bookmarkEnd w:id="88"/>
      <w:bookmarkEnd w:id="89"/>
    </w:p>
    <w:p w14:paraId="12065BBC" w14:textId="77777777" w:rsidR="00D003E1" w:rsidRPr="00D003E1" w:rsidRDefault="00D003E1"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p>
    <w:p w14:paraId="18F9F2E5" w14:textId="015F6252" w:rsidR="00D003E1" w:rsidRPr="00D003E1" w:rsidRDefault="002354ED"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90" w:name="_Toc518823272"/>
      <w:r>
        <w:rPr>
          <w:rFonts w:ascii="Times New Roman" w:eastAsia="SimSun" w:hAnsi="Times New Roman" w:cs="Times New Roman" w:hint="eastAsia"/>
          <w:b/>
          <w:bCs/>
          <w:color w:val="000000"/>
          <w:sz w:val="24"/>
          <w:szCs w:val="26"/>
          <w:lang w:val="en-GB"/>
        </w:rPr>
        <w:t>3</w:t>
      </w:r>
      <w:r w:rsidR="00C266A6">
        <w:rPr>
          <w:rFonts w:ascii="Times New Roman" w:eastAsia="SimSun" w:hAnsi="Times New Roman" w:cs="Times New Roman" w:hint="eastAsia"/>
          <w:b/>
          <w:bCs/>
          <w:color w:val="000000"/>
          <w:sz w:val="24"/>
          <w:szCs w:val="26"/>
          <w:lang w:val="en-GB"/>
        </w:rPr>
        <w:t>.</w:t>
      </w:r>
      <w:r w:rsidR="00C266A6">
        <w:rPr>
          <w:rFonts w:ascii="Times New Roman" w:eastAsia="SimSun" w:hAnsi="Times New Roman" w:cs="Times New Roman"/>
          <w:b/>
          <w:bCs/>
          <w:color w:val="000000"/>
          <w:sz w:val="24"/>
          <w:szCs w:val="26"/>
          <w:lang w:val="en-GB"/>
        </w:rPr>
        <w:t>3</w:t>
      </w:r>
      <w:r w:rsidR="00C266A6" w:rsidRPr="00D003E1">
        <w:rPr>
          <w:rFonts w:ascii="Times New Roman" w:eastAsia="SimSun" w:hAnsi="Times New Roman" w:cs="Times New Roman"/>
          <w:b/>
          <w:bCs/>
          <w:color w:val="000000"/>
          <w:sz w:val="24"/>
          <w:szCs w:val="26"/>
          <w:lang w:val="en-GB"/>
        </w:rPr>
        <w:t>.</w:t>
      </w:r>
      <w:r w:rsidR="00C266A6" w:rsidRPr="00D003E1">
        <w:rPr>
          <w:rFonts w:ascii="Times New Roman" w:eastAsia="SimSun" w:hAnsi="Times New Roman" w:cs="Times New Roman" w:hint="eastAsia"/>
          <w:b/>
          <w:bCs/>
          <w:color w:val="000000"/>
          <w:sz w:val="24"/>
          <w:szCs w:val="26"/>
          <w:lang w:val="en-GB"/>
        </w:rPr>
        <w:t>4</w:t>
      </w:r>
      <w:r w:rsidR="00C266A6" w:rsidRPr="00D003E1">
        <w:rPr>
          <w:rFonts w:ascii="Times New Roman" w:eastAsia="SimSun" w:hAnsi="Times New Roman" w:cs="Times New Roman"/>
          <w:b/>
          <w:bCs/>
          <w:color w:val="000000"/>
          <w:sz w:val="24"/>
          <w:szCs w:val="26"/>
          <w:lang w:val="en-GB"/>
        </w:rPr>
        <w:t>. Mechanical properties</w:t>
      </w:r>
      <w:bookmarkEnd w:id="90"/>
      <w:r w:rsidR="00D003E1" w:rsidRPr="00D003E1">
        <w:rPr>
          <w:rFonts w:ascii="Times New Roman" w:eastAsia="SimSun" w:hAnsi="Times New Roman" w:cs="Times New Roman"/>
          <w:b/>
          <w:bCs/>
          <w:color w:val="000000"/>
          <w:sz w:val="24"/>
          <w:szCs w:val="26"/>
          <w:lang w:val="en-GB"/>
        </w:rPr>
        <w:t xml:space="preserve"> </w:t>
      </w:r>
    </w:p>
    <w:p w14:paraId="673CCA22" w14:textId="403FAE8E" w:rsidR="0068275D"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 xml:space="preserve">Owing to its </w:t>
      </w:r>
      <w:r w:rsidRPr="00D003E1">
        <w:rPr>
          <w:rFonts w:ascii="Times New Roman" w:eastAsia="SimSun" w:hAnsi="Times New Roman" w:cs="Times New Roman" w:hint="eastAsia"/>
          <w:sz w:val="24"/>
          <w:lang w:val="en-GB"/>
        </w:rPr>
        <w:t>high</w:t>
      </w:r>
      <w:r w:rsidRPr="00D003E1">
        <w:rPr>
          <w:rFonts w:ascii="Times New Roman" w:eastAsia="SimSun" w:hAnsi="Times New Roman" w:cs="Times New Roman"/>
          <w:sz w:val="24"/>
          <w:lang w:val="en-GB"/>
        </w:rPr>
        <w:t xml:space="preserve"> specific surface area, numerous oxygen functional groups, and aromatic structures, GO is considered as a great reinforcement for UPR nanocomposites. </w:t>
      </w:r>
      <w:r w:rsidR="00FF39B5">
        <w:rPr>
          <w:rFonts w:ascii="Times New Roman" w:eastAsia="SimSun" w:hAnsi="Times New Roman" w:cs="Times New Roman"/>
          <w:sz w:val="24"/>
          <w:lang w:val="en-GB"/>
        </w:rPr>
        <w:t xml:space="preserve">To study the effect of GO, </w:t>
      </w:r>
      <w:r w:rsidR="000256AB">
        <w:rPr>
          <w:rFonts w:ascii="Times New Roman" w:eastAsia="SimSun" w:hAnsi="Times New Roman" w:cs="Times New Roman"/>
          <w:sz w:val="24"/>
          <w:lang w:val="en-GB"/>
        </w:rPr>
        <w:t>and the effect of post curing</w:t>
      </w:r>
      <w:r w:rsidR="00FF39B5">
        <w:rPr>
          <w:rFonts w:ascii="Times New Roman" w:eastAsia="SimSun" w:hAnsi="Times New Roman" w:cs="Times New Roman"/>
          <w:sz w:val="24"/>
          <w:lang w:val="en-GB"/>
        </w:rPr>
        <w:t xml:space="preserve"> process on the mechanical properties, </w:t>
      </w:r>
      <w:r w:rsidRPr="00D003E1">
        <w:rPr>
          <w:rFonts w:ascii="Times New Roman" w:eastAsia="SimSun" w:hAnsi="Times New Roman" w:cs="Times New Roman"/>
          <w:sz w:val="24"/>
          <w:lang w:val="en-GB"/>
        </w:rPr>
        <w:t xml:space="preserve"> </w:t>
      </w:r>
      <w:r w:rsidR="00FF39B5">
        <w:rPr>
          <w:rFonts w:ascii="Times New Roman" w:eastAsia="SimSun" w:hAnsi="Times New Roman" w:cs="Times New Roman" w:hint="eastAsia"/>
          <w:sz w:val="24"/>
          <w:lang w:val="en-GB"/>
        </w:rPr>
        <w:t>t</w:t>
      </w:r>
      <w:r w:rsidR="00FF39B5">
        <w:rPr>
          <w:rFonts w:ascii="Times New Roman" w:eastAsia="SimSun" w:hAnsi="Times New Roman" w:cs="Times New Roman"/>
          <w:sz w:val="24"/>
          <w:lang w:val="en-GB"/>
        </w:rPr>
        <w:t xml:space="preserve">he tensile tests and 3-point bending tests were carried out on both UPR/GO composites with and without post curing. </w:t>
      </w:r>
    </w:p>
    <w:p w14:paraId="66186429" w14:textId="77777777" w:rsidR="000256AB" w:rsidRPr="00D003E1" w:rsidRDefault="000256AB" w:rsidP="00D003E1">
      <w:pPr>
        <w:spacing w:after="0" w:line="480" w:lineRule="auto"/>
        <w:jc w:val="both"/>
        <w:rPr>
          <w:rFonts w:ascii="Times New Roman" w:eastAsia="SimSun" w:hAnsi="Times New Roman" w:cs="Times New Roman"/>
          <w:sz w:val="24"/>
          <w:lang w:val="en-GB"/>
        </w:rPr>
      </w:pPr>
    </w:p>
    <w:p w14:paraId="36CE0100" w14:textId="28A72CAC" w:rsidR="00D003E1" w:rsidRPr="00D003E1" w:rsidRDefault="002354ED" w:rsidP="00D003E1">
      <w:pPr>
        <w:keepNext/>
        <w:keepLines/>
        <w:spacing w:after="0" w:line="480" w:lineRule="auto"/>
        <w:jc w:val="both"/>
        <w:outlineLvl w:val="2"/>
        <w:rPr>
          <w:rFonts w:ascii="Times New Roman" w:eastAsia="SimSun" w:hAnsi="Times New Roman" w:cs="Times New Roman"/>
          <w:bCs/>
          <w:sz w:val="24"/>
          <w:lang w:val="en-GB"/>
        </w:rPr>
      </w:pPr>
      <w:bookmarkStart w:id="91" w:name="_Toc518823273"/>
      <w:r>
        <w:rPr>
          <w:rFonts w:ascii="Times New Roman" w:eastAsia="SimSun" w:hAnsi="Times New Roman" w:cs="Times New Roman" w:hint="eastAsia"/>
          <w:bCs/>
          <w:sz w:val="24"/>
          <w:lang w:val="en-GB"/>
        </w:rPr>
        <w:t>3</w:t>
      </w:r>
      <w:r w:rsidR="007A5F08">
        <w:rPr>
          <w:rFonts w:ascii="Times New Roman" w:eastAsia="SimSun" w:hAnsi="Times New Roman" w:cs="Times New Roman" w:hint="eastAsia"/>
          <w:bCs/>
          <w:sz w:val="24"/>
          <w:lang w:val="en-GB"/>
        </w:rPr>
        <w:t>.</w:t>
      </w:r>
      <w:r w:rsidR="000C127D">
        <w:rPr>
          <w:rFonts w:ascii="Times New Roman" w:eastAsia="SimSun" w:hAnsi="Times New Roman" w:cs="Times New Roman"/>
          <w:bCs/>
          <w:sz w:val="24"/>
          <w:lang w:val="en-GB"/>
        </w:rPr>
        <w:t>3</w:t>
      </w:r>
      <w:r w:rsidR="00D003E1" w:rsidRPr="00D003E1">
        <w:rPr>
          <w:rFonts w:ascii="Times New Roman" w:eastAsia="SimSun" w:hAnsi="Times New Roman" w:cs="Times New Roman"/>
          <w:bCs/>
          <w:sz w:val="24"/>
          <w:lang w:val="en-GB"/>
        </w:rPr>
        <w:t>.</w:t>
      </w:r>
      <w:r w:rsidR="00D003E1" w:rsidRPr="00D003E1">
        <w:rPr>
          <w:rFonts w:ascii="Times New Roman" w:eastAsia="SimSun" w:hAnsi="Times New Roman" w:cs="Times New Roman" w:hint="eastAsia"/>
          <w:bCs/>
          <w:sz w:val="24"/>
          <w:lang w:val="en-GB"/>
        </w:rPr>
        <w:t>4</w:t>
      </w:r>
      <w:r w:rsidR="003D1E0D">
        <w:rPr>
          <w:rFonts w:ascii="Times New Roman" w:eastAsia="SimSun" w:hAnsi="Times New Roman" w:cs="Times New Roman"/>
          <w:bCs/>
          <w:sz w:val="24"/>
          <w:lang w:val="en-GB"/>
        </w:rPr>
        <w:t>.1</w:t>
      </w:r>
      <w:r w:rsidR="00D003E1" w:rsidRPr="00D003E1">
        <w:rPr>
          <w:rFonts w:ascii="Times New Roman" w:eastAsia="SimSun" w:hAnsi="Times New Roman" w:cs="Times New Roman"/>
          <w:bCs/>
          <w:sz w:val="24"/>
          <w:lang w:val="en-GB"/>
        </w:rPr>
        <w:t>. Tensile properties of UPR, UPR/GO rectangular bars (prepared without THF, non-post cured)</w:t>
      </w:r>
      <w:bookmarkEnd w:id="91"/>
    </w:p>
    <w:p w14:paraId="20BCBF68" w14:textId="01B2D629" w:rsidR="00C44EA9"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The tensile properties of non-post cured UPR and U</w:t>
      </w:r>
      <w:r w:rsidR="00E231A1">
        <w:rPr>
          <w:rFonts w:ascii="Times New Roman" w:eastAsia="SimSun" w:hAnsi="Times New Roman" w:cs="Times New Roman"/>
          <w:sz w:val="24"/>
          <w:lang w:val="en-GB"/>
        </w:rPr>
        <w:t>PR</w:t>
      </w:r>
      <w:r w:rsidR="002354ED">
        <w:rPr>
          <w:rFonts w:ascii="Times New Roman" w:eastAsia="SimSun" w:hAnsi="Times New Roman" w:cs="Times New Roman"/>
          <w:sz w:val="24"/>
          <w:lang w:val="en-GB"/>
        </w:rPr>
        <w:t>/GO bars are shown in Figure 3</w:t>
      </w:r>
      <w:r w:rsidR="000213AF">
        <w:rPr>
          <w:rFonts w:ascii="Times New Roman" w:eastAsia="SimSun" w:hAnsi="Times New Roman" w:cs="Times New Roman"/>
          <w:sz w:val="24"/>
          <w:lang w:val="en-GB"/>
        </w:rPr>
        <w:t>.4</w:t>
      </w:r>
      <w:r w:rsidR="002354ED">
        <w:rPr>
          <w:rFonts w:ascii="Times New Roman" w:eastAsia="SimSun" w:hAnsi="Times New Roman" w:cs="Times New Roman"/>
          <w:sz w:val="24"/>
          <w:lang w:val="en-GB"/>
        </w:rPr>
        <w:t xml:space="preserve"> and Table 3</w:t>
      </w:r>
      <w:r w:rsidR="000213AF">
        <w:rPr>
          <w:rFonts w:ascii="Times New Roman" w:eastAsia="SimSun" w:hAnsi="Times New Roman" w:cs="Times New Roman"/>
          <w:sz w:val="24"/>
          <w:lang w:val="en-GB"/>
        </w:rPr>
        <w:t>.1</w:t>
      </w:r>
      <w:r w:rsidR="007E431E">
        <w:rPr>
          <w:rFonts w:ascii="Times New Roman" w:eastAsia="SimSun" w:hAnsi="Times New Roman" w:cs="Times New Roman"/>
          <w:sz w:val="24"/>
          <w:lang w:val="en-GB"/>
        </w:rPr>
        <w:t xml:space="preserve">. </w:t>
      </w:r>
    </w:p>
    <w:p w14:paraId="1809236F" w14:textId="7B04D2A8" w:rsidR="00D003E1" w:rsidRPr="002354ED" w:rsidRDefault="007E431E" w:rsidP="00D003E1">
      <w:pPr>
        <w:spacing w:after="0" w:line="480" w:lineRule="auto"/>
        <w:jc w:val="both"/>
        <w:rPr>
          <w:rFonts w:ascii="Times New Roman" w:eastAsia="SimSun" w:hAnsi="Times New Roman" w:cs="Times New Roman"/>
          <w:sz w:val="24"/>
          <w:lang w:val="en-GB"/>
        </w:rPr>
      </w:pPr>
      <w:r>
        <w:rPr>
          <w:rFonts w:ascii="Times New Roman" w:eastAsia="SimSun" w:hAnsi="Times New Roman" w:cs="Times New Roman"/>
          <w:sz w:val="24"/>
          <w:lang w:val="en-GB"/>
        </w:rPr>
        <w:t xml:space="preserve">Young’s modulus, </w:t>
      </w:r>
      <w:r w:rsidR="00D003E1" w:rsidRPr="00D003E1">
        <w:rPr>
          <w:rFonts w:ascii="Times New Roman" w:eastAsia="SimSun" w:hAnsi="Times New Roman" w:cs="Times New Roman"/>
          <w:sz w:val="24"/>
          <w:lang w:val="en-GB"/>
        </w:rPr>
        <w:t>related to the linear elastic behaviour of a material, is obtained from the slope of linear region of stress-strain curve. It increases with the increasing GO content, and the highest value of 1.67 GPa is observed at 0.05 wt.%, which is 31% higher over neat UPR. However, 0.1 wt.% UPR/GO displays a reduced Young’s modulus of 1.28 GPa. For the tensile strength, 0.01 wt.% UPR/GO exhibits an improvement of 4% over neat UPR, which is statistically significant (p &lt; 0.05, two-tailed t-test). The enhancement of Young’s modulus and tensile strength is contributed to the strong interfacial interaction between GO and UPR by hydrogen bonding or п-п interaction which is confirmed by FTIR. Therefore, the stress can be transferred from matrix to rigid fillers, resultin</w:t>
      </w:r>
      <w:r w:rsidR="004D6C61">
        <w:rPr>
          <w:rFonts w:ascii="Times New Roman" w:eastAsia="SimSun" w:hAnsi="Times New Roman" w:cs="Times New Roman"/>
          <w:sz w:val="24"/>
          <w:lang w:val="en-GB"/>
        </w:rPr>
        <w:t xml:space="preserve"> </w:t>
      </w:r>
      <w:r w:rsidR="00D003E1" w:rsidRPr="00D003E1">
        <w:rPr>
          <w:rFonts w:ascii="Times New Roman" w:eastAsia="SimSun" w:hAnsi="Times New Roman" w:cs="Times New Roman"/>
          <w:sz w:val="24"/>
          <w:lang w:val="en-GB"/>
        </w:rPr>
        <w:t xml:space="preserve">g in a more stiff material with higher modulus and tensile strength. However, as discussed in SEM analysis, GO starts to aggregate from 0.05 wt.% due to van der Waals’ forces. Owing to the fact that the aggregation of GO at 0.05 wt.% is not significant, it processes an enhanced </w:t>
      </w:r>
      <w:r w:rsidR="00D003E1" w:rsidRPr="002354ED">
        <w:rPr>
          <w:rFonts w:ascii="Times New Roman" w:eastAsia="SimSun" w:hAnsi="Times New Roman" w:cs="Times New Roman"/>
          <w:sz w:val="24"/>
          <w:lang w:val="en-GB"/>
        </w:rPr>
        <w:t>Young’s modulus with slightly decreased tensile strength which is statistically insignificant (p &gt; 0.05, two-tailed t-test). Significant decreases on the mechanical properties are obs</w:t>
      </w:r>
      <w:r w:rsidR="00BA2EDF" w:rsidRPr="002354ED">
        <w:rPr>
          <w:rFonts w:ascii="Times New Roman" w:eastAsia="SimSun" w:hAnsi="Times New Roman" w:cs="Times New Roman"/>
          <w:sz w:val="24"/>
          <w:lang w:val="en-GB"/>
        </w:rPr>
        <w:t xml:space="preserve">erved at 0.1 wt.% UPR/GO, which is </w:t>
      </w:r>
      <w:r w:rsidR="00D003E1" w:rsidRPr="002354ED">
        <w:rPr>
          <w:rFonts w:ascii="Times New Roman" w:eastAsia="SimSun" w:hAnsi="Times New Roman" w:cs="Times New Roman"/>
          <w:sz w:val="24"/>
          <w:lang w:val="en-GB"/>
        </w:rPr>
        <w:t>1.28 GPa for Young’s modulus, and 37.8 MPa for tensile strength. This is because</w:t>
      </w:r>
      <w:r w:rsidR="00ED6CCB" w:rsidRPr="002354ED">
        <w:rPr>
          <w:rFonts w:ascii="Times New Roman" w:eastAsia="SimSun" w:hAnsi="Times New Roman" w:cs="Times New Roman"/>
          <w:sz w:val="24"/>
          <w:lang w:val="en-GB"/>
        </w:rPr>
        <w:t xml:space="preserve"> the significant aggregation of GO at 0.1 wt.%, </w:t>
      </w:r>
      <w:r w:rsidR="00D003E1" w:rsidRPr="002354ED">
        <w:rPr>
          <w:rFonts w:ascii="Times New Roman" w:eastAsia="SimSun" w:hAnsi="Times New Roman" w:cs="Times New Roman"/>
          <w:sz w:val="24"/>
          <w:lang w:val="en-GB"/>
        </w:rPr>
        <w:t>as represented in SEM images,</w:t>
      </w:r>
      <w:r w:rsidR="00524CDB" w:rsidRPr="002354ED">
        <w:rPr>
          <w:rFonts w:ascii="Times New Roman" w:eastAsia="SimSun" w:hAnsi="Times New Roman" w:cs="Times New Roman"/>
          <w:sz w:val="24"/>
          <w:lang w:val="en-GB"/>
        </w:rPr>
        <w:t xml:space="preserve"> negatively impacts</w:t>
      </w:r>
      <w:r w:rsidR="00D003E1" w:rsidRPr="002354ED">
        <w:rPr>
          <w:rFonts w:ascii="Times New Roman" w:eastAsia="SimSun" w:hAnsi="Times New Roman" w:cs="Times New Roman"/>
          <w:sz w:val="24"/>
          <w:lang w:val="en-GB"/>
        </w:rPr>
        <w:t xml:space="preserve"> the specific surface of GO. Therefore, the interfacial interaction between GO and UPR is reduced</w:t>
      </w:r>
      <w:r w:rsidR="00ED6CCB" w:rsidRPr="002354ED">
        <w:rPr>
          <w:rFonts w:ascii="Times New Roman" w:eastAsia="SimSun" w:hAnsi="Times New Roman" w:cs="Times New Roman"/>
          <w:sz w:val="24"/>
          <w:lang w:val="en-GB"/>
        </w:rPr>
        <w:t xml:space="preserve"> at 0.1 wt.%</w:t>
      </w:r>
      <w:r w:rsidR="00D003E1" w:rsidRPr="002354ED">
        <w:rPr>
          <w:rFonts w:ascii="Times New Roman" w:eastAsia="SimSun" w:hAnsi="Times New Roman" w:cs="Times New Roman"/>
          <w:sz w:val="24"/>
          <w:lang w:val="en-GB"/>
        </w:rPr>
        <w:t xml:space="preserve">, resulting in reduced mechanical properties </w:t>
      </w:r>
      <w:r w:rsidR="00D003E1" w:rsidRPr="002354ED">
        <w:rPr>
          <w:rFonts w:ascii="Times New Roman" w:eastAsia="SimSun" w:hAnsi="Times New Roman" w:cs="Times New Roman"/>
          <w:sz w:val="24"/>
          <w:lang w:val="en-GB"/>
        </w:rPr>
        <w:fldChar w:fldCharType="begin" w:fldLock="1"/>
      </w:r>
      <w:r w:rsidR="00D14688" w:rsidRPr="002354ED">
        <w:rPr>
          <w:rFonts w:ascii="Times New Roman" w:eastAsia="SimSun" w:hAnsi="Times New Roman" w:cs="Times New Roman"/>
          <w:sz w:val="24"/>
          <w:lang w:val="en-GB"/>
        </w:rPr>
        <w:instrText>ADDIN CSL_CITATION { "citationItems" : [ { "id" : "ITEM-1", "itemData" : { "DOI" : "10.1039/c1jm10717h", "ISBN" : "0959-9428", "ISSN" : "0959-9428", "abstract" : "The introduction of graphene into a polymer matrix can markedly improve its mechanical properties and electrical conductivity. We report herein a novel strategy to fabricate polyester/reduced graphene oxide composites via simultaneous dispersion and thermo-reduction of graphene oxide (GO) during in situ melt polycondensation. The pristine graphite was first oxidized using a strong oxidant acid to prepare GO, and then GO sheets were dispersed into ethylene glycol (EG), where a homogeneous dispersion of GO in EG was obtained with ultrasonication. Finally polyester/reduced graphene oxide composites were prepared via in situpolymerization of terephthalic acid (PTA) and ethylene glycol containing well dispersed GO. Fourier transform infrared spectroscopy (FTIR), thermogravimetric analysis (TGA), X-ray photoelectron spectroscopy (XPS) and sedimentation experiments have been used to characterize the prepared composites. It is demonstrated that poly(ethylene terephthalate) (PET) chains may have been sucessfully grafted onto GO sheets during polymerization, accompanied by the thermo-reduction from GO to graphene. The TGA and XPS results showed that the content of grafted PET polymer was about to 60\u201380%, which indicates a homogeneous dispersion of GO sheets in the PET matrix, as demonstrated by SEM. Furthermore, a significant improvement in tensile strength and elongation at break of PET has been achieved. Therefore, our work provides a new way for the preparation of polyester/reduced graphene oxide composites and functionalization of graphene.", "author" : [ { "dropping-particle" : "", "family" : "Liu", "given" : "Kai", "non-dropping-particle" : "", "parse-names" : false, "suffix" : "" }, { "dropping-particle" : "", "family" : "Chen", "given" : "Li", "non-dropping-particle" : "", "parse-names" : false, "suffix" : "" }, { "dropping-particle" : "", "family" : "Chen", "given" : "Yao", "non-dropping-particle" : "", "parse-names" : false, "suffix" : "" }, { "dropping-particle" : "", "family" : "Wu", "given" : "Jieli", "non-dropping-particle" : "", "parse-names" : false, "suffix" : "" }, { "dropping-particle" : "", "family" : "Zhang", "given" : "Weiyi", "non-dropping-particle" : "", "parse-names" : false, "suffix" : "" }, { "dropping-particle" : "", "family" : "Chen", "given" : "Feng", "non-dropping-particle" : "", "parse-names" : false, "suffix" : "" }, { "dropping-particle" : "", "family" : "Fu", "given" : "Qiang", "non-dropping-particle" : "", "parse-names" : false, "suffix" : "" } ], "container-title" : "Journal of Materials Chemistry", "id" : "ITEM-1", "issue" : "24", "issued" : { "date-parts" : [ [ "2011" ] ] }, "page" : "8612", "title" : "Preparation of polyester/reduced graphene oxide composites via in situ melt polycondensation and simultaneous thermo-reduction of graphene oxide", "type" : "article-journal", "volume" : "21" }, "uris" : [ "http://www.mendeley.com/documents/?uuid=fa983c7c-303f-4998-8838-5ee6519d84a8" ] }, { "id" : "ITEM-2", "itemData" : { "DOI" : "10.1002/app.39068", "ISSN" : "00218995", "abstract" : "Graphene oxide (GO) has attracted huge scientific interest due to its unique physical and chemical properties as well as its wide-scale applicability including facile synthesis and high yield. Here, we report preparation of nanocomposites based on GO and unsaturated polyester resin (PE). The synthesized samples were characterized by Fourier transform infrared spectroscopy, X-ray diffraction, scanning electron microscopy, thermogravimetric analysis, and tensile strength measurements. A good dispersion of the GO sheets within the resin matrix was observed from the morphological analysis. A significant enhancement in mechanical properties of the PE/GO composites is obtained at low graphene loading. Around 76% improvement of tensile strength and 41% increase of Young's modulus of the composites are achieved at 3 wt % loading of GO. Thermal analysis of the composite showed a noticeable improvement in thermal stability in comparison to neat PE. Copyright \u00a9 2013 Wiley Periodicals, Inc.", "author" : [ { "dropping-particle" : "", "family" : "Bora", "given" : "Chandramika", "non-dropping-particle" : "", "parse-names" : false, "suffix" : "" }, { "dropping-particle" : "", "family" : "Gogoi", "given" : "Pronob", "non-dropping-particle" : "", "parse-names" : false, "suffix" : "" }, { "dropping-particle" : "", "family" : "Baglari", "given" : "Silpi", "non-dropping-particle" : "", "parse-names" : false, "suffix" : "" }, { "dropping-particle" : "", "family" : "Dolui", "given" : "Swapan K.", "non-dropping-particle" : "", "parse-names" : false, "suffix" : "" } ], "container-title" : "Applied Polymer Science", "id" : "ITEM-2", "issue" : "6", "issued" : { "date-parts" : [ [ "2013" ] ] }, "page" : "3432-3438", "title" : "Preparation of polyester resin/graphene oxide nanocomposite with improved mechanical strength", "type" : "article-journal", "volume" : "10" }, "uris" : [ "http://www.mendeley.com/documents/?uuid=6219ff23-f6d1-449e-becd-bd0afc5dc85f" ] } ], "mendeley" : { "formattedCitation" : "[141,161]", "plainTextFormattedCitation" : "[141,161]", "previouslyFormattedCitation" : "[141,161]" }, "properties" : {  }, "schema" : "https://github.com/citation-style-language/schema/raw/master/csl-citation.json" }</w:instrText>
      </w:r>
      <w:r w:rsidR="00D003E1" w:rsidRPr="002354ED">
        <w:rPr>
          <w:rFonts w:ascii="Times New Roman" w:eastAsia="SimSun" w:hAnsi="Times New Roman" w:cs="Times New Roman"/>
          <w:sz w:val="24"/>
          <w:lang w:val="en-GB"/>
        </w:rPr>
        <w:fldChar w:fldCharType="separate"/>
      </w:r>
      <w:r w:rsidR="00D973A8" w:rsidRPr="002354ED">
        <w:rPr>
          <w:rFonts w:ascii="Times New Roman" w:eastAsia="SimSun" w:hAnsi="Times New Roman" w:cs="Times New Roman"/>
          <w:noProof/>
          <w:sz w:val="24"/>
          <w:lang w:val="en-GB"/>
        </w:rPr>
        <w:t>[141,161]</w:t>
      </w:r>
      <w:r w:rsidR="00D003E1" w:rsidRPr="002354ED">
        <w:rPr>
          <w:rFonts w:ascii="Times New Roman" w:eastAsia="SimSun" w:hAnsi="Times New Roman" w:cs="Times New Roman"/>
          <w:sz w:val="24"/>
          <w:lang w:val="en-GB"/>
        </w:rPr>
        <w:fldChar w:fldCharType="end"/>
      </w:r>
      <w:r w:rsidR="00D003E1" w:rsidRPr="002354ED">
        <w:rPr>
          <w:rFonts w:ascii="Times New Roman" w:eastAsia="SimSun" w:hAnsi="Times New Roman" w:cs="Times New Roman"/>
          <w:sz w:val="24"/>
          <w:lang w:val="en-GB"/>
        </w:rPr>
        <w:t xml:space="preserve">. Elongation at break gradually reduced with increasing GO content, and the lowest value of 3.95% is observed at 0.1 wt.% UPR/GO, which is 33% lower than neat UPR. </w:t>
      </w:r>
      <w:r w:rsidR="00524CDB" w:rsidRPr="002354ED">
        <w:rPr>
          <w:rFonts w:ascii="Times New Roman" w:eastAsia="SimSun" w:hAnsi="Times New Roman" w:cs="Times New Roman"/>
          <w:sz w:val="24"/>
          <w:lang w:val="en-GB"/>
        </w:rPr>
        <w:t>For the content of GO below 0.05 wt.%, GO restricts the movement of UPR polymer chains due to the high specific surface of GO and strong interfacial interaction between GO and UPR</w:t>
      </w:r>
      <w:r w:rsidR="0048672B" w:rsidRPr="002354ED">
        <w:rPr>
          <w:rFonts w:ascii="Times New Roman" w:eastAsia="SimSun" w:hAnsi="Times New Roman" w:cs="Times New Roman"/>
          <w:sz w:val="24"/>
          <w:lang w:val="en-GB"/>
        </w:rPr>
        <w:t>, resulting in a reduced elongation at break</w:t>
      </w:r>
      <w:r w:rsidR="00524CDB" w:rsidRPr="002354ED">
        <w:rPr>
          <w:rFonts w:ascii="Times New Roman" w:eastAsia="SimSun" w:hAnsi="Times New Roman" w:cs="Times New Roman"/>
          <w:sz w:val="24"/>
          <w:lang w:val="en-GB"/>
        </w:rPr>
        <w:t xml:space="preserve"> </w:t>
      </w:r>
      <w:r w:rsidR="00524CDB" w:rsidRPr="002354ED">
        <w:rPr>
          <w:rFonts w:ascii="Times New Roman" w:eastAsia="SimSun" w:hAnsi="Times New Roman" w:cs="Times New Roman"/>
          <w:sz w:val="24"/>
          <w:lang w:val="en-GB"/>
        </w:rPr>
        <w:fldChar w:fldCharType="begin" w:fldLock="1"/>
      </w:r>
      <w:r w:rsidR="00524CDB" w:rsidRPr="002354ED">
        <w:rPr>
          <w:rFonts w:ascii="Times New Roman" w:eastAsia="SimSun" w:hAnsi="Times New Roman" w:cs="Times New Roman"/>
          <w:sz w:val="24"/>
          <w:lang w:val="en-GB"/>
        </w:rPr>
        <w:instrText>ADDIN CSL_CITATION { "citationItems" : [ { "id" : "ITEM-1", "itemData" : { "DOI" : "10.1002/app.39068", "ISSN" : "00218995", "abstract" : "Graphene oxide (GO) has attracted huge scientific interest due to its unique physical and chemical properties as well as its wide-scale applicability including facile synthesis and high yield. Here, we report preparation of nanocomposites based on GO and unsaturated polyester resin (PE). The synthesized samples were characterized by Fourier transform infrared spectroscopy, X-ray diffraction, scanning electron microscopy, thermogravimetric analysis, and tensile strength measurements. A good dispersion of the GO sheets within the resin matrix was observed from the morphological analysis. A significant enhancement in mechanical properties of the PE/GO composites is obtained at low graphene loading. Around 76% improvement of tensile strength and 41% increase of Young's modulus of the composites are achieved at 3 wt % loading of GO. Thermal analysis of the composite showed a noticeable improvement in thermal stability in comparison to neat PE. Copyright \u00a9 2013 Wiley Periodicals, Inc.", "author" : [ { "dropping-particle" : "", "family" : "Bora", "given" : "Chandramika", "non-dropping-particle" : "", "parse-names" : false, "suffix" : "" }, { "dropping-particle" : "", "family" : "Gogoi", "given" : "Pronob", "non-dropping-particle" : "", "parse-names" : false, "suffix" : "" }, { "dropping-particle" : "", "family" : "Baglari", "given" : "Silpi", "non-dropping-particle" : "", "parse-names" : false, "suffix" : "" }, { "dropping-particle" : "", "family" : "Dolui", "given" : "Swapan K.", "non-dropping-particle" : "", "parse-names" : false, "suffix" : "" } ], "container-title" : "Applied Polymer Science", "id" : "ITEM-1", "issue" : "6", "issued" : { "date-parts" : [ [ "2013" ] ] }, "page" : "3432-3438", "title" : "Preparation of polyester resin/graphene oxide nanocomposite with improved mechanical strength", "type" : "article-journal", "volume" : "10" }, "uris" : [ "http://www.mendeley.com/documents/?uuid=6219ff23-f6d1-449e-becd-bd0afc5dc85f" ] } ], "mendeley" : { "formattedCitation" : "[141]", "plainTextFormattedCitation" : "[141]", "previouslyFormattedCitation" : "[141]" }, "properties" : {  }, "schema" : "https://github.com/citation-style-language/schema/raw/master/csl-citation.json" }</w:instrText>
      </w:r>
      <w:r w:rsidR="00524CDB" w:rsidRPr="002354ED">
        <w:rPr>
          <w:rFonts w:ascii="Times New Roman" w:eastAsia="SimSun" w:hAnsi="Times New Roman" w:cs="Times New Roman"/>
          <w:sz w:val="24"/>
          <w:lang w:val="en-GB"/>
        </w:rPr>
        <w:fldChar w:fldCharType="separate"/>
      </w:r>
      <w:r w:rsidR="00524CDB" w:rsidRPr="002354ED">
        <w:rPr>
          <w:rFonts w:ascii="Times New Roman" w:eastAsia="SimSun" w:hAnsi="Times New Roman" w:cs="Times New Roman"/>
          <w:noProof/>
          <w:sz w:val="24"/>
          <w:lang w:val="en-GB"/>
        </w:rPr>
        <w:t>[141]</w:t>
      </w:r>
      <w:r w:rsidR="00524CDB" w:rsidRPr="002354ED">
        <w:rPr>
          <w:rFonts w:ascii="Times New Roman" w:eastAsia="SimSun" w:hAnsi="Times New Roman" w:cs="Times New Roman"/>
          <w:sz w:val="24"/>
          <w:lang w:val="en-GB"/>
        </w:rPr>
        <w:fldChar w:fldCharType="end"/>
      </w:r>
      <w:r w:rsidR="00524CDB" w:rsidRPr="002354ED">
        <w:rPr>
          <w:rFonts w:ascii="Times New Roman" w:eastAsia="SimSun" w:hAnsi="Times New Roman" w:cs="Times New Roman"/>
          <w:sz w:val="24"/>
          <w:lang w:val="en-GB"/>
        </w:rPr>
        <w:t xml:space="preserve">.  </w:t>
      </w:r>
      <w:r w:rsidR="007D27B6" w:rsidRPr="002354ED">
        <w:rPr>
          <w:rFonts w:ascii="Times New Roman" w:eastAsia="SimSun" w:hAnsi="Times New Roman" w:cs="Times New Roman"/>
          <w:sz w:val="24"/>
          <w:lang w:val="en-GB"/>
        </w:rPr>
        <w:t xml:space="preserve">However, the reason for the reduced elongation at break at 0.1 wt.% is not clear. </w:t>
      </w:r>
      <w:r w:rsidR="00D003E1" w:rsidRPr="002354ED">
        <w:rPr>
          <w:rFonts w:ascii="Times New Roman" w:eastAsia="SimSun" w:hAnsi="Times New Roman" w:cs="Times New Roman"/>
          <w:sz w:val="24"/>
          <w:lang w:val="en-GB"/>
        </w:rPr>
        <w:t xml:space="preserve">Energy at break is the combination of tensile strength and elongation at break. It reduces gradually with increasing GO content, even for 0.01 wt.% UPR/GO which processes an improved tensile strength, and the lowest value happens at 0.1 wt.%, which is 50% lower than neat UPR. Similar results were also observed for other graphene/GO based polymer composites </w:t>
      </w:r>
      <w:r w:rsidR="00D003E1" w:rsidRPr="002354ED">
        <w:rPr>
          <w:rFonts w:ascii="Times New Roman" w:eastAsia="SimSun" w:hAnsi="Times New Roman" w:cs="Times New Roman"/>
          <w:sz w:val="24"/>
          <w:lang w:val="en-GB"/>
        </w:rPr>
        <w:fldChar w:fldCharType="begin" w:fldLock="1"/>
      </w:r>
      <w:r w:rsidR="00D14688" w:rsidRPr="002354ED">
        <w:rPr>
          <w:rFonts w:ascii="Times New Roman" w:eastAsia="SimSun" w:hAnsi="Times New Roman" w:cs="Times New Roman"/>
          <w:sz w:val="24"/>
          <w:lang w:val="en-GB"/>
        </w:rPr>
        <w:instrText>ADDIN CSL_CITATION { "citationItems" : [ { "id" : "ITEM-1", "itemData" : { "author" : [ { "dropping-particle" : "", "family" : "Xu", "given" : "Yuxi", "non-dropping-particle" : "", "parse-names" : false, "suffix" : "" }, { "dropping-particle" : "", "family" : "Bai", "given" : "Hua", "non-dropping-particle" : "", "parse-names" : false, "suffix" : "" }, { "dropping-particle" : "", "family" : "Hong", "given" : "Wenjing", "non-dropping-particle" : "", "parse-names" : false, "suffix" : "" }, { "dropping-particle" : "", "family" : "Li", "given" : "Chun", "non-dropping-particle" : "", "parse-names" : false, "suffix" : "" }, { "dropping-particle" : "", "family" : "Shi", "given" : "Gaoquan", "non-dropping-particle" : "", "parse-names" : false, "suffix" : "" } ], "container-title" : "J.AM.CHEM.SOC.", "id" : "ITEM-1", "issued" : { "date-parts" : [ [ "2009" ] ] }, "page" : "13490-13497", "title" : "Chemically Converted Graphene Induced Molecular Flattening\\rof 5,10,15,20-Tetrakis(1-methyl-4-pyridinio)porphyrin and Its\\rApplication for Optical Detection of Cadmium(II) Ions\\r", "type" : "article-journal", "volume" : "131" }, "uris" : [ "http://www.mendeley.com/documents/?uuid=de59676c-78ed-415b-8540-b87685af63be" ] }, { "id" : "ITEM-2", "itemData" : { "DOI" : "10.1021/ma902862u", "ISBN" : "0024-9297", "ISSN" : "00249297", "abstract" : "ABSTRACT: Graphene, flat carbon nanosheets, has generated huge activity in many areas of science and engineering due to its unprecedented physical and chemical properties. With the development of wide-scale applicability including facile synthesis and high yield, this exciting material is ready for its practical application in the preparation of polymer nanocomposites. Here we report that nanocomposites based on fully exfoliated graphene nanosheets and poly(vinyl alcohol) (PVA) are prepared via a facial aqueous solution.Asignificant enhancement of mechanical properties of the graphene/PVA composites is obtained at low graphene loading; that is, a 150% improvement of tensile strength and a nearly 10 times increase of Young\u2019s modulus are achieved at a graphene loading of 1.8 vol%.The comparison between the experimental results and theoretical simulation for Young\u2019s modulus indicates that the graphene nanosheets in polymer matrix are mostly dispersed randomly in the nanocomposite films.", "author" : [ { "dropping-particle" : "", "family" : "Zhao", "given" : "Xin", "non-dropping-particle" : "", "parse-names" : false, "suffix" : "" }, { "dropping-particle" : "", "family" : "Zhang", "given" : "Qinghua", "non-dropping-particle" : "", "parse-names" : false, "suffix" : "" }, { "dropping-particle" : "", "family" : "Chen", "given" : "Dajun", "non-dropping-particle" : "", "parse-names" : false, "suffix" : "" }, { "dropping-particle" : "", "family" : "Lu", "given" : "Ping", "non-dropping-particle" : "", "parse-names" : false, "suffix" : "" } ], "container-title" : "Macromolecules", "id" : "ITEM-2", "issue" : "5", "issued" : { "date-parts" : [ [ "2010" ] ] }, "page" : "2357-2363", "title" : "Enhanced mechanical properties of graphene-based polyvinyl alcohol composites", "type" : "article-journal", "volume" : "43" }, "uris" : [ "http://www.mendeley.com/documents/?uuid=ad9532c9-787c-4278-8a04-c7c6db044411" ] } ], "mendeley" : { "formattedCitation" : "[81,162]", "plainTextFormattedCitation" : "[81,162]", "previouslyFormattedCitation" : "[81,162]" }, "properties" : {  }, "schema" : "https://github.com/citation-style-language/schema/raw/master/csl-citation.json" }</w:instrText>
      </w:r>
      <w:r w:rsidR="00D003E1" w:rsidRPr="002354ED">
        <w:rPr>
          <w:rFonts w:ascii="Times New Roman" w:eastAsia="SimSun" w:hAnsi="Times New Roman" w:cs="Times New Roman"/>
          <w:sz w:val="24"/>
          <w:lang w:val="en-GB"/>
        </w:rPr>
        <w:fldChar w:fldCharType="separate"/>
      </w:r>
      <w:r w:rsidR="00D973A8" w:rsidRPr="002354ED">
        <w:rPr>
          <w:rFonts w:ascii="Times New Roman" w:eastAsia="SimSun" w:hAnsi="Times New Roman" w:cs="Times New Roman"/>
          <w:noProof/>
          <w:sz w:val="24"/>
          <w:lang w:val="en-GB"/>
        </w:rPr>
        <w:t>[81,162]</w:t>
      </w:r>
      <w:r w:rsidR="00D003E1" w:rsidRPr="002354ED">
        <w:rPr>
          <w:rFonts w:ascii="Times New Roman" w:eastAsia="SimSun" w:hAnsi="Times New Roman" w:cs="Times New Roman"/>
          <w:sz w:val="24"/>
          <w:lang w:val="en-GB"/>
        </w:rPr>
        <w:fldChar w:fldCharType="end"/>
      </w:r>
      <w:r w:rsidR="00D003E1" w:rsidRPr="002354ED">
        <w:rPr>
          <w:rFonts w:ascii="Times New Roman" w:eastAsia="SimSun" w:hAnsi="Times New Roman" w:cs="Times New Roman"/>
          <w:sz w:val="24"/>
          <w:lang w:val="en-GB"/>
        </w:rPr>
        <w:t>.</w:t>
      </w:r>
    </w:p>
    <w:p w14:paraId="31A12946" w14:textId="77777777" w:rsidR="00D003E1" w:rsidRPr="00D003E1" w:rsidRDefault="00D003E1" w:rsidP="00D003E1">
      <w:pPr>
        <w:keepNext/>
        <w:spacing w:after="0" w:line="480" w:lineRule="auto"/>
        <w:ind w:firstLine="284"/>
        <w:jc w:val="center"/>
        <w:rPr>
          <w:rFonts w:ascii="Times New Roman" w:eastAsia="SimSun" w:hAnsi="Times New Roman" w:cs="Times New Roman"/>
          <w:sz w:val="24"/>
          <w:lang w:val="en-GB"/>
        </w:rPr>
      </w:pPr>
      <w:r w:rsidRPr="00D003E1">
        <w:rPr>
          <w:rFonts w:ascii="Times New Roman" w:eastAsia="SimSun" w:hAnsi="Times New Roman" w:cs="Times New Roman"/>
          <w:noProof/>
          <w:sz w:val="24"/>
          <w:lang w:val="en-GB"/>
        </w:rPr>
        <w:drawing>
          <wp:inline distT="0" distB="0" distL="0" distR="0" wp14:anchorId="13630877" wp14:editId="21A069E2">
            <wp:extent cx="5596455" cy="58483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04511" cy="5856769"/>
                    </a:xfrm>
                    <a:prstGeom prst="rect">
                      <a:avLst/>
                    </a:prstGeom>
                    <a:noFill/>
                  </pic:spPr>
                </pic:pic>
              </a:graphicData>
            </a:graphic>
          </wp:inline>
        </w:drawing>
      </w:r>
    </w:p>
    <w:p w14:paraId="0EB93501" w14:textId="3773AD20" w:rsidR="00D003E1" w:rsidRPr="00D003E1" w:rsidRDefault="002354ED" w:rsidP="0005778C">
      <w:pPr>
        <w:pStyle w:val="Caption"/>
        <w:ind w:firstLine="0"/>
        <w:rPr>
          <w:rFonts w:eastAsia="SimSun" w:cs="Times New Roman"/>
          <w:bCs/>
          <w:lang w:val="en-GB"/>
        </w:rPr>
      </w:pPr>
      <w:bookmarkStart w:id="92" w:name="_Toc502661658"/>
      <w:r>
        <w:t>Figure 3</w:t>
      </w:r>
      <w:r w:rsidR="00EF086B">
        <w:t>.</w:t>
      </w:r>
      <w:r w:rsidR="003D1E0D">
        <w:t>4</w:t>
      </w:r>
      <w:r w:rsidR="0005778C">
        <w:t xml:space="preserve">. </w:t>
      </w:r>
      <w:r w:rsidR="00D003E1" w:rsidRPr="00D003E1">
        <w:rPr>
          <w:rFonts w:eastAsia="SimSun" w:cs="Times New Roman"/>
          <w:bCs/>
          <w:noProof/>
          <w:lang w:val="en-GB"/>
        </w:rPr>
        <w:t>Tensile</w:t>
      </w:r>
      <w:r w:rsidR="00D003E1" w:rsidRPr="00D003E1">
        <w:rPr>
          <w:rFonts w:eastAsia="SimSun" w:cs="Times New Roman" w:hint="eastAsia"/>
          <w:bCs/>
          <w:lang w:val="en-GB"/>
        </w:rPr>
        <w:t xml:space="preserve"> </w:t>
      </w:r>
      <w:r w:rsidR="004E5973">
        <w:rPr>
          <w:rFonts w:eastAsia="SimSun" w:cs="Times New Roman"/>
          <w:bCs/>
          <w:lang w:val="en-GB"/>
        </w:rPr>
        <w:t>properties of UPR</w:t>
      </w:r>
      <w:r w:rsidR="00D003E1" w:rsidRPr="00D003E1">
        <w:rPr>
          <w:rFonts w:eastAsia="SimSun" w:cs="Times New Roman"/>
          <w:bCs/>
          <w:lang w:val="en-GB"/>
        </w:rPr>
        <w:t>, and UPR/GO bars: (a) stress-strain curves, (b) Young’s modulus, (c) tensile strength, (d) elongation at break, and (e) energy at break.</w:t>
      </w:r>
      <w:bookmarkEnd w:id="92"/>
    </w:p>
    <w:p w14:paraId="72332148" w14:textId="53FA5C3D" w:rsidR="00D003E1" w:rsidRDefault="00D003E1" w:rsidP="00D003E1">
      <w:pPr>
        <w:spacing w:after="0" w:line="480" w:lineRule="auto"/>
        <w:rPr>
          <w:rFonts w:ascii="Times New Roman" w:eastAsia="SimSun" w:hAnsi="Times New Roman" w:cs="Times New Roman"/>
          <w:b/>
          <w:bCs/>
          <w:noProof/>
          <w:sz w:val="24"/>
          <w:szCs w:val="18"/>
          <w:lang w:val="en-GB"/>
        </w:rPr>
      </w:pPr>
      <w:bookmarkStart w:id="93" w:name="_Ref440980006"/>
    </w:p>
    <w:p w14:paraId="46B16E6B" w14:textId="1E0C0CA0" w:rsidR="00D003E1" w:rsidRDefault="00D003E1" w:rsidP="00D003E1">
      <w:pPr>
        <w:spacing w:after="0" w:line="480" w:lineRule="auto"/>
        <w:rPr>
          <w:rFonts w:ascii="Times New Roman" w:eastAsia="SimSun" w:hAnsi="Times New Roman" w:cs="Times New Roman"/>
          <w:b/>
          <w:bCs/>
          <w:noProof/>
          <w:sz w:val="24"/>
          <w:szCs w:val="18"/>
          <w:lang w:val="en-GB"/>
        </w:rPr>
      </w:pPr>
    </w:p>
    <w:p w14:paraId="4F4D29BF" w14:textId="1E06E793" w:rsidR="00D003E1" w:rsidRDefault="00D003E1" w:rsidP="00D003E1">
      <w:pPr>
        <w:spacing w:after="0" w:line="480" w:lineRule="auto"/>
        <w:rPr>
          <w:rFonts w:ascii="Times New Roman" w:eastAsia="SimSun" w:hAnsi="Times New Roman" w:cs="Times New Roman"/>
          <w:b/>
          <w:bCs/>
          <w:noProof/>
          <w:sz w:val="24"/>
          <w:szCs w:val="18"/>
          <w:lang w:val="en-GB"/>
        </w:rPr>
      </w:pPr>
    </w:p>
    <w:p w14:paraId="09EEAAC1" w14:textId="44432601" w:rsidR="00D003E1" w:rsidRDefault="00D003E1" w:rsidP="00D003E1">
      <w:pPr>
        <w:spacing w:after="0" w:line="480" w:lineRule="auto"/>
        <w:rPr>
          <w:rFonts w:ascii="Times New Roman" w:eastAsia="SimSun" w:hAnsi="Times New Roman" w:cs="Times New Roman"/>
          <w:b/>
          <w:bCs/>
          <w:noProof/>
          <w:sz w:val="24"/>
          <w:szCs w:val="18"/>
          <w:lang w:val="en-GB"/>
        </w:rPr>
      </w:pPr>
    </w:p>
    <w:p w14:paraId="2E90B0A8" w14:textId="6ECB1064" w:rsidR="00D003E1" w:rsidRDefault="002354ED" w:rsidP="00BC6FBB">
      <w:pPr>
        <w:pStyle w:val="Caption"/>
        <w:ind w:firstLine="0"/>
        <w:rPr>
          <w:rFonts w:eastAsia="SimSun" w:cs="Times New Roman"/>
          <w:bCs/>
          <w:lang w:val="en-GB"/>
        </w:rPr>
      </w:pPr>
      <w:bookmarkStart w:id="94" w:name="_Toc502662888"/>
      <w:r>
        <w:t>Table 3</w:t>
      </w:r>
      <w:r w:rsidR="00E231A1">
        <w:t>.</w:t>
      </w:r>
      <w:r w:rsidR="003D1E0D">
        <w:t>1</w:t>
      </w:r>
      <w:r w:rsidR="00BC6FBB">
        <w:t xml:space="preserve">. </w:t>
      </w:r>
      <w:r w:rsidR="00D003E1" w:rsidRPr="00D003E1">
        <w:rPr>
          <w:rFonts w:eastAsia="SimSun" w:cs="Times New Roman"/>
          <w:bCs/>
          <w:lang w:val="en-GB"/>
        </w:rPr>
        <w:t>Tensile properties of UPR and UPR/GO nanocomposites (prepared without THF, non-post cured)</w:t>
      </w:r>
      <w:bookmarkEnd w:id="93"/>
      <w:r w:rsidR="00D003E1" w:rsidRPr="00D003E1">
        <w:rPr>
          <w:rFonts w:eastAsia="SimSun" w:cs="Times New Roman"/>
          <w:bCs/>
          <w:lang w:val="en-GB"/>
        </w:rPr>
        <w:t>.</w:t>
      </w:r>
      <w:bookmarkEnd w:id="94"/>
    </w:p>
    <w:tbl>
      <w:tblPr>
        <w:tblStyle w:val="TableGrid"/>
        <w:tblW w:w="9355" w:type="dxa"/>
        <w:tblBorders>
          <w:insideH w:val="none" w:sz="0" w:space="0" w:color="auto"/>
          <w:insideV w:val="none" w:sz="0" w:space="0" w:color="auto"/>
        </w:tblBorders>
        <w:tblLook w:val="04A0" w:firstRow="1" w:lastRow="0" w:firstColumn="1" w:lastColumn="0" w:noHBand="0" w:noVBand="1"/>
      </w:tblPr>
      <w:tblGrid>
        <w:gridCol w:w="1345"/>
        <w:gridCol w:w="2261"/>
        <w:gridCol w:w="1803"/>
        <w:gridCol w:w="2146"/>
        <w:gridCol w:w="1800"/>
      </w:tblGrid>
      <w:tr w:rsidR="00D003E1" w:rsidRPr="0068275D" w14:paraId="55F12F4A" w14:textId="77777777" w:rsidTr="00D003E1">
        <w:tc>
          <w:tcPr>
            <w:tcW w:w="1345" w:type="dxa"/>
            <w:tcBorders>
              <w:top w:val="single" w:sz="4" w:space="0" w:color="auto"/>
              <w:left w:val="nil"/>
              <w:bottom w:val="single" w:sz="4" w:space="0" w:color="auto"/>
            </w:tcBorders>
          </w:tcPr>
          <w:p w14:paraId="3B2C3C42" w14:textId="77777777" w:rsidR="00D003E1" w:rsidRPr="0068275D" w:rsidRDefault="00D003E1" w:rsidP="0005778C">
            <w:pPr>
              <w:spacing w:line="360" w:lineRule="auto"/>
              <w:rPr>
                <w:rFonts w:ascii="Times New Roman" w:hAnsi="Times New Roman" w:cs="Times New Roman"/>
                <w:sz w:val="24"/>
                <w:szCs w:val="24"/>
              </w:rPr>
            </w:pPr>
          </w:p>
        </w:tc>
        <w:tc>
          <w:tcPr>
            <w:tcW w:w="2261" w:type="dxa"/>
            <w:tcBorders>
              <w:top w:val="single" w:sz="4" w:space="0" w:color="auto"/>
              <w:bottom w:val="single" w:sz="4" w:space="0" w:color="auto"/>
            </w:tcBorders>
          </w:tcPr>
          <w:p w14:paraId="2B1087F2"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Young’s modulus</w:t>
            </w:r>
          </w:p>
          <w:p w14:paraId="343C0BD5"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GPa</w:t>
            </w:r>
          </w:p>
        </w:tc>
        <w:tc>
          <w:tcPr>
            <w:tcW w:w="1803" w:type="dxa"/>
            <w:tcBorders>
              <w:top w:val="single" w:sz="4" w:space="0" w:color="auto"/>
              <w:bottom w:val="single" w:sz="4" w:space="0" w:color="auto"/>
            </w:tcBorders>
          </w:tcPr>
          <w:p w14:paraId="7E9EB7B4"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Tensile strength</w:t>
            </w:r>
          </w:p>
          <w:p w14:paraId="29FA5F9D"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MPa</w:t>
            </w:r>
          </w:p>
        </w:tc>
        <w:tc>
          <w:tcPr>
            <w:tcW w:w="2146" w:type="dxa"/>
            <w:tcBorders>
              <w:top w:val="single" w:sz="4" w:space="0" w:color="auto"/>
              <w:bottom w:val="single" w:sz="4" w:space="0" w:color="auto"/>
            </w:tcBorders>
          </w:tcPr>
          <w:p w14:paraId="0532E12E"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Elongation at break</w:t>
            </w:r>
          </w:p>
          <w:p w14:paraId="0BF55EB5"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w:t>
            </w:r>
          </w:p>
        </w:tc>
        <w:tc>
          <w:tcPr>
            <w:tcW w:w="1800" w:type="dxa"/>
            <w:tcBorders>
              <w:top w:val="single" w:sz="4" w:space="0" w:color="auto"/>
              <w:bottom w:val="single" w:sz="4" w:space="0" w:color="auto"/>
              <w:right w:val="nil"/>
            </w:tcBorders>
          </w:tcPr>
          <w:p w14:paraId="5F3EF3AF"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Energy at break</w:t>
            </w:r>
          </w:p>
          <w:p w14:paraId="0D1767AE"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MJ m</w:t>
            </w:r>
            <w:r w:rsidRPr="0068275D">
              <w:rPr>
                <w:rFonts w:ascii="Times New Roman" w:hAnsi="Times New Roman" w:cs="Times New Roman"/>
                <w:sz w:val="24"/>
                <w:szCs w:val="24"/>
                <w:vertAlign w:val="superscript"/>
              </w:rPr>
              <w:t>-3</w:t>
            </w:r>
          </w:p>
        </w:tc>
      </w:tr>
      <w:tr w:rsidR="00D003E1" w:rsidRPr="0068275D" w14:paraId="3697DD7E" w14:textId="77777777" w:rsidTr="00D003E1">
        <w:tc>
          <w:tcPr>
            <w:tcW w:w="1345" w:type="dxa"/>
            <w:tcBorders>
              <w:top w:val="single" w:sz="4" w:space="0" w:color="auto"/>
              <w:left w:val="nil"/>
            </w:tcBorders>
          </w:tcPr>
          <w:p w14:paraId="20B002C0"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UPR</w:t>
            </w:r>
          </w:p>
        </w:tc>
        <w:tc>
          <w:tcPr>
            <w:tcW w:w="2261" w:type="dxa"/>
            <w:tcBorders>
              <w:top w:val="single" w:sz="4" w:space="0" w:color="auto"/>
            </w:tcBorders>
          </w:tcPr>
          <w:p w14:paraId="1B664390"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1.27±0.03</w:t>
            </w:r>
          </w:p>
        </w:tc>
        <w:tc>
          <w:tcPr>
            <w:tcW w:w="1803" w:type="dxa"/>
            <w:tcBorders>
              <w:top w:val="single" w:sz="4" w:space="0" w:color="auto"/>
            </w:tcBorders>
          </w:tcPr>
          <w:p w14:paraId="3D3AAD8D"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55.9±0.9</w:t>
            </w:r>
          </w:p>
        </w:tc>
        <w:tc>
          <w:tcPr>
            <w:tcW w:w="2146" w:type="dxa"/>
            <w:tcBorders>
              <w:top w:val="single" w:sz="4" w:space="0" w:color="auto"/>
            </w:tcBorders>
          </w:tcPr>
          <w:p w14:paraId="0F20C395"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5.92±0.18</w:t>
            </w:r>
          </w:p>
        </w:tc>
        <w:tc>
          <w:tcPr>
            <w:tcW w:w="1800" w:type="dxa"/>
            <w:tcBorders>
              <w:top w:val="single" w:sz="4" w:space="0" w:color="auto"/>
              <w:right w:val="nil"/>
            </w:tcBorders>
          </w:tcPr>
          <w:p w14:paraId="76FBD7EF"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1.91±0.10</w:t>
            </w:r>
          </w:p>
        </w:tc>
      </w:tr>
      <w:tr w:rsidR="00D003E1" w:rsidRPr="0068275D" w14:paraId="26BE69F3" w14:textId="77777777" w:rsidTr="00D003E1">
        <w:tc>
          <w:tcPr>
            <w:tcW w:w="1345" w:type="dxa"/>
            <w:tcBorders>
              <w:left w:val="nil"/>
            </w:tcBorders>
          </w:tcPr>
          <w:p w14:paraId="7B18F360"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0.01 wt.%</w:t>
            </w:r>
          </w:p>
        </w:tc>
        <w:tc>
          <w:tcPr>
            <w:tcW w:w="2261" w:type="dxa"/>
          </w:tcPr>
          <w:p w14:paraId="073DAA75"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1.62±0.05</w:t>
            </w:r>
          </w:p>
        </w:tc>
        <w:tc>
          <w:tcPr>
            <w:tcW w:w="1803" w:type="dxa"/>
          </w:tcPr>
          <w:p w14:paraId="63C0F24A"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58.3±0.8</w:t>
            </w:r>
          </w:p>
        </w:tc>
        <w:tc>
          <w:tcPr>
            <w:tcW w:w="2146" w:type="dxa"/>
          </w:tcPr>
          <w:p w14:paraId="7C1BEC07"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4.83±0.16</w:t>
            </w:r>
          </w:p>
        </w:tc>
        <w:tc>
          <w:tcPr>
            <w:tcW w:w="1800" w:type="dxa"/>
            <w:tcBorders>
              <w:right w:val="nil"/>
            </w:tcBorders>
          </w:tcPr>
          <w:p w14:paraId="563ABF01"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1.55±0.08</w:t>
            </w:r>
          </w:p>
        </w:tc>
      </w:tr>
      <w:tr w:rsidR="00D003E1" w:rsidRPr="0068275D" w14:paraId="67A0D66D" w14:textId="77777777" w:rsidTr="00D003E1">
        <w:tc>
          <w:tcPr>
            <w:tcW w:w="1345" w:type="dxa"/>
            <w:tcBorders>
              <w:left w:val="nil"/>
            </w:tcBorders>
          </w:tcPr>
          <w:p w14:paraId="71F347EC"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0.05 wt.%</w:t>
            </w:r>
          </w:p>
        </w:tc>
        <w:tc>
          <w:tcPr>
            <w:tcW w:w="2261" w:type="dxa"/>
          </w:tcPr>
          <w:p w14:paraId="1D1B0EDD"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1.67±0.06</w:t>
            </w:r>
          </w:p>
        </w:tc>
        <w:tc>
          <w:tcPr>
            <w:tcW w:w="1803" w:type="dxa"/>
          </w:tcPr>
          <w:p w14:paraId="3215FDF1"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53.1±1.1</w:t>
            </w:r>
          </w:p>
        </w:tc>
        <w:tc>
          <w:tcPr>
            <w:tcW w:w="2146" w:type="dxa"/>
          </w:tcPr>
          <w:p w14:paraId="10BBCF3C"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4.22±0.32</w:t>
            </w:r>
          </w:p>
        </w:tc>
        <w:tc>
          <w:tcPr>
            <w:tcW w:w="1800" w:type="dxa"/>
            <w:tcBorders>
              <w:right w:val="nil"/>
            </w:tcBorders>
          </w:tcPr>
          <w:p w14:paraId="1009EB9E"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1.23±0.10</w:t>
            </w:r>
          </w:p>
        </w:tc>
      </w:tr>
      <w:tr w:rsidR="00D003E1" w:rsidRPr="0068275D" w14:paraId="4D31B39D" w14:textId="77777777" w:rsidTr="00D003E1">
        <w:tc>
          <w:tcPr>
            <w:tcW w:w="1345" w:type="dxa"/>
            <w:tcBorders>
              <w:left w:val="nil"/>
              <w:bottom w:val="single" w:sz="4" w:space="0" w:color="auto"/>
            </w:tcBorders>
          </w:tcPr>
          <w:p w14:paraId="204EFF1F"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0.1 wt.%</w:t>
            </w:r>
          </w:p>
        </w:tc>
        <w:tc>
          <w:tcPr>
            <w:tcW w:w="2261" w:type="dxa"/>
          </w:tcPr>
          <w:p w14:paraId="119E14D7"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1.28±0.06</w:t>
            </w:r>
          </w:p>
        </w:tc>
        <w:tc>
          <w:tcPr>
            <w:tcW w:w="1803" w:type="dxa"/>
          </w:tcPr>
          <w:p w14:paraId="78924801"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37.8±0.8</w:t>
            </w:r>
          </w:p>
        </w:tc>
        <w:tc>
          <w:tcPr>
            <w:tcW w:w="2146" w:type="dxa"/>
          </w:tcPr>
          <w:p w14:paraId="1EE14EA5"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3.95±0.25</w:t>
            </w:r>
          </w:p>
        </w:tc>
        <w:tc>
          <w:tcPr>
            <w:tcW w:w="1800" w:type="dxa"/>
            <w:tcBorders>
              <w:bottom w:val="single" w:sz="4" w:space="0" w:color="auto"/>
              <w:right w:val="nil"/>
            </w:tcBorders>
          </w:tcPr>
          <w:p w14:paraId="4492C238" w14:textId="77777777" w:rsidR="00D003E1" w:rsidRPr="0068275D" w:rsidRDefault="00D003E1" w:rsidP="0005778C">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0.95±0.07</w:t>
            </w:r>
          </w:p>
        </w:tc>
      </w:tr>
    </w:tbl>
    <w:p w14:paraId="3F0393E7" w14:textId="3A75C74A" w:rsidR="00D003E1" w:rsidRDefault="00D003E1" w:rsidP="00D003E1">
      <w:pPr>
        <w:spacing w:after="0" w:line="360" w:lineRule="auto"/>
        <w:rPr>
          <w:rFonts w:ascii="Times New Roman" w:eastAsia="SimSun" w:hAnsi="Times New Roman" w:cs="Times New Roman"/>
          <w:bCs/>
          <w:sz w:val="20"/>
          <w:szCs w:val="20"/>
          <w:lang w:val="en-GB"/>
        </w:rPr>
      </w:pPr>
    </w:p>
    <w:p w14:paraId="536B37F9" w14:textId="77777777" w:rsidR="000C127D" w:rsidRPr="0068275D" w:rsidRDefault="000C127D" w:rsidP="00D003E1">
      <w:pPr>
        <w:spacing w:after="0" w:line="360" w:lineRule="auto"/>
        <w:rPr>
          <w:rFonts w:ascii="Times New Roman" w:eastAsia="SimSun" w:hAnsi="Times New Roman" w:cs="Times New Roman"/>
          <w:bCs/>
          <w:sz w:val="20"/>
          <w:szCs w:val="20"/>
          <w:lang w:val="en-GB"/>
        </w:rPr>
      </w:pPr>
    </w:p>
    <w:p w14:paraId="4B624B93" w14:textId="0EC5993A" w:rsidR="00D003E1" w:rsidRDefault="002354ED" w:rsidP="00D003E1">
      <w:pPr>
        <w:keepNext/>
        <w:keepLines/>
        <w:spacing w:after="0" w:line="480" w:lineRule="auto"/>
        <w:jc w:val="both"/>
        <w:outlineLvl w:val="2"/>
        <w:rPr>
          <w:rFonts w:ascii="Times New Roman" w:eastAsia="SimSun" w:hAnsi="Times New Roman" w:cs="Times New Roman"/>
          <w:bCs/>
          <w:sz w:val="24"/>
          <w:lang w:val="en-GB"/>
        </w:rPr>
      </w:pPr>
      <w:bookmarkStart w:id="95" w:name="_Toc518823274"/>
      <w:r>
        <w:rPr>
          <w:rFonts w:ascii="Times New Roman" w:eastAsia="SimSun" w:hAnsi="Times New Roman" w:cs="Times New Roman" w:hint="eastAsia"/>
          <w:sz w:val="24"/>
          <w:lang w:val="en-GB"/>
        </w:rPr>
        <w:t>3</w:t>
      </w:r>
      <w:r w:rsidR="007A5F08">
        <w:rPr>
          <w:rFonts w:ascii="Times New Roman" w:eastAsia="SimSun" w:hAnsi="Times New Roman" w:cs="Times New Roman" w:hint="eastAsia"/>
          <w:sz w:val="24"/>
          <w:lang w:val="en-GB"/>
        </w:rPr>
        <w:t>.</w:t>
      </w:r>
      <w:r w:rsidR="000C127D">
        <w:rPr>
          <w:rFonts w:ascii="Times New Roman" w:eastAsia="SimSun" w:hAnsi="Times New Roman" w:cs="Times New Roman"/>
          <w:sz w:val="24"/>
          <w:lang w:val="en-GB"/>
        </w:rPr>
        <w:t>3</w:t>
      </w:r>
      <w:r w:rsidR="00D003E1" w:rsidRPr="00D003E1">
        <w:rPr>
          <w:rFonts w:ascii="Times New Roman" w:eastAsia="SimSun" w:hAnsi="Times New Roman" w:cs="Times New Roman"/>
          <w:sz w:val="24"/>
          <w:lang w:val="en-GB"/>
        </w:rPr>
        <w:t>.</w:t>
      </w:r>
      <w:r w:rsidR="00D003E1" w:rsidRPr="00D003E1">
        <w:rPr>
          <w:rFonts w:ascii="Times New Roman" w:eastAsia="SimSun" w:hAnsi="Times New Roman" w:cs="Times New Roman" w:hint="eastAsia"/>
          <w:sz w:val="24"/>
          <w:lang w:val="en-GB"/>
        </w:rPr>
        <w:t>4</w:t>
      </w:r>
      <w:r w:rsidR="003D1E0D">
        <w:rPr>
          <w:rFonts w:ascii="Times New Roman" w:eastAsia="SimSun" w:hAnsi="Times New Roman" w:cs="Times New Roman"/>
          <w:sz w:val="24"/>
          <w:lang w:val="en-GB"/>
        </w:rPr>
        <w:t>.2</w:t>
      </w:r>
      <w:r w:rsidR="00D003E1" w:rsidRPr="00D003E1">
        <w:rPr>
          <w:rFonts w:ascii="Times New Roman" w:eastAsia="SimSun" w:hAnsi="Times New Roman" w:cs="Times New Roman"/>
          <w:sz w:val="24"/>
          <w:lang w:val="en-GB"/>
        </w:rPr>
        <w:t>. Mechanical properties of UPR, UPR/GO rectangular bars (prepared without THF, post</w:t>
      </w:r>
      <w:r w:rsidR="00D003E1" w:rsidRPr="00D003E1">
        <w:rPr>
          <w:rFonts w:ascii="Times New Roman" w:eastAsia="SimSun" w:hAnsi="Times New Roman" w:cs="Times New Roman"/>
          <w:bCs/>
          <w:sz w:val="24"/>
          <w:lang w:val="en-GB"/>
        </w:rPr>
        <w:t xml:space="preserve"> cured at 80 °C for 3 h)</w:t>
      </w:r>
      <w:bookmarkEnd w:id="95"/>
    </w:p>
    <w:p w14:paraId="14FA24BD" w14:textId="77777777" w:rsidR="00D003E1" w:rsidRPr="00D003E1" w:rsidRDefault="00D003E1" w:rsidP="00D003E1">
      <w:pPr>
        <w:keepNext/>
        <w:keepLines/>
        <w:spacing w:after="0" w:line="480" w:lineRule="auto"/>
        <w:jc w:val="both"/>
        <w:outlineLvl w:val="3"/>
        <w:rPr>
          <w:rFonts w:ascii="Times New Roman" w:eastAsia="SimSun" w:hAnsi="Times New Roman" w:cs="Times New Roman"/>
          <w:i/>
          <w:iCs/>
          <w:color w:val="000000"/>
          <w:sz w:val="24"/>
          <w:lang w:val="en-GB"/>
        </w:rPr>
      </w:pPr>
      <w:r w:rsidRPr="00D003E1">
        <w:rPr>
          <w:rFonts w:ascii="Times New Roman" w:eastAsia="SimSun" w:hAnsi="Times New Roman" w:cs="Times New Roman"/>
          <w:i/>
          <w:iCs/>
          <w:color w:val="000000"/>
          <w:sz w:val="24"/>
          <w:lang w:val="en-GB"/>
        </w:rPr>
        <w:t>Tensile properties</w:t>
      </w:r>
    </w:p>
    <w:p w14:paraId="5B60346F" w14:textId="410569C6" w:rsidR="00D003E1" w:rsidRPr="002354ED" w:rsidRDefault="00D003E1" w:rsidP="00D003E1">
      <w:pPr>
        <w:spacing w:after="0" w:line="480" w:lineRule="auto"/>
        <w:jc w:val="both"/>
        <w:rPr>
          <w:rFonts w:ascii="Times New Roman" w:eastAsia="SimSun" w:hAnsi="Times New Roman" w:cs="Times New Roman"/>
          <w:sz w:val="24"/>
          <w:szCs w:val="24"/>
          <w:lang w:val="en-GB"/>
        </w:rPr>
      </w:pPr>
      <w:r w:rsidRPr="00D003E1">
        <w:rPr>
          <w:rFonts w:ascii="Times New Roman" w:eastAsia="SimSun" w:hAnsi="Times New Roman" w:cs="Times New Roman"/>
          <w:sz w:val="24"/>
          <w:szCs w:val="24"/>
          <w:lang w:val="en-GB"/>
        </w:rPr>
        <w:t xml:space="preserve">As well known, the curing reaction of unsaturated polyester (UPR) is a free radical chain growth crosslinking between styrene monomers and UPR oligomers. The curing temperature is an important parameter for the curing reaction, which is associated with the final mechanical and thermal properties </w:t>
      </w:r>
      <w:r w:rsidRPr="00D003E1">
        <w:rPr>
          <w:rFonts w:ascii="Times New Roman" w:eastAsia="SimSun" w:hAnsi="Times New Roman" w:cs="Times New Roman"/>
          <w:sz w:val="24"/>
          <w:szCs w:val="24"/>
          <w:lang w:val="en-GB"/>
        </w:rPr>
        <w:fldChar w:fldCharType="begin" w:fldLock="1"/>
      </w:r>
      <w:r w:rsidR="00D14688">
        <w:rPr>
          <w:rFonts w:ascii="Times New Roman" w:eastAsia="SimSun" w:hAnsi="Times New Roman" w:cs="Times New Roman"/>
          <w:sz w:val="24"/>
          <w:szCs w:val="24"/>
          <w:lang w:val="en-GB"/>
        </w:rPr>
        <w:instrText>ADDIN CSL_CITATION { "citationItems" : [ { "id" : "ITEM-1", "itemData" : { "DOI" : "10.1088/1757-899X/75/1/012012", "ISBN" : "1757-899X", "ISSN" : "1757899X", "abstract" : "Curing cycle has a strong impact on the thermal and mechanical behavior of thermosetting polymers. The extent of cross-linking which is a strong function of curing temperature and time is directly linked to the glass transition temperature (Tg) of the thermosetting polymer. This transition temperature speaks about the transformation of the polymer from glassy state to rubbery state, hence decides the applicability of the material at certain temperature with certain degree of safety and reliability. Hence assessment of Tg and its possible improvement is quite essential from material point of view. The present study is emphasized on the impact of post curing parameters on thermal as well as mechanical behavior of glass fiber reinforced polymer (GFRP) composite. Post curing was carried out at 3 different temperatures (80\u00b0C, 110\u00b0C and 140\u00b0C) for different time periods (2h, 4h, 6h, 8h and 12h). Short beam Shear (SBS) test was performed on each of the post cured samples to determine the apparent Interlaminar Shear Strength (ILSS) and the corresponding Tg was also evaluated using differential scanning calorimetry (DSC) analysis. The results revealed that the ILSS and Tg are significantly affected with post curing parameters. No significant change in ILSS was obtained at 80\u00b0C over the entire curing time. In case of 110\u00b0C a smooth increment in ILSS was observed with time (even till 12 hrs). For samples post cured at 140\u00b0C a rapid improvement in ILSS takes place with time followed by saturation. With all the possible combinations of curing temperature and time, optimum values are noticed at 140\u00b0C for 6 hrs.", "author" : [ { "dropping-particle" : "", "family" : "Kumar", "given" : "D. S.", "non-dropping-particle" : "", "parse-names" : false, "suffix" : "" }, { "dropping-particle" : "", "family" : "Shukla", "given" : "M. J.", "non-dropping-particle" : "", "parse-names" : false, "suffix" : "" }, { "dropping-particle" : "", "family" : "Mahato", "given" : "K. K.", "non-dropping-particle" : "", "parse-names" : false, "suffix" : "" }, { "dropping-particle" : "", "family" : "Rathore", "given" : "D. K.", "non-dropping-particle" : "", "parse-names" : false, "suffix" : "" }, { "dropping-particle" : "", "family" : "Prusty", "given" : "R. K.", "non-dropping-particle" : "", "parse-names" : false, "suffix" : "" }, { "dropping-particle" : "", "family" : "Ray", "given" : "B. C.", "non-dropping-particle" : "", "parse-names" : false, "suffix" : "" } ], "container-title" : "IOP Conference Series: Materials Science and Engineering", "id" : "ITEM-1", "issue" : "1", "issued" : { "date-parts" : [ [ "2015" ] ] }, "title" : "Effect of post-curing on thermal and mechanical behavior of GFRP composites", "type" : "article-journal", "volume" : "75" }, "uris" : [ "http://www.mendeley.com/documents/?uuid=d58f3fc2-3af3-4ec1-a042-896178b2560a" ] }, { "id" : "ITEM-2", "itemData" : { "DOI" : "10.5755/j01.ms.18.3.2435", "ISSN" : "1392-1320", "abstract" : "This study examines the effect of different post cure parameters to a polymer matrix particulate reinforced composite material. The goal is to evaluate the importance of different factors and to suggest a well-balanced post cure mode that supports the application of the material. Polymer matrix composites are post cured at elevated temperature to increase the amount of cross linking to achieve better chemical and heat resistance and mechanical properties. Every material has an individual post cure process that depends from the raw materials. Post curing variables include temperature, duration of cure, the time between initial curing and post curing and temperature profile gradient. There are several ways to determine the cure state of a polymer. It can be evaluated based on the mechanical and physical properties, residual styrene content, glass transition temperature, residual exotherm or solvent swelling test. For the determination of the suitable post cure parameters test slabs were casted and post cured with varying time and temperature. Glass transition temperature, residual exotherm, softening in ethanol, surface hardness, flexural strength and flexural modulus were determined. It is shown that the material should be cured at 60 \u00b0C \u2013 80 \u00b0C. With higher temperature and extended time of cure the glass transition temperature raises but the material becomes too brittle. DOI: http://dx.doi.org/10.5755/j01.ms.18.3.2435", "author" : [ { "dropping-particle" : "", "family" : "ARUNIIT", "given" : "Aare", "non-dropping-particle" : "", "parse-names" : false, "suffix" : "" }, { "dropping-particle" : "", "family" : "KERS", "given" : "Jaan", "non-dropping-particle" : "", "parse-names" : false, "suffix" : "" }, { "dropping-particle" : "", "family" : "KRUMME", "given" : "Andres", "non-dropping-particle" : "", "parse-names" : false, "suffix" : "" }, { "dropping-particle" : "", "family" : "POLTIM\u00c4E", "given" : "Triinu", "non-dropping-particle" : "", "parse-names" : false, "suffix" : "" }, { "dropping-particle" : "", "family" : "TALL", "given" : "Kaspar", "non-dropping-particle" : "", "parse-names" : false, "suffix" : "" } ], "container-title" : "Materials Science", "id" : "ITEM-2", "issue" : "3", "issued" : { "date-parts" : [ [ "2012" ] ] }, "page" : "256-261", "title" : "Preliminary Study of the Influence of Post Curing Parameters to the Particle Reinforced Composite's Mechanical and Physical Properties", "type" : "article-journal", "volume" : "18" }, "uris" : [ "http://www.mendeley.com/documents/?uuid=c4d76855-eaa7-408a-90b5-b47ba2e92ce0" ] }, { "id" : "ITEM-3", "itemData" : { "DOI" : "10.1016/0032-3861(93)90080-T", "ISSN" : "00323861", "author" : [ { "dropping-particle" : "", "family" : "Huang", "given" : "Yan-Jyi", "non-dropping-particle" : "", "parse-names" : false, "suffix" : "" }, { "dropping-particle" : "", "family" : "Leu", "given" : "Jiing-Shing", "non-dropping-particle" : "", "parse-names" : false, "suffix" : "" } ], "container-title" : "Polymer", "id" : "ITEM-3", "issued" : { "date-parts" : [ [ "1993", "1" ] ] }, "page" : "295-304", "title" : "Curing of unsaturated polyester resins. Effects of temperature and initiator: 1. Low temperature reactions", "type" : "article-journal", "volume" : "34" }, "uris" : [ "http://www.mendeley.com/documents/?uuid=4d1a94e8-64dc-4bc3-8d12-697ff349205c" ] } ], "mendeley" : { "formattedCitation" : "[163\u2013165]", "plainTextFormattedCitation" : "[163\u2013165]", "previouslyFormattedCitation" : "[163\u2013165]" }, "properties" : {  }, "schema" : "https://github.com/citation-style-language/schema/raw/master/csl-citation.json" }</w:instrText>
      </w:r>
      <w:r w:rsidRPr="00D003E1">
        <w:rPr>
          <w:rFonts w:ascii="Times New Roman" w:eastAsia="SimSun" w:hAnsi="Times New Roman" w:cs="Times New Roman"/>
          <w:sz w:val="24"/>
          <w:szCs w:val="24"/>
          <w:lang w:val="en-GB"/>
        </w:rPr>
        <w:fldChar w:fldCharType="separate"/>
      </w:r>
      <w:r w:rsidR="00D973A8" w:rsidRPr="00D973A8">
        <w:rPr>
          <w:rFonts w:ascii="Times New Roman" w:eastAsia="SimSun" w:hAnsi="Times New Roman" w:cs="Times New Roman"/>
          <w:noProof/>
          <w:sz w:val="24"/>
          <w:szCs w:val="24"/>
          <w:lang w:val="en-GB"/>
        </w:rPr>
        <w:t>[163–165]</w:t>
      </w:r>
      <w:r w:rsidRPr="00D003E1">
        <w:rPr>
          <w:rFonts w:ascii="Times New Roman" w:eastAsia="SimSun" w:hAnsi="Times New Roman" w:cs="Times New Roman"/>
          <w:sz w:val="24"/>
          <w:szCs w:val="24"/>
          <w:lang w:val="en-GB"/>
        </w:rPr>
        <w:fldChar w:fldCharType="end"/>
      </w:r>
      <w:r w:rsidRPr="00D003E1">
        <w:rPr>
          <w:rFonts w:ascii="Times New Roman" w:eastAsia="SimSun" w:hAnsi="Times New Roman" w:cs="Times New Roman"/>
          <w:sz w:val="24"/>
          <w:szCs w:val="24"/>
          <w:lang w:val="en-GB"/>
        </w:rPr>
        <w:t xml:space="preserve">. In order to study the effect of post cured for UPR, UPR and UPR/GO composites are post cured at 80 °C for 3 h, and the tensile tests are performed to study the tensile </w:t>
      </w:r>
      <w:r w:rsidR="002354ED">
        <w:rPr>
          <w:rFonts w:ascii="Times New Roman" w:eastAsia="SimSun" w:hAnsi="Times New Roman" w:cs="Times New Roman"/>
          <w:sz w:val="24"/>
          <w:szCs w:val="24"/>
          <w:lang w:val="en-GB"/>
        </w:rPr>
        <w:t>properties, as shown in Figure 3.5</w:t>
      </w:r>
      <w:r w:rsidRPr="00D003E1">
        <w:rPr>
          <w:rFonts w:ascii="Times New Roman" w:eastAsia="SimSun" w:hAnsi="Times New Roman" w:cs="Times New Roman"/>
          <w:sz w:val="24"/>
          <w:szCs w:val="24"/>
          <w:lang w:val="en-GB"/>
        </w:rPr>
        <w:t xml:space="preserve"> </w:t>
      </w:r>
      <w:r w:rsidR="002354ED">
        <w:rPr>
          <w:rFonts w:ascii="Times New Roman" w:eastAsia="SimSun" w:hAnsi="Times New Roman" w:cs="Times New Roman"/>
          <w:sz w:val="24"/>
          <w:szCs w:val="24"/>
          <w:lang w:val="en-GB"/>
        </w:rPr>
        <w:t>and Table 3.2</w:t>
      </w:r>
      <w:r w:rsidRPr="00D003E1">
        <w:rPr>
          <w:rFonts w:ascii="Times New Roman" w:eastAsia="SimSun" w:hAnsi="Times New Roman" w:cs="Times New Roman"/>
          <w:sz w:val="24"/>
          <w:szCs w:val="24"/>
          <w:lang w:val="en-GB"/>
        </w:rPr>
        <w:t>. Briefly, Young’s modulus increases at a very low GO loading (0.01 wt.%, 11%  over neat UPR), then slightly decreases with increasing GO content. Tensile strength is enhanced at 0.01 wt.%, which is 10% over neat UPR. 0.05 wt.% shows a slight increase over neat UPR, which is statistically insignificant (</w:t>
      </w:r>
      <w:r w:rsidRPr="00D003E1">
        <w:rPr>
          <w:rFonts w:ascii="Times New Roman" w:eastAsia="SimSun" w:hAnsi="Times New Roman" w:cs="Times New Roman"/>
          <w:sz w:val="24"/>
          <w:lang w:val="en-GB"/>
        </w:rPr>
        <w:t>p &gt; 0.05, two-tailed t-test</w:t>
      </w:r>
      <w:r w:rsidRPr="00D003E1">
        <w:rPr>
          <w:rFonts w:ascii="Times New Roman" w:eastAsia="SimSun" w:hAnsi="Times New Roman" w:cs="Times New Roman"/>
          <w:sz w:val="24"/>
          <w:szCs w:val="24"/>
          <w:lang w:val="en-GB"/>
        </w:rPr>
        <w:t xml:space="preserve">). While, 0.1 wt.% UPR/GO exhibits a decrease on tensile strength than neat UPR. In addition, elongation at break and energy at break decrease with the increasing GO content. As aforementioned reasons, the increment of Young’s modulus of tensile strength is due the strong interfacial interaction between GO and UPR. While, the reduction of tensile strength at 0.1 wt.% </w:t>
      </w:r>
      <w:r w:rsidRPr="002354ED">
        <w:rPr>
          <w:rFonts w:ascii="Times New Roman" w:eastAsia="SimSun" w:hAnsi="Times New Roman" w:cs="Times New Roman"/>
          <w:sz w:val="24"/>
          <w:szCs w:val="24"/>
          <w:lang w:val="en-GB"/>
        </w:rPr>
        <w:t xml:space="preserve">is due to the aggregation of GO at relatively higher GO content. </w:t>
      </w:r>
      <w:r w:rsidR="0052183B" w:rsidRPr="002354ED">
        <w:rPr>
          <w:rFonts w:ascii="Times New Roman" w:eastAsia="SimSun" w:hAnsi="Times New Roman" w:cs="Times New Roman"/>
          <w:sz w:val="24"/>
          <w:szCs w:val="24"/>
          <w:lang w:val="en-GB"/>
        </w:rPr>
        <w:t>According to the DMA results in the later part, the T</w:t>
      </w:r>
      <w:r w:rsidR="0052183B" w:rsidRPr="002354ED">
        <w:rPr>
          <w:rFonts w:ascii="Times New Roman" w:eastAsia="SimSun" w:hAnsi="Times New Roman" w:cs="Times New Roman"/>
          <w:i/>
          <w:sz w:val="24"/>
          <w:szCs w:val="24"/>
          <w:vertAlign w:val="subscript"/>
          <w:lang w:val="en-GB"/>
        </w:rPr>
        <w:t>g</w:t>
      </w:r>
      <w:r w:rsidR="0052183B" w:rsidRPr="002354ED">
        <w:rPr>
          <w:rFonts w:ascii="Times New Roman" w:eastAsia="SimSun" w:hAnsi="Times New Roman" w:cs="Times New Roman"/>
          <w:sz w:val="24"/>
          <w:szCs w:val="24"/>
          <w:lang w:val="en-GB"/>
        </w:rPr>
        <w:t xml:space="preserve"> increases with GO contents, indicating that </w:t>
      </w:r>
      <w:r w:rsidRPr="002354ED">
        <w:rPr>
          <w:rFonts w:ascii="Times New Roman" w:eastAsia="SimSun" w:hAnsi="Times New Roman" w:cs="Times New Roman"/>
          <w:sz w:val="24"/>
          <w:szCs w:val="24"/>
          <w:lang w:val="en-GB"/>
        </w:rPr>
        <w:t>the addition of GO restrict</w:t>
      </w:r>
      <w:r w:rsidR="0052183B" w:rsidRPr="002354ED">
        <w:rPr>
          <w:rFonts w:ascii="Times New Roman" w:eastAsia="SimSun" w:hAnsi="Times New Roman" w:cs="Times New Roman"/>
          <w:sz w:val="24"/>
          <w:szCs w:val="24"/>
          <w:lang w:val="en-GB"/>
        </w:rPr>
        <w:t xml:space="preserve">s the mobility of UPR chains. Therefore, </w:t>
      </w:r>
      <w:r w:rsidR="006C325A" w:rsidRPr="002354ED">
        <w:rPr>
          <w:rFonts w:ascii="Times New Roman" w:eastAsia="SimSun" w:hAnsi="Times New Roman" w:cs="Times New Roman"/>
          <w:sz w:val="24"/>
          <w:szCs w:val="24"/>
          <w:lang w:val="en-GB"/>
        </w:rPr>
        <w:t>elongation at break reduces with GO content which is in a good agreement of the results from tensile tests.</w:t>
      </w:r>
    </w:p>
    <w:p w14:paraId="14C874FF" w14:textId="0D6F58F9" w:rsidR="00D003E1" w:rsidRDefault="00D003E1" w:rsidP="00D003E1">
      <w:pPr>
        <w:spacing w:after="0" w:line="480" w:lineRule="auto"/>
        <w:ind w:firstLine="360"/>
        <w:jc w:val="both"/>
        <w:rPr>
          <w:rFonts w:ascii="Times New Roman" w:eastAsia="SimSun" w:hAnsi="Times New Roman" w:cs="Times New Roman"/>
          <w:sz w:val="24"/>
          <w:szCs w:val="24"/>
          <w:lang w:val="en-GB"/>
        </w:rPr>
      </w:pPr>
      <w:r w:rsidRPr="00D003E1">
        <w:rPr>
          <w:rFonts w:ascii="Times New Roman" w:eastAsia="SimSun" w:hAnsi="Times New Roman" w:cs="Times New Roman"/>
          <w:sz w:val="24"/>
          <w:szCs w:val="24"/>
          <w:lang w:val="en-GB"/>
        </w:rPr>
        <w:t xml:space="preserve">Compared to non-post cured neat UPR, neat UPR post cured at 80 °C exhibits higher mechanical properties, including Young’s modulus, tensile strength, elongation at break, and energy at break. Yan reported that the conversion of C=C bonds in styrene monomers increases with increasing temperature, resulting in a high crosslinking density </w:t>
      </w:r>
      <w:r w:rsidRPr="00D003E1">
        <w:rPr>
          <w:rFonts w:ascii="Times New Roman" w:eastAsia="SimSun" w:hAnsi="Times New Roman" w:cs="Times New Roman"/>
          <w:sz w:val="24"/>
          <w:szCs w:val="24"/>
          <w:lang w:val="en-GB"/>
        </w:rPr>
        <w:fldChar w:fldCharType="begin" w:fldLock="1"/>
      </w:r>
      <w:r w:rsidR="00D14688">
        <w:rPr>
          <w:rFonts w:ascii="Times New Roman" w:eastAsia="SimSun" w:hAnsi="Times New Roman" w:cs="Times New Roman"/>
          <w:sz w:val="24"/>
          <w:szCs w:val="24"/>
          <w:lang w:val="en-GB"/>
        </w:rPr>
        <w:instrText>ADDIN CSL_CITATION { "citationItems" : [ { "id" : "ITEM-1", "itemData" : { "DOI" : "10.1016/0032-3861(93)90080-T", "ISSN" : "00323861", "author" : [ { "dropping-particle" : "", "family" : "Huang", "given" : "Yan-Jyi", "non-dropping-particle" : "", "parse-names" : false, "suffix" : "" }, { "dropping-particle" : "", "family" : "Leu", "given" : "Jiing-Shing", "non-dropping-particle" : "", "parse-names" : false, "suffix" : "" } ], "container-title" : "Polymer", "id" : "ITEM-1", "issued" : { "date-parts" : [ [ "1993", "1" ] ] }, "page" : "295-304", "title" : "Curing of unsaturated polyester resins. Effects of temperature and initiator: 1. Low temperature reactions", "type" : "article-journal", "volume" : "34" }, "uris" : [ "http://www.mendeley.com/documents/?uuid=4d1a94e8-64dc-4bc3-8d12-697ff349205c" ] } ], "mendeley" : { "formattedCitation" : "[165]", "plainTextFormattedCitation" : "[165]", "previouslyFormattedCitation" : "[165]" }, "properties" : {  }, "schema" : "https://github.com/citation-style-language/schema/raw/master/csl-citation.json" }</w:instrText>
      </w:r>
      <w:r w:rsidRPr="00D003E1">
        <w:rPr>
          <w:rFonts w:ascii="Times New Roman" w:eastAsia="SimSun" w:hAnsi="Times New Roman" w:cs="Times New Roman"/>
          <w:sz w:val="24"/>
          <w:szCs w:val="24"/>
          <w:lang w:val="en-GB"/>
        </w:rPr>
        <w:fldChar w:fldCharType="separate"/>
      </w:r>
      <w:r w:rsidR="00D973A8" w:rsidRPr="00D973A8">
        <w:rPr>
          <w:rFonts w:ascii="Times New Roman" w:eastAsia="SimSun" w:hAnsi="Times New Roman" w:cs="Times New Roman"/>
          <w:noProof/>
          <w:sz w:val="24"/>
          <w:szCs w:val="24"/>
          <w:lang w:val="en-GB"/>
        </w:rPr>
        <w:t>[165]</w:t>
      </w:r>
      <w:r w:rsidRPr="00D003E1">
        <w:rPr>
          <w:rFonts w:ascii="Times New Roman" w:eastAsia="SimSun" w:hAnsi="Times New Roman" w:cs="Times New Roman"/>
          <w:sz w:val="24"/>
          <w:szCs w:val="24"/>
          <w:lang w:val="en-GB"/>
        </w:rPr>
        <w:fldChar w:fldCharType="end"/>
      </w:r>
      <w:r w:rsidRPr="00D003E1">
        <w:rPr>
          <w:rFonts w:ascii="Times New Roman" w:eastAsia="SimSun" w:hAnsi="Times New Roman" w:cs="Times New Roman"/>
          <w:sz w:val="24"/>
          <w:szCs w:val="24"/>
          <w:lang w:val="en-GB"/>
        </w:rPr>
        <w:t xml:space="preserve">. Hence, the mobility of UPR chains is restricted remarkably, leading to a harder material with higher mechanical properties. </w:t>
      </w:r>
    </w:p>
    <w:p w14:paraId="1FDB9646" w14:textId="77777777" w:rsidR="00D003E1" w:rsidRPr="00D003E1" w:rsidRDefault="00D003E1" w:rsidP="00D003E1">
      <w:pPr>
        <w:spacing w:after="0" w:line="480" w:lineRule="auto"/>
        <w:ind w:firstLine="360"/>
        <w:jc w:val="both"/>
        <w:rPr>
          <w:rFonts w:ascii="Times New Roman" w:eastAsia="SimSun" w:hAnsi="Times New Roman" w:cs="Times New Roman"/>
          <w:sz w:val="24"/>
          <w:szCs w:val="24"/>
          <w:lang w:val="en-GB"/>
        </w:rPr>
      </w:pPr>
    </w:p>
    <w:p w14:paraId="693D18FA" w14:textId="0018A3EC" w:rsidR="00D003E1" w:rsidRPr="00D003E1" w:rsidRDefault="00664632" w:rsidP="00492AD8">
      <w:pPr>
        <w:pStyle w:val="Caption"/>
        <w:ind w:firstLine="0"/>
        <w:rPr>
          <w:rFonts w:eastAsia="SimSun" w:cs="Times New Roman"/>
          <w:bCs/>
          <w:lang w:val="en-GB"/>
        </w:rPr>
      </w:pPr>
      <w:bookmarkStart w:id="96" w:name="_Toc502662889"/>
      <w:r>
        <w:t>Table</w:t>
      </w:r>
      <w:r w:rsidR="002354ED">
        <w:t xml:space="preserve"> 3</w:t>
      </w:r>
      <w:r>
        <w:t>.</w:t>
      </w:r>
      <w:r w:rsidR="003D1E0D">
        <w:t>2</w:t>
      </w:r>
      <w:r w:rsidR="00492AD8">
        <w:t xml:space="preserve">. </w:t>
      </w:r>
      <w:r w:rsidR="00D003E1" w:rsidRPr="00D003E1">
        <w:rPr>
          <w:rFonts w:eastAsia="SimSun" w:cs="Times New Roman"/>
          <w:bCs/>
          <w:lang w:val="en-GB"/>
        </w:rPr>
        <w:t>Tensile properties of UPR, and UPR/GO nanocomposites (no THF, post cured).</w:t>
      </w:r>
      <w:bookmarkEnd w:id="96"/>
    </w:p>
    <w:tbl>
      <w:tblPr>
        <w:tblStyle w:val="TableGrid"/>
        <w:tblW w:w="9355" w:type="dxa"/>
        <w:tblBorders>
          <w:insideH w:val="none" w:sz="0" w:space="0" w:color="auto"/>
          <w:insideV w:val="none" w:sz="0" w:space="0" w:color="auto"/>
        </w:tblBorders>
        <w:tblLook w:val="04A0" w:firstRow="1" w:lastRow="0" w:firstColumn="1" w:lastColumn="0" w:noHBand="0" w:noVBand="1"/>
      </w:tblPr>
      <w:tblGrid>
        <w:gridCol w:w="1345"/>
        <w:gridCol w:w="2261"/>
        <w:gridCol w:w="1803"/>
        <w:gridCol w:w="2146"/>
        <w:gridCol w:w="1800"/>
      </w:tblGrid>
      <w:tr w:rsidR="00304FC1" w14:paraId="2EC6A185" w14:textId="77777777" w:rsidTr="001E7B6A">
        <w:tc>
          <w:tcPr>
            <w:tcW w:w="1345" w:type="dxa"/>
            <w:tcBorders>
              <w:top w:val="single" w:sz="4" w:space="0" w:color="auto"/>
              <w:left w:val="nil"/>
              <w:bottom w:val="single" w:sz="4" w:space="0" w:color="auto"/>
            </w:tcBorders>
          </w:tcPr>
          <w:p w14:paraId="59C2186E" w14:textId="77777777" w:rsidR="00304FC1" w:rsidRPr="0068275D" w:rsidRDefault="00304FC1" w:rsidP="00492AD8">
            <w:pPr>
              <w:spacing w:line="360" w:lineRule="auto"/>
              <w:rPr>
                <w:rFonts w:ascii="Times New Roman" w:hAnsi="Times New Roman" w:cs="Times New Roman"/>
                <w:sz w:val="24"/>
                <w:szCs w:val="24"/>
              </w:rPr>
            </w:pPr>
          </w:p>
        </w:tc>
        <w:tc>
          <w:tcPr>
            <w:tcW w:w="2261" w:type="dxa"/>
            <w:tcBorders>
              <w:top w:val="single" w:sz="4" w:space="0" w:color="auto"/>
              <w:bottom w:val="single" w:sz="4" w:space="0" w:color="auto"/>
            </w:tcBorders>
          </w:tcPr>
          <w:p w14:paraId="0630239C"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Young’s modulus</w:t>
            </w:r>
          </w:p>
          <w:p w14:paraId="7FD2BD82"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GPa</w:t>
            </w:r>
          </w:p>
        </w:tc>
        <w:tc>
          <w:tcPr>
            <w:tcW w:w="1803" w:type="dxa"/>
            <w:tcBorders>
              <w:top w:val="single" w:sz="4" w:space="0" w:color="auto"/>
              <w:bottom w:val="single" w:sz="4" w:space="0" w:color="auto"/>
            </w:tcBorders>
          </w:tcPr>
          <w:p w14:paraId="52BD1A03"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Tensile strength</w:t>
            </w:r>
          </w:p>
          <w:p w14:paraId="3B9BD39C"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MPa</w:t>
            </w:r>
          </w:p>
        </w:tc>
        <w:tc>
          <w:tcPr>
            <w:tcW w:w="2146" w:type="dxa"/>
            <w:tcBorders>
              <w:top w:val="single" w:sz="4" w:space="0" w:color="auto"/>
              <w:bottom w:val="single" w:sz="4" w:space="0" w:color="auto"/>
            </w:tcBorders>
          </w:tcPr>
          <w:p w14:paraId="6411DE70"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Elongation at break</w:t>
            </w:r>
          </w:p>
          <w:p w14:paraId="1C8F5591"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w:t>
            </w:r>
          </w:p>
        </w:tc>
        <w:tc>
          <w:tcPr>
            <w:tcW w:w="1800" w:type="dxa"/>
            <w:tcBorders>
              <w:top w:val="single" w:sz="4" w:space="0" w:color="auto"/>
              <w:bottom w:val="single" w:sz="4" w:space="0" w:color="auto"/>
              <w:right w:val="nil"/>
            </w:tcBorders>
          </w:tcPr>
          <w:p w14:paraId="41D25E36"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Energy at break</w:t>
            </w:r>
          </w:p>
          <w:p w14:paraId="3E7522D9"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MJ m</w:t>
            </w:r>
            <w:r w:rsidRPr="0068275D">
              <w:rPr>
                <w:rFonts w:ascii="Times New Roman" w:hAnsi="Times New Roman" w:cs="Times New Roman"/>
                <w:sz w:val="24"/>
                <w:szCs w:val="24"/>
                <w:vertAlign w:val="superscript"/>
              </w:rPr>
              <w:t>-3</w:t>
            </w:r>
          </w:p>
        </w:tc>
      </w:tr>
      <w:tr w:rsidR="00304FC1" w14:paraId="2496E151" w14:textId="77777777" w:rsidTr="001E7B6A">
        <w:tc>
          <w:tcPr>
            <w:tcW w:w="1345" w:type="dxa"/>
            <w:tcBorders>
              <w:top w:val="single" w:sz="4" w:space="0" w:color="auto"/>
              <w:left w:val="nil"/>
            </w:tcBorders>
          </w:tcPr>
          <w:p w14:paraId="152F381F"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UPR</w:t>
            </w:r>
          </w:p>
        </w:tc>
        <w:tc>
          <w:tcPr>
            <w:tcW w:w="2261" w:type="dxa"/>
            <w:tcBorders>
              <w:top w:val="single" w:sz="4" w:space="0" w:color="auto"/>
            </w:tcBorders>
          </w:tcPr>
          <w:p w14:paraId="4F88B7B5"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1.49±0.06</w:t>
            </w:r>
          </w:p>
        </w:tc>
        <w:tc>
          <w:tcPr>
            <w:tcW w:w="1803" w:type="dxa"/>
            <w:tcBorders>
              <w:top w:val="single" w:sz="4" w:space="0" w:color="auto"/>
            </w:tcBorders>
          </w:tcPr>
          <w:p w14:paraId="4AFC684E"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59.8±1.5</w:t>
            </w:r>
          </w:p>
        </w:tc>
        <w:tc>
          <w:tcPr>
            <w:tcW w:w="2146" w:type="dxa"/>
            <w:tcBorders>
              <w:top w:val="single" w:sz="4" w:space="0" w:color="auto"/>
            </w:tcBorders>
          </w:tcPr>
          <w:p w14:paraId="503A5219"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8.92±0.14</w:t>
            </w:r>
          </w:p>
        </w:tc>
        <w:tc>
          <w:tcPr>
            <w:tcW w:w="1800" w:type="dxa"/>
            <w:tcBorders>
              <w:top w:val="single" w:sz="4" w:space="0" w:color="auto"/>
              <w:right w:val="nil"/>
            </w:tcBorders>
          </w:tcPr>
          <w:p w14:paraId="686C7A26"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2.70±0.11</w:t>
            </w:r>
          </w:p>
        </w:tc>
      </w:tr>
      <w:tr w:rsidR="00304FC1" w14:paraId="04568502" w14:textId="77777777" w:rsidTr="001E7B6A">
        <w:tc>
          <w:tcPr>
            <w:tcW w:w="1345" w:type="dxa"/>
            <w:tcBorders>
              <w:left w:val="nil"/>
            </w:tcBorders>
          </w:tcPr>
          <w:p w14:paraId="4B4EAE47"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0.01 wt.%</w:t>
            </w:r>
          </w:p>
        </w:tc>
        <w:tc>
          <w:tcPr>
            <w:tcW w:w="2261" w:type="dxa"/>
          </w:tcPr>
          <w:p w14:paraId="2480A912"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1.65±0.07</w:t>
            </w:r>
          </w:p>
        </w:tc>
        <w:tc>
          <w:tcPr>
            <w:tcW w:w="1803" w:type="dxa"/>
          </w:tcPr>
          <w:p w14:paraId="76E2D1C1"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65.8±1.8</w:t>
            </w:r>
          </w:p>
        </w:tc>
        <w:tc>
          <w:tcPr>
            <w:tcW w:w="2146" w:type="dxa"/>
          </w:tcPr>
          <w:p w14:paraId="7695DE7C"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7.78±0.28</w:t>
            </w:r>
          </w:p>
        </w:tc>
        <w:tc>
          <w:tcPr>
            <w:tcW w:w="1800" w:type="dxa"/>
            <w:tcBorders>
              <w:right w:val="nil"/>
            </w:tcBorders>
          </w:tcPr>
          <w:p w14:paraId="6E85212C"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3.35±0.07</w:t>
            </w:r>
          </w:p>
        </w:tc>
      </w:tr>
      <w:tr w:rsidR="00304FC1" w14:paraId="2252BB7B" w14:textId="77777777" w:rsidTr="001E7B6A">
        <w:tc>
          <w:tcPr>
            <w:tcW w:w="1345" w:type="dxa"/>
            <w:tcBorders>
              <w:left w:val="nil"/>
            </w:tcBorders>
          </w:tcPr>
          <w:p w14:paraId="0639401F"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0.05 wt.%</w:t>
            </w:r>
          </w:p>
        </w:tc>
        <w:tc>
          <w:tcPr>
            <w:tcW w:w="2261" w:type="dxa"/>
          </w:tcPr>
          <w:p w14:paraId="5D5DA70C"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1.62±0.06</w:t>
            </w:r>
          </w:p>
        </w:tc>
        <w:tc>
          <w:tcPr>
            <w:tcW w:w="1803" w:type="dxa"/>
          </w:tcPr>
          <w:p w14:paraId="6CDE63A1"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61.3±1.6</w:t>
            </w:r>
          </w:p>
        </w:tc>
        <w:tc>
          <w:tcPr>
            <w:tcW w:w="2146" w:type="dxa"/>
          </w:tcPr>
          <w:p w14:paraId="2AA10363"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7.25±0.32</w:t>
            </w:r>
          </w:p>
        </w:tc>
        <w:tc>
          <w:tcPr>
            <w:tcW w:w="1800" w:type="dxa"/>
            <w:tcBorders>
              <w:right w:val="nil"/>
            </w:tcBorders>
          </w:tcPr>
          <w:p w14:paraId="7E0BB604"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3.09±0.08</w:t>
            </w:r>
          </w:p>
        </w:tc>
      </w:tr>
      <w:tr w:rsidR="00304FC1" w14:paraId="1B564558" w14:textId="77777777" w:rsidTr="001E7B6A">
        <w:tc>
          <w:tcPr>
            <w:tcW w:w="1345" w:type="dxa"/>
            <w:tcBorders>
              <w:left w:val="nil"/>
              <w:bottom w:val="single" w:sz="4" w:space="0" w:color="auto"/>
            </w:tcBorders>
          </w:tcPr>
          <w:p w14:paraId="5AEF1342"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0.1 wt.%</w:t>
            </w:r>
          </w:p>
        </w:tc>
        <w:tc>
          <w:tcPr>
            <w:tcW w:w="2261" w:type="dxa"/>
          </w:tcPr>
          <w:p w14:paraId="20C29FF3"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1.60±0.05</w:t>
            </w:r>
          </w:p>
        </w:tc>
        <w:tc>
          <w:tcPr>
            <w:tcW w:w="1803" w:type="dxa"/>
          </w:tcPr>
          <w:p w14:paraId="657EE000"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54.8±1.7</w:t>
            </w:r>
          </w:p>
        </w:tc>
        <w:tc>
          <w:tcPr>
            <w:tcW w:w="2146" w:type="dxa"/>
          </w:tcPr>
          <w:p w14:paraId="4F645F14"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6.5±0.19</w:t>
            </w:r>
          </w:p>
        </w:tc>
        <w:tc>
          <w:tcPr>
            <w:tcW w:w="1800" w:type="dxa"/>
            <w:tcBorders>
              <w:bottom w:val="single" w:sz="4" w:space="0" w:color="auto"/>
              <w:right w:val="nil"/>
            </w:tcBorders>
          </w:tcPr>
          <w:p w14:paraId="58A05E80"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2.87±0.13</w:t>
            </w:r>
          </w:p>
        </w:tc>
      </w:tr>
    </w:tbl>
    <w:p w14:paraId="08D67621" w14:textId="77777777" w:rsidR="00D003E1" w:rsidRPr="00D003E1" w:rsidRDefault="00D003E1" w:rsidP="00D003E1">
      <w:pPr>
        <w:spacing w:after="0" w:line="480" w:lineRule="auto"/>
        <w:jc w:val="both"/>
        <w:rPr>
          <w:rFonts w:ascii="Times New Roman" w:eastAsia="SimSun" w:hAnsi="Times New Roman" w:cs="Times New Roman"/>
          <w:sz w:val="24"/>
          <w:szCs w:val="24"/>
          <w:lang w:val="en-GB"/>
        </w:rPr>
      </w:pPr>
    </w:p>
    <w:p w14:paraId="267E82A4" w14:textId="77777777" w:rsidR="00D003E1" w:rsidRPr="00D003E1" w:rsidRDefault="00D003E1" w:rsidP="00492AD8">
      <w:pPr>
        <w:keepNext/>
        <w:spacing w:after="0" w:line="480" w:lineRule="auto"/>
        <w:ind w:hanging="284"/>
        <w:jc w:val="center"/>
        <w:rPr>
          <w:rFonts w:ascii="Times New Roman" w:eastAsia="SimSun" w:hAnsi="Times New Roman" w:cs="Times New Roman"/>
          <w:sz w:val="24"/>
          <w:lang w:val="en-GB"/>
        </w:rPr>
      </w:pPr>
      <w:r w:rsidRPr="00D003E1">
        <w:rPr>
          <w:rFonts w:ascii="Times New Roman" w:eastAsia="SimSun" w:hAnsi="Times New Roman" w:cs="Times New Roman"/>
          <w:noProof/>
          <w:sz w:val="24"/>
          <w:lang w:val="en-GB"/>
        </w:rPr>
        <w:drawing>
          <wp:inline distT="0" distB="0" distL="0" distR="0" wp14:anchorId="4F1AD341" wp14:editId="0A210B09">
            <wp:extent cx="6430435" cy="6705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67814" cy="6744579"/>
                    </a:xfrm>
                    <a:prstGeom prst="rect">
                      <a:avLst/>
                    </a:prstGeom>
                    <a:noFill/>
                  </pic:spPr>
                </pic:pic>
              </a:graphicData>
            </a:graphic>
          </wp:inline>
        </w:drawing>
      </w:r>
    </w:p>
    <w:p w14:paraId="5E669F53" w14:textId="01F5F165" w:rsidR="00D003E1" w:rsidRDefault="002354ED" w:rsidP="00492AD8">
      <w:pPr>
        <w:pStyle w:val="Caption"/>
        <w:ind w:firstLine="0"/>
        <w:rPr>
          <w:rFonts w:eastAsia="SimSun" w:cs="Times New Roman"/>
          <w:bCs/>
          <w:lang w:val="en-GB"/>
        </w:rPr>
      </w:pPr>
      <w:bookmarkStart w:id="97" w:name="_Toc502661659"/>
      <w:r>
        <w:t>Figure 3</w:t>
      </w:r>
      <w:r w:rsidR="00EF086B">
        <w:t>.</w:t>
      </w:r>
      <w:r w:rsidR="003D1E0D">
        <w:t>5</w:t>
      </w:r>
      <w:r w:rsidR="00492AD8">
        <w:t xml:space="preserve">. </w:t>
      </w:r>
      <w:r w:rsidR="00D003E1" w:rsidRPr="00D003E1">
        <w:rPr>
          <w:rFonts w:eastAsia="SimSun" w:cs="Times New Roman"/>
          <w:bCs/>
          <w:noProof/>
          <w:lang w:val="en-GB"/>
        </w:rPr>
        <w:t>Tensile</w:t>
      </w:r>
      <w:r w:rsidR="00D003E1" w:rsidRPr="00D003E1">
        <w:rPr>
          <w:rFonts w:eastAsia="SimSun" w:cs="Times New Roman" w:hint="eastAsia"/>
          <w:bCs/>
          <w:lang w:val="en-GB"/>
        </w:rPr>
        <w:t xml:space="preserve"> </w:t>
      </w:r>
      <w:r w:rsidR="00D003E1" w:rsidRPr="00D003E1">
        <w:rPr>
          <w:rFonts w:eastAsia="SimSun" w:cs="Times New Roman"/>
          <w:bCs/>
          <w:lang w:val="en-GB"/>
        </w:rPr>
        <w:t>properties of UPR, and UPR/GO bars: (a) stress-strain curves, (b) Young’s modulus, (c) tensile strength, (d) elongation at break, and (e) energy at break.</w:t>
      </w:r>
      <w:bookmarkEnd w:id="97"/>
    </w:p>
    <w:p w14:paraId="53E94B43" w14:textId="77777777" w:rsidR="00D003E1" w:rsidRPr="00D003E1" w:rsidRDefault="00D003E1" w:rsidP="00D003E1">
      <w:pPr>
        <w:spacing w:after="0" w:line="480" w:lineRule="auto"/>
        <w:rPr>
          <w:rFonts w:ascii="Times New Roman" w:eastAsia="SimSun" w:hAnsi="Times New Roman" w:cs="Times New Roman"/>
          <w:bCs/>
          <w:sz w:val="24"/>
          <w:szCs w:val="18"/>
          <w:lang w:val="en-GB"/>
        </w:rPr>
      </w:pPr>
    </w:p>
    <w:p w14:paraId="21FB1383" w14:textId="77777777" w:rsidR="00D003E1" w:rsidRPr="002354ED" w:rsidRDefault="00D003E1" w:rsidP="00D003E1">
      <w:pPr>
        <w:keepNext/>
        <w:keepLines/>
        <w:spacing w:after="0" w:line="480" w:lineRule="auto"/>
        <w:jc w:val="both"/>
        <w:outlineLvl w:val="3"/>
        <w:rPr>
          <w:rFonts w:ascii="Times New Roman" w:eastAsia="SimSun" w:hAnsi="Times New Roman" w:cs="Times New Roman"/>
          <w:i/>
          <w:iCs/>
          <w:sz w:val="24"/>
          <w:lang w:val="en-GB"/>
        </w:rPr>
      </w:pPr>
      <w:r w:rsidRPr="002354ED">
        <w:rPr>
          <w:rFonts w:ascii="Times New Roman" w:eastAsia="SimSun" w:hAnsi="Times New Roman" w:cs="Times New Roman"/>
          <w:i/>
          <w:iCs/>
          <w:sz w:val="24"/>
          <w:lang w:val="en-GB"/>
        </w:rPr>
        <w:t>Flexural properties</w:t>
      </w:r>
    </w:p>
    <w:p w14:paraId="382852B2" w14:textId="4B87525B" w:rsidR="00D003E1" w:rsidRPr="002354ED" w:rsidRDefault="00D003E1" w:rsidP="00D003E1">
      <w:pPr>
        <w:spacing w:after="0" w:line="480" w:lineRule="auto"/>
        <w:jc w:val="both"/>
        <w:rPr>
          <w:rFonts w:ascii="Times New Roman" w:eastAsia="SimSun" w:hAnsi="Times New Roman" w:cs="Times New Roman"/>
          <w:sz w:val="24"/>
          <w:szCs w:val="24"/>
          <w:lang w:val="en-GB"/>
        </w:rPr>
      </w:pPr>
      <w:r w:rsidRPr="002354ED">
        <w:rPr>
          <w:rFonts w:ascii="Times New Roman" w:eastAsia="SimSun" w:hAnsi="Times New Roman" w:cs="Times New Roman"/>
          <w:sz w:val="24"/>
          <w:szCs w:val="24"/>
          <w:lang w:val="en-GB"/>
        </w:rPr>
        <w:t>The effect of GO on the flexural properties of UPR is investigated by 3-point bending test</w:t>
      </w:r>
      <w:r w:rsidR="00B40875" w:rsidRPr="002354ED">
        <w:rPr>
          <w:rFonts w:ascii="Times New Roman" w:eastAsia="SimSun" w:hAnsi="Times New Roman" w:cs="Times New Roman" w:hint="eastAsia"/>
          <w:sz w:val="24"/>
          <w:szCs w:val="24"/>
          <w:lang w:val="en-GB"/>
        </w:rPr>
        <w:t>s</w:t>
      </w:r>
      <w:r w:rsidRPr="002354ED">
        <w:rPr>
          <w:rFonts w:ascii="Times New Roman" w:eastAsia="SimSun" w:hAnsi="Times New Roman" w:cs="Times New Roman"/>
          <w:sz w:val="24"/>
          <w:szCs w:val="24"/>
          <w:lang w:val="en-GB"/>
        </w:rPr>
        <w:t>, and t</w:t>
      </w:r>
      <w:r w:rsidR="00664632" w:rsidRPr="002354ED">
        <w:rPr>
          <w:rFonts w:ascii="Times New Roman" w:eastAsia="SimSun" w:hAnsi="Times New Roman" w:cs="Times New Roman"/>
          <w:sz w:val="24"/>
          <w:szCs w:val="24"/>
          <w:lang w:val="en-GB"/>
        </w:rPr>
        <w:t>he</w:t>
      </w:r>
      <w:r w:rsidR="002354ED">
        <w:rPr>
          <w:rFonts w:ascii="Times New Roman" w:eastAsia="SimSun" w:hAnsi="Times New Roman" w:cs="Times New Roman"/>
          <w:sz w:val="24"/>
          <w:szCs w:val="24"/>
          <w:lang w:val="en-GB"/>
        </w:rPr>
        <w:t xml:space="preserve"> results are shown in Figure 3</w:t>
      </w:r>
      <w:r w:rsidR="00B40875" w:rsidRPr="002354ED">
        <w:rPr>
          <w:rFonts w:ascii="Times New Roman" w:eastAsia="SimSun" w:hAnsi="Times New Roman" w:cs="Times New Roman"/>
          <w:sz w:val="24"/>
          <w:szCs w:val="24"/>
          <w:lang w:val="en-GB"/>
        </w:rPr>
        <w:t>.6</w:t>
      </w:r>
      <w:r w:rsidR="002354ED">
        <w:rPr>
          <w:rFonts w:ascii="Times New Roman" w:eastAsia="SimSun" w:hAnsi="Times New Roman" w:cs="Times New Roman"/>
          <w:sz w:val="24"/>
          <w:szCs w:val="24"/>
          <w:lang w:val="en-GB"/>
        </w:rPr>
        <w:t xml:space="preserve"> and Table 3</w:t>
      </w:r>
      <w:r w:rsidR="00B40875" w:rsidRPr="002354ED">
        <w:rPr>
          <w:rFonts w:ascii="Times New Roman" w:eastAsia="SimSun" w:hAnsi="Times New Roman" w:cs="Times New Roman"/>
          <w:sz w:val="24"/>
          <w:szCs w:val="24"/>
          <w:lang w:val="en-GB"/>
        </w:rPr>
        <w:t>.3</w:t>
      </w:r>
      <w:r w:rsidRPr="002354ED">
        <w:rPr>
          <w:rFonts w:ascii="Times New Roman" w:eastAsia="SimSun" w:hAnsi="Times New Roman" w:cs="Times New Roman"/>
          <w:sz w:val="24"/>
          <w:szCs w:val="24"/>
          <w:lang w:val="en-GB"/>
        </w:rPr>
        <w:t>. Flexural modulus, the slope of the elastic region of stress-strain curve, increases with increasing GO content, and the highest value is obs</w:t>
      </w:r>
      <w:r w:rsidR="00453284" w:rsidRPr="002354ED">
        <w:rPr>
          <w:rFonts w:ascii="Times New Roman" w:eastAsia="SimSun" w:hAnsi="Times New Roman" w:cs="Times New Roman"/>
          <w:sz w:val="24"/>
          <w:szCs w:val="24"/>
          <w:lang w:val="en-GB"/>
        </w:rPr>
        <w:t xml:space="preserve">erved at 0.05 wt.%, which is </w:t>
      </w:r>
      <w:r w:rsidR="00896460" w:rsidRPr="002354ED">
        <w:rPr>
          <w:rFonts w:ascii="Times New Roman" w:eastAsia="SimSun" w:hAnsi="Times New Roman" w:cs="Times New Roman"/>
          <w:sz w:val="24"/>
          <w:szCs w:val="24"/>
          <w:lang w:val="en-GB"/>
        </w:rPr>
        <w:t xml:space="preserve">a </w:t>
      </w:r>
      <w:r w:rsidR="00453284" w:rsidRPr="002354ED">
        <w:rPr>
          <w:rFonts w:ascii="Times New Roman" w:eastAsia="SimSun" w:hAnsi="Times New Roman" w:cs="Times New Roman"/>
          <w:sz w:val="24"/>
          <w:szCs w:val="24"/>
          <w:lang w:val="en-GB"/>
        </w:rPr>
        <w:t>72.80</w:t>
      </w:r>
      <w:r w:rsidRPr="002354ED">
        <w:rPr>
          <w:rFonts w:ascii="Times New Roman" w:eastAsia="SimSun" w:hAnsi="Times New Roman" w:cs="Times New Roman"/>
          <w:sz w:val="24"/>
          <w:szCs w:val="24"/>
          <w:lang w:val="en-GB"/>
        </w:rPr>
        <w:t>%</w:t>
      </w:r>
      <w:r w:rsidR="00025555" w:rsidRPr="002354ED">
        <w:rPr>
          <w:rFonts w:ascii="Times New Roman" w:eastAsia="SimSun" w:hAnsi="Times New Roman" w:cs="Times New Roman"/>
          <w:sz w:val="24"/>
          <w:szCs w:val="24"/>
          <w:lang w:val="en-GB"/>
        </w:rPr>
        <w:t xml:space="preserve"> improvement</w:t>
      </w:r>
      <w:r w:rsidR="00453284" w:rsidRPr="002354ED">
        <w:rPr>
          <w:rFonts w:ascii="Times New Roman" w:eastAsia="SimSun" w:hAnsi="Times New Roman" w:cs="Times New Roman"/>
          <w:sz w:val="24"/>
          <w:szCs w:val="24"/>
          <w:lang w:val="en-GB"/>
        </w:rPr>
        <w:t xml:space="preserve"> over neat UPR. The flexural strength </w:t>
      </w:r>
      <w:r w:rsidR="009E3703" w:rsidRPr="002354ED">
        <w:rPr>
          <w:rFonts w:ascii="Times New Roman" w:eastAsia="SimSun" w:hAnsi="Times New Roman" w:cs="Times New Roman"/>
          <w:sz w:val="24"/>
          <w:szCs w:val="24"/>
          <w:lang w:val="en-GB"/>
        </w:rPr>
        <w:t xml:space="preserve">increases with GO loadings, and the highest value is observed at 0.01 wt.%, which is 11.8% improvement over neat UPR. 0.1 wt.% UPR/GO composite shows a decreased flexural modulus of 1.37 GPa compared to that of 0.01 wt.% and 0.05 wt.% UPR/GO composites, and a decreased  flexural strength of 99.89 MPa, which is presumably due to the aggregation occurred at 0.1 wt.% as discussed previously. </w:t>
      </w:r>
      <w:r w:rsidRPr="002354ED">
        <w:rPr>
          <w:rFonts w:ascii="Times New Roman" w:eastAsia="SimSun" w:hAnsi="Times New Roman" w:cs="Times New Roman"/>
          <w:sz w:val="24"/>
          <w:szCs w:val="24"/>
          <w:lang w:val="en-GB"/>
        </w:rPr>
        <w:t>The deflection and energy at break gradually decreased with GO loadings, and the lowest values are obs</w:t>
      </w:r>
      <w:r w:rsidR="009E3703" w:rsidRPr="002354ED">
        <w:rPr>
          <w:rFonts w:ascii="Times New Roman" w:eastAsia="SimSun" w:hAnsi="Times New Roman" w:cs="Times New Roman"/>
          <w:sz w:val="24"/>
          <w:szCs w:val="24"/>
          <w:lang w:val="en-GB"/>
        </w:rPr>
        <w:t>erved at 0.1 wt.%, which is 3.76</w:t>
      </w:r>
      <w:r w:rsidRPr="002354ED">
        <w:rPr>
          <w:rFonts w:ascii="Times New Roman" w:eastAsia="SimSun" w:hAnsi="Times New Roman" w:cs="Times New Roman"/>
          <w:sz w:val="24"/>
          <w:szCs w:val="24"/>
          <w:lang w:val="en-GB"/>
        </w:rPr>
        <w:t xml:space="preserve">%, </w:t>
      </w:r>
      <w:r w:rsidR="009E3703" w:rsidRPr="002354ED">
        <w:rPr>
          <w:rFonts w:ascii="Times New Roman" w:eastAsia="SimSun" w:hAnsi="Times New Roman" w:cs="Times New Roman"/>
          <w:sz w:val="24"/>
          <w:szCs w:val="24"/>
          <w:lang w:val="en-GB"/>
        </w:rPr>
        <w:t>1.88</w:t>
      </w:r>
      <w:r w:rsidRPr="002354ED">
        <w:rPr>
          <w:rFonts w:ascii="Times New Roman" w:eastAsia="SimSun" w:hAnsi="Times New Roman" w:cs="Times New Roman"/>
          <w:sz w:val="24"/>
          <w:szCs w:val="24"/>
          <w:lang w:val="en-GB"/>
        </w:rPr>
        <w:t xml:space="preserve"> MJ m</w:t>
      </w:r>
      <w:r w:rsidRPr="002354ED">
        <w:rPr>
          <w:rFonts w:ascii="Times New Roman" w:eastAsia="SimSun" w:hAnsi="Times New Roman" w:cs="Times New Roman"/>
          <w:sz w:val="24"/>
          <w:szCs w:val="24"/>
          <w:vertAlign w:val="superscript"/>
          <w:lang w:val="en-GB"/>
        </w:rPr>
        <w:t>-3</w:t>
      </w:r>
      <w:r w:rsidRPr="002354ED">
        <w:rPr>
          <w:rFonts w:ascii="Times New Roman" w:eastAsia="SimSun" w:hAnsi="Times New Roman" w:cs="Times New Roman"/>
          <w:sz w:val="24"/>
          <w:szCs w:val="24"/>
          <w:lang w:val="en-GB"/>
        </w:rPr>
        <w:t>, respectively. The improvement</w:t>
      </w:r>
      <w:r w:rsidR="009E3703" w:rsidRPr="002354ED">
        <w:rPr>
          <w:rFonts w:ascii="Times New Roman" w:eastAsia="SimSun" w:hAnsi="Times New Roman" w:cs="Times New Roman"/>
          <w:sz w:val="24"/>
          <w:szCs w:val="24"/>
          <w:lang w:val="en-GB"/>
        </w:rPr>
        <w:t>s</w:t>
      </w:r>
      <w:r w:rsidRPr="002354ED">
        <w:rPr>
          <w:rFonts w:ascii="Times New Roman" w:eastAsia="SimSun" w:hAnsi="Times New Roman" w:cs="Times New Roman"/>
          <w:sz w:val="24"/>
          <w:szCs w:val="24"/>
          <w:lang w:val="en-GB"/>
        </w:rPr>
        <w:t xml:space="preserve"> on </w:t>
      </w:r>
      <w:r w:rsidR="009E3703" w:rsidRPr="002354ED">
        <w:rPr>
          <w:rFonts w:ascii="Times New Roman" w:eastAsia="SimSun" w:hAnsi="Times New Roman" w:cs="Times New Roman"/>
          <w:sz w:val="24"/>
          <w:szCs w:val="24"/>
          <w:lang w:val="en-GB"/>
        </w:rPr>
        <w:t>flexural</w:t>
      </w:r>
      <w:r w:rsidRPr="002354ED">
        <w:rPr>
          <w:rFonts w:ascii="Times New Roman" w:eastAsia="SimSun" w:hAnsi="Times New Roman" w:cs="Times New Roman"/>
          <w:sz w:val="24"/>
          <w:szCs w:val="24"/>
          <w:lang w:val="en-GB"/>
        </w:rPr>
        <w:t xml:space="preserve"> modulus </w:t>
      </w:r>
      <w:r w:rsidR="009E3703" w:rsidRPr="002354ED">
        <w:rPr>
          <w:rFonts w:ascii="Times New Roman" w:eastAsia="SimSun" w:hAnsi="Times New Roman" w:cs="Times New Roman"/>
          <w:sz w:val="24"/>
          <w:szCs w:val="24"/>
          <w:lang w:val="en-GB"/>
        </w:rPr>
        <w:t xml:space="preserve">and flexural strength are presumably </w:t>
      </w:r>
      <w:r w:rsidRPr="002354ED">
        <w:rPr>
          <w:rFonts w:ascii="Times New Roman" w:eastAsia="SimSun" w:hAnsi="Times New Roman" w:cs="Times New Roman"/>
          <w:sz w:val="24"/>
          <w:szCs w:val="24"/>
          <w:lang w:val="en-GB"/>
        </w:rPr>
        <w:t xml:space="preserve">due to the strong interfacial interaction between GO and UPR at </w:t>
      </w:r>
      <w:r w:rsidR="009E3703" w:rsidRPr="002354ED">
        <w:rPr>
          <w:rFonts w:ascii="Times New Roman" w:eastAsia="SimSun" w:hAnsi="Times New Roman" w:cs="Times New Roman"/>
          <w:sz w:val="24"/>
          <w:szCs w:val="24"/>
          <w:lang w:val="en-GB"/>
        </w:rPr>
        <w:t xml:space="preserve">very low GO concentration (≤ 0.05 </w:t>
      </w:r>
      <w:r w:rsidRPr="002354ED">
        <w:rPr>
          <w:rFonts w:ascii="Times New Roman" w:eastAsia="SimSun" w:hAnsi="Times New Roman" w:cs="Times New Roman"/>
          <w:sz w:val="24"/>
          <w:szCs w:val="24"/>
          <w:lang w:val="en-GB"/>
        </w:rPr>
        <w:t xml:space="preserve">wt.%), which in turn contributes to the reasonable load transfer from UPR to GO when a </w:t>
      </w:r>
      <w:r w:rsidR="008A26B2" w:rsidRPr="002354ED">
        <w:rPr>
          <w:rFonts w:ascii="Times New Roman" w:eastAsia="SimSun" w:hAnsi="Times New Roman" w:cs="Times New Roman"/>
          <w:sz w:val="24"/>
          <w:szCs w:val="24"/>
          <w:lang w:val="en-GB"/>
        </w:rPr>
        <w:t xml:space="preserve">external </w:t>
      </w:r>
      <w:r w:rsidRPr="002354ED">
        <w:rPr>
          <w:rFonts w:ascii="Times New Roman" w:eastAsia="SimSun" w:hAnsi="Times New Roman" w:cs="Times New Roman"/>
          <w:sz w:val="24"/>
          <w:szCs w:val="24"/>
          <w:lang w:val="en-GB"/>
        </w:rPr>
        <w:t xml:space="preserve">force is applied </w:t>
      </w:r>
      <w:r w:rsidRPr="002354ED">
        <w:rPr>
          <w:rFonts w:ascii="Times New Roman" w:eastAsia="SimSun" w:hAnsi="Times New Roman" w:cs="Times New Roman"/>
          <w:sz w:val="24"/>
          <w:szCs w:val="24"/>
          <w:lang w:val="en-GB"/>
        </w:rPr>
        <w:fldChar w:fldCharType="begin" w:fldLock="1"/>
      </w:r>
      <w:r w:rsidR="00D14688" w:rsidRPr="002354ED">
        <w:rPr>
          <w:rFonts w:ascii="Times New Roman" w:eastAsia="SimSun" w:hAnsi="Times New Roman" w:cs="Times New Roman"/>
          <w:sz w:val="24"/>
          <w:szCs w:val="24"/>
          <w:lang w:val="en-GB"/>
        </w:rPr>
        <w:instrText>ADDIN CSL_CITATION { "citationItems" : [ { "id" : "ITEM-1", "itemData" : { "DOI" : "10.1016/j.cplett.2012.02.006", "ISBN" : "00092614", "ISSN" : "00092614", "abstract" : "Influence of reinforcements on mechanical and thermal properties of graphene nanoplatelets/epoxy composites is investigated. Amine functionalized expanded graphene nanoplatelets (EGNPs) were dispersed within epoxy resins using high-pressure processor followed by three roll milling. Functionality on the EGNPs was confirmed with FTIR and micro-Raman spectroscopy. Bending and nano-mechanical testing was performed on the composites. Incorporation of EGNPs improved the flexural modulus and hardness of the composite and increased fracture toughness by up to 60%. Marked improvement was observed in thermal conductivity of the composites reaching 36% at 2 wt.% loading. Functionalized EGNPs exhibited significant improvements indicating favorable interaction at EGNPs/polymer interface. \u00a9 2012 Elsevier B.V. All rights reserved.", "author" : [ { "dropping-particle" : "", "family" : "Chatterjee", "given" : "S.", "non-dropping-particle" : "", "parse-names" : false, "suffix" : "" }, { "dropping-particle" : "", "family" : "Wang", "given" : "J. W.", "non-dropping-particle" : "", "parse-names" : false, "suffix" : "" }, { "dropping-particle" : "", "family" : "Kuo", "given" : "W. S.", "non-dropping-particle" : "", "parse-names" : false, "suffix" : "" }, { "dropping-particle" : "", "family" : "Tai", "given" : "N. H.", "non-dropping-particle" : "", "parse-names" : false, "suffix" : "" }, { "dropping-particle" : "", "family" : "Salzmann", "given" : "C.", "non-dropping-particle" : "", "parse-names" : false, "suffix" : "" }, { "dropping-particle" : "", "family" : "Li", "given" : "W. L.", "non-dropping-particle" : "", "parse-names" : false, "suffix" : "" }, { "dropping-particle" : "", "family" : "Hollertz", "given" : "R.", "non-dropping-particle" : "", "parse-names" : false, "suffix" : "" }, { "dropping-particle" : "", "family" : "N\u00fcesch", "given" : "F. A.", "non-dropping-particle" : "", "parse-names" : false, "suffix" : "" }, { "dropping-particle" : "", "family" : "Chu", "given" : "B. T.T.", "non-dropping-particle" : "", "parse-names" : false, "suffix" : "" } ], "container-title" : "Chemical Physics Letters", "id" : "ITEM-1", "issued" : { "date-parts" : [ [ "2012" ] ] }, "page" : "6-10", "title" : "Mechanical reinforcement and thermal conductivity in expanded graphene nanoplatelets reinforced epoxy composites", "type" : "article-journal", "volume" : "531" }, "uris" : [ "http://www.mendeley.com/documents/?uuid=91bff749-ff5c-44cb-9ef7-86c1854f7ecb" ] }, { "id" : "ITEM-2", "itemData" : { "DOI" : "10.1016/j.compositesa.2014.04.023", "ISBN" : "1359835X", "ISSN" : "1359835X", "abstract" : "In this work, the effects of as-produced GO and silane functionalized GO (silane-f-GO) loading and silane functionalization on the mechanical properties of epoxy composites are investigated and compared. Such silane functionalization containing epoxy ended-groups is found to effectively improve the compatibility between the silane-f-GO and the epoxy matrix. Increased storage modulus, glass transition temperature, thermal stability, tensile and flexural properties and fracture toughness of epoxy composites filled with the silane-f-GO sheets are observed compared with those of the neat epoxy and GO/epoxy composites. These findings confirm the improved dispersion and interfacial interaction in the composites arising from covalent bonds between the silane-f-GO and the epoxy matrix. Moreover, several possible fracture mechanisms, i.e. crack pinning/deflection, crack bridging, and matrix plastic deformation initiated by the debonding/delamination of GO sheets, were identified and evaluated.", "author" : [ { "dropping-particle" : "", "family" : "Wan", "given" : "Yan-Jun", "non-dropping-particle" : "", "parse-names" : false, "suffix" : "" }, { "dropping-particle" : "", "family" : "Gong", "given" : "Li-Xiu", "non-dropping-particle" : "", "parse-names" : false, "suffix" : "" }, { "dropping-particle" : "", "family" : "Tang", "given" : "Long-Cheng", "non-dropping-particle" : "", "parse-names" : false, "suffix" : "" }, { "dropping-particle" : "", "family" : "Wu", "given" : "Lian-Bin", "non-dropping-particle" : "", "parse-names" : false, "suffix" : "" }, { "dropping-particle" : "", "family" : "Jiang", "given" : "Jian-Xiong", "non-dropping-particle" : "", "parse-names" : false, "suffix" : "" } ], "container-title" : "Composites: Part A", "id" : "ITEM-2", "issued" : { "date-parts" : [ [ "2014" ] ] }, "page" : "79-89", "publisher" : "Elsevier Ltd", "title" : "Mechanical properties of epoxy composites filled with silane-functionalized graphene oxide", "type" : "article-journal", "volume" : "64" }, "uris" : [ "http://www.mendeley.com/documents/?uuid=ff67c2cb-aae8-4e2d-9b5f-a84e39069f0d" ] } ], "mendeley" : { "formattedCitation" : "[166,167]", "plainTextFormattedCitation" : "[166,167]", "previouslyFormattedCitation" : "[166,167]" }, "properties" : {  }, "schema" : "https://github.com/citation-style-language/schema/raw/master/csl-citation.json" }</w:instrText>
      </w:r>
      <w:r w:rsidRPr="002354ED">
        <w:rPr>
          <w:rFonts w:ascii="Times New Roman" w:eastAsia="SimSun" w:hAnsi="Times New Roman" w:cs="Times New Roman"/>
          <w:sz w:val="24"/>
          <w:szCs w:val="24"/>
          <w:lang w:val="en-GB"/>
        </w:rPr>
        <w:fldChar w:fldCharType="separate"/>
      </w:r>
      <w:r w:rsidR="00D973A8" w:rsidRPr="002354ED">
        <w:rPr>
          <w:rFonts w:ascii="Times New Roman" w:eastAsia="SimSun" w:hAnsi="Times New Roman" w:cs="Times New Roman"/>
          <w:noProof/>
          <w:sz w:val="24"/>
          <w:szCs w:val="24"/>
          <w:lang w:val="en-GB"/>
        </w:rPr>
        <w:t>[166,167]</w:t>
      </w:r>
      <w:r w:rsidRPr="002354ED">
        <w:rPr>
          <w:rFonts w:ascii="Times New Roman" w:eastAsia="SimSun" w:hAnsi="Times New Roman" w:cs="Times New Roman"/>
          <w:sz w:val="24"/>
          <w:szCs w:val="24"/>
          <w:lang w:val="en-GB"/>
        </w:rPr>
        <w:fldChar w:fldCharType="end"/>
      </w:r>
      <w:r w:rsidRPr="002354ED">
        <w:rPr>
          <w:rFonts w:ascii="Times New Roman" w:eastAsia="SimSun" w:hAnsi="Times New Roman" w:cs="Times New Roman"/>
          <w:sz w:val="24"/>
          <w:szCs w:val="24"/>
          <w:lang w:val="en-GB"/>
        </w:rPr>
        <w:t xml:space="preserve">. </w:t>
      </w:r>
    </w:p>
    <w:p w14:paraId="24432E56" w14:textId="25827B4E" w:rsidR="00492AD8" w:rsidRPr="002354ED" w:rsidRDefault="00492AD8" w:rsidP="00D003E1">
      <w:pPr>
        <w:spacing w:after="0" w:line="480" w:lineRule="auto"/>
        <w:jc w:val="both"/>
        <w:rPr>
          <w:rFonts w:ascii="Times New Roman" w:eastAsia="SimSun" w:hAnsi="Times New Roman" w:cs="Times New Roman"/>
          <w:sz w:val="24"/>
          <w:szCs w:val="24"/>
          <w:lang w:val="en-GB"/>
        </w:rPr>
      </w:pPr>
    </w:p>
    <w:p w14:paraId="27DA8AB3" w14:textId="5AFE3B0C" w:rsidR="00492AD8" w:rsidRPr="002354ED" w:rsidRDefault="002354ED" w:rsidP="00492AD8">
      <w:pPr>
        <w:spacing w:after="0" w:line="360" w:lineRule="auto"/>
        <w:rPr>
          <w:rFonts w:ascii="Times New Roman" w:eastAsia="SimSun" w:hAnsi="Times New Roman" w:cs="Times New Roman"/>
          <w:bCs/>
          <w:sz w:val="24"/>
          <w:szCs w:val="18"/>
          <w:lang w:val="en-GB"/>
        </w:rPr>
      </w:pPr>
      <w:r>
        <w:rPr>
          <w:rFonts w:ascii="Times New Roman" w:eastAsia="SimSun" w:hAnsi="Times New Roman" w:cs="Times New Roman"/>
          <w:b/>
          <w:bCs/>
          <w:sz w:val="24"/>
          <w:szCs w:val="18"/>
          <w:lang w:val="en-GB"/>
        </w:rPr>
        <w:t>Table 3</w:t>
      </w:r>
      <w:r w:rsidR="003D1E0D" w:rsidRPr="002354ED">
        <w:rPr>
          <w:rFonts w:ascii="Times New Roman" w:eastAsia="SimSun" w:hAnsi="Times New Roman" w:cs="Times New Roman"/>
          <w:b/>
          <w:bCs/>
          <w:sz w:val="24"/>
          <w:szCs w:val="18"/>
          <w:lang w:val="en-GB"/>
        </w:rPr>
        <w:t>.3</w:t>
      </w:r>
      <w:r w:rsidR="00492AD8" w:rsidRPr="002354ED">
        <w:rPr>
          <w:rFonts w:ascii="Times New Roman" w:eastAsia="SimSun" w:hAnsi="Times New Roman" w:cs="Times New Roman"/>
          <w:b/>
          <w:bCs/>
          <w:noProof/>
          <w:sz w:val="24"/>
          <w:szCs w:val="18"/>
          <w:lang w:val="en-GB"/>
        </w:rPr>
        <w:t>.</w:t>
      </w:r>
      <w:r w:rsidR="00492AD8" w:rsidRPr="002354ED">
        <w:rPr>
          <w:rFonts w:ascii="Times New Roman" w:eastAsia="SimSun" w:hAnsi="Times New Roman" w:cs="Times New Roman" w:hint="eastAsia"/>
          <w:bCs/>
          <w:sz w:val="24"/>
          <w:szCs w:val="18"/>
          <w:lang w:val="en-GB"/>
        </w:rPr>
        <w:t xml:space="preserve"> </w:t>
      </w:r>
      <w:bookmarkStart w:id="98" w:name="_Ref440738628"/>
      <w:r w:rsidR="00492AD8" w:rsidRPr="002354ED">
        <w:rPr>
          <w:rFonts w:ascii="Times New Roman" w:eastAsia="SimSun" w:hAnsi="Times New Roman" w:cs="Times New Roman"/>
          <w:bCs/>
          <w:sz w:val="24"/>
          <w:szCs w:val="18"/>
          <w:lang w:val="en-GB"/>
        </w:rPr>
        <w:t>Flexural properties of UPR, and UPR/GO nanocomposites (post cured)</w:t>
      </w:r>
      <w:bookmarkEnd w:id="98"/>
      <w:r w:rsidR="00492AD8" w:rsidRPr="002354ED">
        <w:rPr>
          <w:rFonts w:ascii="Times New Roman" w:eastAsia="SimSun" w:hAnsi="Times New Roman" w:cs="Times New Roman"/>
          <w:bCs/>
          <w:sz w:val="24"/>
          <w:szCs w:val="18"/>
          <w:lang w:val="en-GB"/>
        </w:rPr>
        <w:t>.</w:t>
      </w:r>
    </w:p>
    <w:tbl>
      <w:tblPr>
        <w:tblStyle w:val="TableGrid"/>
        <w:tblW w:w="9355" w:type="dxa"/>
        <w:tblBorders>
          <w:insideH w:val="none" w:sz="0" w:space="0" w:color="auto"/>
          <w:insideV w:val="none" w:sz="0" w:space="0" w:color="auto"/>
        </w:tblBorders>
        <w:tblLook w:val="04A0" w:firstRow="1" w:lastRow="0" w:firstColumn="1" w:lastColumn="0" w:noHBand="0" w:noVBand="1"/>
      </w:tblPr>
      <w:tblGrid>
        <w:gridCol w:w="1345"/>
        <w:gridCol w:w="2075"/>
        <w:gridCol w:w="1989"/>
        <w:gridCol w:w="2146"/>
        <w:gridCol w:w="1800"/>
      </w:tblGrid>
      <w:tr w:rsidR="00492AD8" w:rsidRPr="00304FC1" w14:paraId="210034A4" w14:textId="77777777" w:rsidTr="00492AD8">
        <w:tc>
          <w:tcPr>
            <w:tcW w:w="1345" w:type="dxa"/>
            <w:tcBorders>
              <w:top w:val="single" w:sz="4" w:space="0" w:color="auto"/>
              <w:left w:val="nil"/>
              <w:bottom w:val="single" w:sz="4" w:space="0" w:color="auto"/>
            </w:tcBorders>
          </w:tcPr>
          <w:p w14:paraId="0607CD39" w14:textId="77777777" w:rsidR="00492AD8" w:rsidRPr="0068275D" w:rsidRDefault="00492AD8" w:rsidP="00492AD8">
            <w:pPr>
              <w:spacing w:line="480" w:lineRule="auto"/>
              <w:rPr>
                <w:rFonts w:ascii="Times New Roman" w:hAnsi="Times New Roman" w:cs="Times New Roman"/>
                <w:sz w:val="24"/>
                <w:szCs w:val="24"/>
              </w:rPr>
            </w:pPr>
          </w:p>
        </w:tc>
        <w:tc>
          <w:tcPr>
            <w:tcW w:w="2075" w:type="dxa"/>
            <w:tcBorders>
              <w:top w:val="single" w:sz="4" w:space="0" w:color="auto"/>
              <w:bottom w:val="single" w:sz="4" w:space="0" w:color="auto"/>
            </w:tcBorders>
          </w:tcPr>
          <w:p w14:paraId="7458AF2A"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Flexural modulus</w:t>
            </w:r>
          </w:p>
          <w:p w14:paraId="0944C596"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 GPa</w:t>
            </w:r>
          </w:p>
        </w:tc>
        <w:tc>
          <w:tcPr>
            <w:tcW w:w="1989" w:type="dxa"/>
            <w:tcBorders>
              <w:top w:val="single" w:sz="4" w:space="0" w:color="auto"/>
              <w:bottom w:val="single" w:sz="4" w:space="0" w:color="auto"/>
            </w:tcBorders>
          </w:tcPr>
          <w:p w14:paraId="2E5CD18D"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Flexural  strength</w:t>
            </w:r>
          </w:p>
          <w:p w14:paraId="39DFE1B2"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 MPa</w:t>
            </w:r>
          </w:p>
        </w:tc>
        <w:tc>
          <w:tcPr>
            <w:tcW w:w="2146" w:type="dxa"/>
            <w:tcBorders>
              <w:top w:val="single" w:sz="4" w:space="0" w:color="auto"/>
              <w:bottom w:val="single" w:sz="4" w:space="0" w:color="auto"/>
            </w:tcBorders>
          </w:tcPr>
          <w:p w14:paraId="5CE22A7A"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Deflection</w:t>
            </w:r>
          </w:p>
          <w:p w14:paraId="6B8468BA"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 %</w:t>
            </w:r>
          </w:p>
        </w:tc>
        <w:tc>
          <w:tcPr>
            <w:tcW w:w="1800" w:type="dxa"/>
            <w:tcBorders>
              <w:top w:val="single" w:sz="4" w:space="0" w:color="auto"/>
              <w:bottom w:val="single" w:sz="4" w:space="0" w:color="auto"/>
              <w:right w:val="nil"/>
            </w:tcBorders>
          </w:tcPr>
          <w:p w14:paraId="51B2A2AD"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Energy at break</w:t>
            </w:r>
          </w:p>
          <w:p w14:paraId="4D17B178"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 MJ m</w:t>
            </w:r>
            <w:r w:rsidRPr="0068275D">
              <w:rPr>
                <w:rFonts w:ascii="Times New Roman" w:hAnsi="Times New Roman" w:cs="Times New Roman"/>
                <w:sz w:val="24"/>
                <w:szCs w:val="24"/>
                <w:vertAlign w:val="superscript"/>
              </w:rPr>
              <w:t>-3</w:t>
            </w:r>
          </w:p>
        </w:tc>
      </w:tr>
      <w:tr w:rsidR="00492AD8" w:rsidRPr="00304FC1" w14:paraId="2D2DFA9F" w14:textId="77777777" w:rsidTr="00492AD8">
        <w:tc>
          <w:tcPr>
            <w:tcW w:w="1345" w:type="dxa"/>
            <w:tcBorders>
              <w:top w:val="single" w:sz="4" w:space="0" w:color="auto"/>
              <w:left w:val="nil"/>
            </w:tcBorders>
            <w:vAlign w:val="bottom"/>
          </w:tcPr>
          <w:p w14:paraId="1FF04E92"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UPR</w:t>
            </w:r>
          </w:p>
        </w:tc>
        <w:tc>
          <w:tcPr>
            <w:tcW w:w="2075" w:type="dxa"/>
            <w:tcBorders>
              <w:top w:val="single" w:sz="4" w:space="0" w:color="auto"/>
            </w:tcBorders>
            <w:vAlign w:val="bottom"/>
          </w:tcPr>
          <w:p w14:paraId="61030C75" w14:textId="370A79E7"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1.25</w:t>
            </w:r>
            <w:r w:rsidR="00492AD8" w:rsidRPr="0068275D">
              <w:rPr>
                <w:rFonts w:ascii="Times New Roman" w:hAnsi="Times New Roman" w:cs="Times New Roman"/>
                <w:sz w:val="24"/>
                <w:szCs w:val="24"/>
              </w:rPr>
              <w:t>±0.12</w:t>
            </w:r>
          </w:p>
        </w:tc>
        <w:tc>
          <w:tcPr>
            <w:tcW w:w="1989" w:type="dxa"/>
            <w:tcBorders>
              <w:top w:val="single" w:sz="4" w:space="0" w:color="auto"/>
            </w:tcBorders>
            <w:vAlign w:val="bottom"/>
          </w:tcPr>
          <w:p w14:paraId="4D01C10A" w14:textId="79908B68"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110.43</w:t>
            </w:r>
            <w:r w:rsidR="00492AD8" w:rsidRPr="0068275D">
              <w:rPr>
                <w:rFonts w:ascii="Times New Roman" w:hAnsi="Times New Roman" w:cs="Times New Roman"/>
                <w:sz w:val="24"/>
                <w:szCs w:val="24"/>
              </w:rPr>
              <w:t>±4.3</w:t>
            </w:r>
          </w:p>
        </w:tc>
        <w:tc>
          <w:tcPr>
            <w:tcW w:w="2146" w:type="dxa"/>
            <w:tcBorders>
              <w:top w:val="single" w:sz="4" w:space="0" w:color="auto"/>
            </w:tcBorders>
            <w:vAlign w:val="bottom"/>
          </w:tcPr>
          <w:p w14:paraId="575782FC" w14:textId="49082604"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6.95</w:t>
            </w:r>
            <w:r w:rsidR="00492AD8" w:rsidRPr="0068275D">
              <w:rPr>
                <w:rFonts w:ascii="Times New Roman" w:hAnsi="Times New Roman" w:cs="Times New Roman"/>
                <w:sz w:val="24"/>
                <w:szCs w:val="24"/>
              </w:rPr>
              <w:t>±1.12</w:t>
            </w:r>
          </w:p>
        </w:tc>
        <w:tc>
          <w:tcPr>
            <w:tcW w:w="1800" w:type="dxa"/>
            <w:tcBorders>
              <w:top w:val="single" w:sz="4" w:space="0" w:color="auto"/>
              <w:right w:val="nil"/>
            </w:tcBorders>
            <w:vAlign w:val="bottom"/>
          </w:tcPr>
          <w:p w14:paraId="5348DC08" w14:textId="2A41DE74"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5.07</w:t>
            </w:r>
            <w:r w:rsidR="00492AD8" w:rsidRPr="0068275D">
              <w:rPr>
                <w:rFonts w:ascii="Times New Roman" w:hAnsi="Times New Roman" w:cs="Times New Roman"/>
                <w:sz w:val="24"/>
                <w:szCs w:val="24"/>
              </w:rPr>
              <w:t>±0.62</w:t>
            </w:r>
          </w:p>
        </w:tc>
      </w:tr>
      <w:tr w:rsidR="00492AD8" w:rsidRPr="00304FC1" w14:paraId="63AD46C2" w14:textId="77777777" w:rsidTr="00492AD8">
        <w:tc>
          <w:tcPr>
            <w:tcW w:w="1345" w:type="dxa"/>
            <w:tcBorders>
              <w:left w:val="nil"/>
            </w:tcBorders>
            <w:vAlign w:val="bottom"/>
          </w:tcPr>
          <w:p w14:paraId="57F465D3"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0.01 wt.%</w:t>
            </w:r>
          </w:p>
        </w:tc>
        <w:tc>
          <w:tcPr>
            <w:tcW w:w="2075" w:type="dxa"/>
            <w:vAlign w:val="bottom"/>
          </w:tcPr>
          <w:p w14:paraId="55F3351B" w14:textId="0905B51F"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1.84</w:t>
            </w:r>
            <w:r w:rsidR="003C15E1">
              <w:rPr>
                <w:rFonts w:ascii="Times New Roman" w:hAnsi="Times New Roman" w:cs="Times New Roman"/>
                <w:sz w:val="24"/>
                <w:szCs w:val="24"/>
              </w:rPr>
              <w:t>±0.2</w:t>
            </w:r>
            <w:r w:rsidR="00492AD8" w:rsidRPr="0068275D">
              <w:rPr>
                <w:rFonts w:ascii="Times New Roman" w:hAnsi="Times New Roman" w:cs="Times New Roman"/>
                <w:sz w:val="24"/>
                <w:szCs w:val="24"/>
              </w:rPr>
              <w:t>3</w:t>
            </w:r>
          </w:p>
        </w:tc>
        <w:tc>
          <w:tcPr>
            <w:tcW w:w="1989" w:type="dxa"/>
            <w:vAlign w:val="bottom"/>
          </w:tcPr>
          <w:p w14:paraId="6E492466" w14:textId="6871DE0A"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123.49</w:t>
            </w:r>
            <w:r w:rsidR="00492AD8" w:rsidRPr="0068275D">
              <w:rPr>
                <w:rFonts w:ascii="Times New Roman" w:hAnsi="Times New Roman" w:cs="Times New Roman"/>
                <w:sz w:val="24"/>
                <w:szCs w:val="24"/>
              </w:rPr>
              <w:t>±3.7</w:t>
            </w:r>
          </w:p>
        </w:tc>
        <w:tc>
          <w:tcPr>
            <w:tcW w:w="2146" w:type="dxa"/>
            <w:vAlign w:val="bottom"/>
          </w:tcPr>
          <w:p w14:paraId="070643DC" w14:textId="1294C074"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5.47</w:t>
            </w:r>
            <w:r w:rsidR="00492AD8" w:rsidRPr="0068275D">
              <w:rPr>
                <w:rFonts w:ascii="Times New Roman" w:hAnsi="Times New Roman" w:cs="Times New Roman"/>
                <w:sz w:val="24"/>
                <w:szCs w:val="24"/>
              </w:rPr>
              <w:t>±0.36</w:t>
            </w:r>
          </w:p>
        </w:tc>
        <w:tc>
          <w:tcPr>
            <w:tcW w:w="1800" w:type="dxa"/>
            <w:tcBorders>
              <w:right w:val="nil"/>
            </w:tcBorders>
            <w:vAlign w:val="bottom"/>
          </w:tcPr>
          <w:p w14:paraId="16660A7E" w14:textId="54609D79"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3.92</w:t>
            </w:r>
            <w:r w:rsidR="00492AD8" w:rsidRPr="0068275D">
              <w:rPr>
                <w:rFonts w:ascii="Times New Roman" w:hAnsi="Times New Roman" w:cs="Times New Roman"/>
                <w:sz w:val="24"/>
                <w:szCs w:val="24"/>
              </w:rPr>
              <w:t>±0.26</w:t>
            </w:r>
          </w:p>
        </w:tc>
      </w:tr>
      <w:tr w:rsidR="00492AD8" w:rsidRPr="00304FC1" w14:paraId="5EA8CD77" w14:textId="77777777" w:rsidTr="00492AD8">
        <w:tc>
          <w:tcPr>
            <w:tcW w:w="1345" w:type="dxa"/>
            <w:tcBorders>
              <w:left w:val="nil"/>
            </w:tcBorders>
            <w:vAlign w:val="bottom"/>
          </w:tcPr>
          <w:p w14:paraId="09806928"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0.05 wt.%</w:t>
            </w:r>
          </w:p>
        </w:tc>
        <w:tc>
          <w:tcPr>
            <w:tcW w:w="2075" w:type="dxa"/>
            <w:vAlign w:val="bottom"/>
          </w:tcPr>
          <w:p w14:paraId="1E4ECD7E" w14:textId="167B0382"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2.16</w:t>
            </w:r>
            <w:r w:rsidR="003C15E1">
              <w:rPr>
                <w:rFonts w:ascii="Times New Roman" w:hAnsi="Times New Roman" w:cs="Times New Roman"/>
                <w:sz w:val="24"/>
                <w:szCs w:val="24"/>
              </w:rPr>
              <w:t>±0.11</w:t>
            </w:r>
          </w:p>
        </w:tc>
        <w:tc>
          <w:tcPr>
            <w:tcW w:w="1989" w:type="dxa"/>
            <w:vAlign w:val="bottom"/>
          </w:tcPr>
          <w:p w14:paraId="502E29D2" w14:textId="3E0F530D"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121.90</w:t>
            </w:r>
            <w:r w:rsidR="00492AD8" w:rsidRPr="0068275D">
              <w:rPr>
                <w:rFonts w:ascii="Times New Roman" w:hAnsi="Times New Roman" w:cs="Times New Roman"/>
                <w:sz w:val="24"/>
                <w:szCs w:val="24"/>
              </w:rPr>
              <w:t>±5.4</w:t>
            </w:r>
          </w:p>
        </w:tc>
        <w:tc>
          <w:tcPr>
            <w:tcW w:w="2146" w:type="dxa"/>
            <w:vAlign w:val="bottom"/>
          </w:tcPr>
          <w:p w14:paraId="16074F55" w14:textId="049FFC83"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4.54</w:t>
            </w:r>
            <w:r w:rsidR="00492AD8" w:rsidRPr="0068275D">
              <w:rPr>
                <w:rFonts w:ascii="Times New Roman" w:hAnsi="Times New Roman" w:cs="Times New Roman"/>
                <w:sz w:val="24"/>
                <w:szCs w:val="24"/>
              </w:rPr>
              <w:t>±0.82</w:t>
            </w:r>
          </w:p>
        </w:tc>
        <w:tc>
          <w:tcPr>
            <w:tcW w:w="1800" w:type="dxa"/>
            <w:tcBorders>
              <w:right w:val="nil"/>
            </w:tcBorders>
            <w:vAlign w:val="bottom"/>
          </w:tcPr>
          <w:p w14:paraId="317B34E4" w14:textId="3777B1C5"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3.10</w:t>
            </w:r>
            <w:r w:rsidR="00492AD8" w:rsidRPr="0068275D">
              <w:rPr>
                <w:rFonts w:ascii="Times New Roman" w:hAnsi="Times New Roman" w:cs="Times New Roman"/>
                <w:sz w:val="24"/>
                <w:szCs w:val="24"/>
              </w:rPr>
              <w:t>±0.53</w:t>
            </w:r>
          </w:p>
        </w:tc>
      </w:tr>
      <w:tr w:rsidR="00492AD8" w:rsidRPr="00304FC1" w14:paraId="340DA2C5" w14:textId="77777777" w:rsidTr="00492AD8">
        <w:tc>
          <w:tcPr>
            <w:tcW w:w="1345" w:type="dxa"/>
            <w:tcBorders>
              <w:left w:val="nil"/>
              <w:bottom w:val="single" w:sz="4" w:space="0" w:color="auto"/>
            </w:tcBorders>
            <w:vAlign w:val="bottom"/>
          </w:tcPr>
          <w:p w14:paraId="0CDF48BE" w14:textId="77777777" w:rsidR="00492AD8" w:rsidRPr="0068275D" w:rsidRDefault="00492AD8" w:rsidP="00492AD8">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0.1 wt.%</w:t>
            </w:r>
          </w:p>
        </w:tc>
        <w:tc>
          <w:tcPr>
            <w:tcW w:w="2075" w:type="dxa"/>
            <w:vAlign w:val="bottom"/>
          </w:tcPr>
          <w:p w14:paraId="6CF653D3" w14:textId="33187F64"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1.37</w:t>
            </w:r>
            <w:r w:rsidR="00492AD8" w:rsidRPr="0068275D">
              <w:rPr>
                <w:rFonts w:ascii="Times New Roman" w:hAnsi="Times New Roman" w:cs="Times New Roman"/>
                <w:sz w:val="24"/>
                <w:szCs w:val="24"/>
              </w:rPr>
              <w:t>±0.25</w:t>
            </w:r>
          </w:p>
        </w:tc>
        <w:tc>
          <w:tcPr>
            <w:tcW w:w="1989" w:type="dxa"/>
            <w:vAlign w:val="bottom"/>
          </w:tcPr>
          <w:p w14:paraId="40FAA556" w14:textId="5AA22164"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99.89</w:t>
            </w:r>
            <w:r w:rsidR="00492AD8" w:rsidRPr="0068275D">
              <w:rPr>
                <w:rFonts w:ascii="Times New Roman" w:hAnsi="Times New Roman" w:cs="Times New Roman"/>
                <w:sz w:val="24"/>
                <w:szCs w:val="24"/>
              </w:rPr>
              <w:t>±5.1</w:t>
            </w:r>
          </w:p>
        </w:tc>
        <w:tc>
          <w:tcPr>
            <w:tcW w:w="2146" w:type="dxa"/>
            <w:vAlign w:val="bottom"/>
          </w:tcPr>
          <w:p w14:paraId="6AA5AC6E" w14:textId="5152907D"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3.76</w:t>
            </w:r>
            <w:r w:rsidR="00492AD8" w:rsidRPr="0068275D">
              <w:rPr>
                <w:rFonts w:ascii="Times New Roman" w:hAnsi="Times New Roman" w:cs="Times New Roman"/>
                <w:sz w:val="24"/>
                <w:szCs w:val="24"/>
              </w:rPr>
              <w:t>±0.33</w:t>
            </w:r>
          </w:p>
        </w:tc>
        <w:tc>
          <w:tcPr>
            <w:tcW w:w="1800" w:type="dxa"/>
            <w:tcBorders>
              <w:bottom w:val="single" w:sz="4" w:space="0" w:color="auto"/>
              <w:right w:val="nil"/>
            </w:tcBorders>
            <w:vAlign w:val="bottom"/>
          </w:tcPr>
          <w:p w14:paraId="70D4F025" w14:textId="3DC4DC3B" w:rsidR="00492AD8" w:rsidRPr="0068275D" w:rsidRDefault="00E10BDE" w:rsidP="00492AD8">
            <w:pPr>
              <w:spacing w:line="480" w:lineRule="auto"/>
              <w:jc w:val="center"/>
              <w:rPr>
                <w:rFonts w:ascii="Times New Roman" w:hAnsi="Times New Roman" w:cs="Times New Roman"/>
                <w:sz w:val="24"/>
                <w:szCs w:val="24"/>
              </w:rPr>
            </w:pPr>
            <w:r>
              <w:rPr>
                <w:rFonts w:ascii="Times New Roman" w:hAnsi="Times New Roman" w:cs="Times New Roman"/>
                <w:sz w:val="24"/>
                <w:szCs w:val="24"/>
              </w:rPr>
              <w:t>1.88</w:t>
            </w:r>
            <w:r w:rsidR="00492AD8" w:rsidRPr="0068275D">
              <w:rPr>
                <w:rFonts w:ascii="Times New Roman" w:hAnsi="Times New Roman" w:cs="Times New Roman"/>
                <w:sz w:val="24"/>
                <w:szCs w:val="24"/>
              </w:rPr>
              <w:t>±0.28</w:t>
            </w:r>
          </w:p>
        </w:tc>
      </w:tr>
    </w:tbl>
    <w:p w14:paraId="0A2A25A1" w14:textId="77777777" w:rsidR="00492AD8" w:rsidRPr="00D003E1" w:rsidRDefault="00492AD8" w:rsidP="00492AD8">
      <w:pPr>
        <w:spacing w:after="0" w:line="360" w:lineRule="auto"/>
        <w:rPr>
          <w:rFonts w:ascii="Times New Roman" w:eastAsia="SimSun" w:hAnsi="Times New Roman" w:cs="Times New Roman"/>
          <w:bCs/>
          <w:sz w:val="24"/>
          <w:szCs w:val="18"/>
          <w:lang w:val="en-GB"/>
        </w:rPr>
      </w:pPr>
    </w:p>
    <w:p w14:paraId="19C13056" w14:textId="4D518676" w:rsidR="00492AD8" w:rsidRDefault="00492AD8" w:rsidP="00D003E1">
      <w:pPr>
        <w:spacing w:after="0" w:line="480" w:lineRule="auto"/>
        <w:jc w:val="both"/>
        <w:rPr>
          <w:rFonts w:ascii="Times New Roman" w:eastAsia="SimSun" w:hAnsi="Times New Roman" w:cs="Times New Roman"/>
          <w:sz w:val="24"/>
          <w:szCs w:val="24"/>
          <w:lang w:val="en-GB"/>
        </w:rPr>
      </w:pPr>
    </w:p>
    <w:p w14:paraId="4BA036EE" w14:textId="22974863" w:rsidR="00492AD8" w:rsidRPr="00D003E1" w:rsidRDefault="003963CF" w:rsidP="003963CF">
      <w:pPr>
        <w:spacing w:after="0" w:line="480" w:lineRule="auto"/>
        <w:jc w:val="center"/>
        <w:rPr>
          <w:rFonts w:ascii="Times New Roman" w:eastAsia="SimSun" w:hAnsi="Times New Roman" w:cs="Times New Roman"/>
          <w:sz w:val="24"/>
          <w:szCs w:val="24"/>
          <w:lang w:val="en-GB"/>
        </w:rPr>
      </w:pPr>
      <w:r>
        <w:rPr>
          <w:rFonts w:ascii="Times New Roman" w:eastAsia="SimSun" w:hAnsi="Times New Roman" w:cs="Times New Roman"/>
          <w:noProof/>
          <w:sz w:val="24"/>
          <w:szCs w:val="24"/>
          <w:lang w:val="en-GB"/>
        </w:rPr>
        <w:drawing>
          <wp:inline distT="0" distB="0" distL="0" distR="0" wp14:anchorId="6BE8B8F6" wp14:editId="2C9A713D">
            <wp:extent cx="5710303" cy="607190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4584" cy="6076456"/>
                    </a:xfrm>
                    <a:prstGeom prst="rect">
                      <a:avLst/>
                    </a:prstGeom>
                    <a:noFill/>
                  </pic:spPr>
                </pic:pic>
              </a:graphicData>
            </a:graphic>
          </wp:inline>
        </w:drawing>
      </w:r>
    </w:p>
    <w:p w14:paraId="7DF942CA" w14:textId="1B94C403" w:rsidR="00D003E1" w:rsidRPr="00D003E1" w:rsidRDefault="00D003E1" w:rsidP="00492AD8">
      <w:pPr>
        <w:spacing w:after="0" w:line="480" w:lineRule="auto"/>
        <w:ind w:hanging="284"/>
        <w:jc w:val="center"/>
        <w:rPr>
          <w:rFonts w:ascii="Times New Roman" w:eastAsia="SimSun" w:hAnsi="Times New Roman" w:cs="Times New Roman"/>
          <w:sz w:val="24"/>
          <w:lang w:val="en-GB"/>
        </w:rPr>
      </w:pPr>
      <w:bookmarkStart w:id="99" w:name="_Ref440738598"/>
    </w:p>
    <w:p w14:paraId="0FED4D3F" w14:textId="41058C8B" w:rsidR="00D003E1" w:rsidRDefault="002354ED" w:rsidP="00492AD8">
      <w:pPr>
        <w:pStyle w:val="Caption"/>
        <w:ind w:firstLine="0"/>
        <w:rPr>
          <w:rFonts w:eastAsia="SimSun" w:cs="Times New Roman"/>
          <w:bCs/>
          <w:lang w:val="en-GB"/>
        </w:rPr>
      </w:pPr>
      <w:bookmarkStart w:id="100" w:name="_Toc502661660"/>
      <w:bookmarkEnd w:id="99"/>
      <w:r>
        <w:t>Figure 3</w:t>
      </w:r>
      <w:r w:rsidR="00EF086B">
        <w:t>.</w:t>
      </w:r>
      <w:r w:rsidR="003D1E0D">
        <w:t>6</w:t>
      </w:r>
      <w:r w:rsidR="00492AD8">
        <w:t xml:space="preserve">. </w:t>
      </w:r>
      <w:r w:rsidR="00D003E1" w:rsidRPr="00D003E1">
        <w:rPr>
          <w:rFonts w:eastAsia="SimSun" w:cs="Times New Roman"/>
          <w:bCs/>
          <w:noProof/>
          <w:lang w:val="en-GB"/>
        </w:rPr>
        <w:t xml:space="preserve">Flexural </w:t>
      </w:r>
      <w:r w:rsidR="00D003E1" w:rsidRPr="00D003E1">
        <w:rPr>
          <w:rFonts w:eastAsia="SimSun" w:cs="Times New Roman"/>
          <w:bCs/>
          <w:lang w:val="en-GB"/>
        </w:rPr>
        <w:t>properties of UPR, UPR-THF, and UPR/GO bars: (a) stress-strain curves, (b) flexural modulus, (c) flexural strength, (d) deflection, and (e) energy at break.</w:t>
      </w:r>
      <w:bookmarkEnd w:id="100"/>
    </w:p>
    <w:p w14:paraId="01EBA67D" w14:textId="77777777" w:rsidR="00492AD8" w:rsidRPr="0068275D" w:rsidRDefault="00492AD8" w:rsidP="0068275D">
      <w:pPr>
        <w:spacing w:after="0" w:line="360" w:lineRule="auto"/>
        <w:jc w:val="center"/>
        <w:rPr>
          <w:rFonts w:ascii="Times New Roman" w:eastAsia="SimSun" w:hAnsi="Times New Roman" w:cs="Times New Roman"/>
          <w:bCs/>
          <w:sz w:val="24"/>
          <w:szCs w:val="18"/>
          <w:lang w:val="en-GB"/>
        </w:rPr>
      </w:pPr>
    </w:p>
    <w:p w14:paraId="03E72CFA" w14:textId="2907DCDA" w:rsidR="00D003E1" w:rsidRPr="00D003E1" w:rsidRDefault="002354ED"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101" w:name="_Toc518823275"/>
      <w:r>
        <w:rPr>
          <w:rFonts w:ascii="Times New Roman" w:eastAsia="SimSun" w:hAnsi="Times New Roman" w:cs="Times New Roman" w:hint="eastAsia"/>
          <w:b/>
          <w:bCs/>
          <w:color w:val="000000"/>
          <w:sz w:val="24"/>
          <w:szCs w:val="26"/>
          <w:lang w:val="en-GB"/>
        </w:rPr>
        <w:t>3</w:t>
      </w:r>
      <w:r w:rsidR="007A5F08">
        <w:rPr>
          <w:rFonts w:ascii="Times New Roman" w:eastAsia="SimSun" w:hAnsi="Times New Roman" w:cs="Times New Roman" w:hint="eastAsia"/>
          <w:b/>
          <w:bCs/>
          <w:color w:val="000000"/>
          <w:sz w:val="24"/>
          <w:szCs w:val="26"/>
          <w:lang w:val="en-GB"/>
        </w:rPr>
        <w:t>.</w:t>
      </w:r>
      <w:r w:rsidR="000C127D">
        <w:rPr>
          <w:rFonts w:ascii="Times New Roman" w:eastAsia="SimSun" w:hAnsi="Times New Roman" w:cs="Times New Roman"/>
          <w:b/>
          <w:bCs/>
          <w:color w:val="000000"/>
          <w:sz w:val="24"/>
          <w:szCs w:val="26"/>
          <w:lang w:val="en-GB"/>
        </w:rPr>
        <w:t>3</w:t>
      </w:r>
      <w:r w:rsidR="00D003E1" w:rsidRPr="00D003E1">
        <w:rPr>
          <w:rFonts w:ascii="Times New Roman" w:eastAsia="SimSun" w:hAnsi="Times New Roman" w:cs="Times New Roman"/>
          <w:b/>
          <w:bCs/>
          <w:color w:val="000000"/>
          <w:sz w:val="24"/>
          <w:szCs w:val="26"/>
          <w:lang w:val="en-GB"/>
        </w:rPr>
        <w:t>.</w:t>
      </w:r>
      <w:r w:rsidR="00D003E1" w:rsidRPr="00D003E1">
        <w:rPr>
          <w:rFonts w:ascii="Times New Roman" w:eastAsia="SimSun" w:hAnsi="Times New Roman" w:cs="Times New Roman" w:hint="eastAsia"/>
          <w:b/>
          <w:bCs/>
          <w:color w:val="000000"/>
          <w:sz w:val="24"/>
          <w:szCs w:val="26"/>
          <w:lang w:val="en-GB"/>
        </w:rPr>
        <w:t>5</w:t>
      </w:r>
      <w:r w:rsidR="00D003E1" w:rsidRPr="00D003E1">
        <w:rPr>
          <w:rFonts w:ascii="Times New Roman" w:eastAsia="SimSun" w:hAnsi="Times New Roman" w:cs="Times New Roman"/>
          <w:b/>
          <w:bCs/>
          <w:color w:val="000000"/>
          <w:sz w:val="24"/>
          <w:szCs w:val="26"/>
          <w:lang w:val="en-GB"/>
        </w:rPr>
        <w:t>. Dynamic mechanical properties of GO – UPR composites</w:t>
      </w:r>
      <w:bookmarkEnd w:id="101"/>
    </w:p>
    <w:p w14:paraId="56B52672" w14:textId="2A23841B" w:rsidR="00D003E1" w:rsidRPr="00D003E1" w:rsidRDefault="00D003E1" w:rsidP="00D003E1">
      <w:pPr>
        <w:spacing w:after="0" w:line="480" w:lineRule="auto"/>
        <w:jc w:val="both"/>
        <w:rPr>
          <w:rFonts w:ascii="Times New Roman" w:eastAsia="SimSun" w:hAnsi="Times New Roman" w:cs="Times New Roman"/>
          <w:sz w:val="24"/>
          <w:szCs w:val="24"/>
          <w:lang w:val="en-GB"/>
        </w:rPr>
      </w:pPr>
      <w:r w:rsidRPr="00D003E1">
        <w:rPr>
          <w:rFonts w:ascii="Times New Roman" w:eastAsia="SimSun" w:hAnsi="Times New Roman" w:cs="Times New Roman"/>
          <w:sz w:val="24"/>
          <w:lang w:val="en-GB"/>
        </w:rPr>
        <w:t>The dynamic mechanical properties including storage modulus (</w:t>
      </w:r>
      <m:oMath>
        <m:r>
          <w:rPr>
            <w:rFonts w:ascii="Cambria Math" w:eastAsia="SimSun" w:hAnsi="Cambria Math" w:cs="Times New Roman"/>
            <w:sz w:val="24"/>
            <w:szCs w:val="24"/>
            <w:lang w:val="en-GB"/>
          </w:rPr>
          <m:t>E'</m:t>
        </m:r>
      </m:oMath>
      <w:r w:rsidRPr="00D003E1">
        <w:rPr>
          <w:rFonts w:ascii="Times New Roman" w:eastAsia="SimSun" w:hAnsi="Times New Roman" w:cs="Times New Roman"/>
          <w:sz w:val="24"/>
          <w:lang w:val="en-GB"/>
        </w:rPr>
        <w:t>), loss modulus (</w:t>
      </w:r>
      <m:oMath>
        <m:r>
          <w:rPr>
            <w:rFonts w:ascii="Cambria Math" w:eastAsia="SimSun" w:hAnsi="Cambria Math" w:cs="Times New Roman"/>
            <w:sz w:val="24"/>
            <w:szCs w:val="24"/>
            <w:lang w:val="en-GB"/>
          </w:rPr>
          <m:t>E''</m:t>
        </m:r>
      </m:oMath>
      <w:r w:rsidRPr="00D003E1">
        <w:rPr>
          <w:rFonts w:ascii="Times New Roman" w:eastAsia="SimSun" w:hAnsi="Times New Roman" w:cs="Times New Roman"/>
          <w:sz w:val="24"/>
          <w:lang w:val="en-GB"/>
        </w:rPr>
        <w:t xml:space="preserve">), and loss factor (Tanδ = </w:t>
      </w:r>
      <m:oMath>
        <m:r>
          <w:rPr>
            <w:rFonts w:ascii="Cambria Math" w:eastAsia="SimSun" w:hAnsi="Cambria Math" w:cs="Times New Roman"/>
            <w:sz w:val="24"/>
            <w:szCs w:val="24"/>
            <w:lang w:val="en-GB"/>
          </w:rPr>
          <m:t>E''</m:t>
        </m:r>
      </m:oMath>
      <w:r w:rsidRPr="00D003E1">
        <w:rPr>
          <w:rFonts w:ascii="Times New Roman" w:eastAsia="SimSun" w:hAnsi="Times New Roman" w:cs="Times New Roman"/>
          <w:sz w:val="24"/>
          <w:lang w:val="en-GB"/>
        </w:rPr>
        <w:t>/</w:t>
      </w:r>
      <m:oMath>
        <m:r>
          <w:rPr>
            <w:rFonts w:ascii="Cambria Math" w:eastAsia="SimSun" w:hAnsi="Cambria Math" w:cs="Times New Roman"/>
            <w:sz w:val="24"/>
            <w:szCs w:val="24"/>
            <w:lang w:val="en-GB"/>
          </w:rPr>
          <m:t xml:space="preserve"> E'</m:t>
        </m:r>
      </m:oMath>
      <w:r w:rsidRPr="00D003E1">
        <w:rPr>
          <w:rFonts w:ascii="Times New Roman" w:eastAsia="SimSun" w:hAnsi="Times New Roman" w:cs="Times New Roman"/>
          <w:sz w:val="24"/>
          <w:lang w:val="en-GB"/>
        </w:rPr>
        <w:t xml:space="preserve">) of the post-cured UPR/GO nanocomposites are measured as a function of temperature by DMA, and the results </w:t>
      </w:r>
      <w:r w:rsidR="007454C7">
        <w:rPr>
          <w:rFonts w:ascii="Times New Roman" w:eastAsia="SimSun" w:hAnsi="Times New Roman" w:cs="Times New Roman"/>
          <w:sz w:val="24"/>
          <w:lang w:val="en-GB"/>
        </w:rPr>
        <w:t>are shown in Figure 3</w:t>
      </w:r>
      <w:r w:rsidR="00AC2311">
        <w:rPr>
          <w:rFonts w:ascii="Times New Roman" w:eastAsia="SimSun" w:hAnsi="Times New Roman" w:cs="Times New Roman"/>
          <w:sz w:val="24"/>
          <w:lang w:val="en-GB"/>
        </w:rPr>
        <w:t>.7</w:t>
      </w:r>
      <w:r w:rsidR="007454C7">
        <w:rPr>
          <w:rFonts w:ascii="Times New Roman" w:eastAsia="SimSun" w:hAnsi="Times New Roman" w:cs="Times New Roman"/>
          <w:sz w:val="24"/>
          <w:lang w:val="en-GB"/>
        </w:rPr>
        <w:t xml:space="preserve"> and Table 3</w:t>
      </w:r>
      <w:r w:rsidR="00664632">
        <w:rPr>
          <w:rFonts w:ascii="Times New Roman" w:eastAsia="SimSun" w:hAnsi="Times New Roman" w:cs="Times New Roman"/>
          <w:sz w:val="24"/>
          <w:lang w:val="en-GB"/>
        </w:rPr>
        <w:t>.</w:t>
      </w:r>
      <w:r w:rsidR="00AC2311">
        <w:rPr>
          <w:rFonts w:ascii="Times New Roman" w:eastAsia="SimSun" w:hAnsi="Times New Roman" w:cs="Times New Roman"/>
          <w:sz w:val="24"/>
          <w:lang w:val="en-GB"/>
        </w:rPr>
        <w:t>4</w:t>
      </w:r>
      <w:r w:rsidRPr="00D003E1">
        <w:rPr>
          <w:rFonts w:ascii="Times New Roman" w:eastAsia="SimSun" w:hAnsi="Times New Roman" w:cs="Times New Roman"/>
          <w:sz w:val="24"/>
          <w:lang w:val="en-GB"/>
        </w:rPr>
        <w:t xml:space="preserve">. 0.05 wt.% shows a slight improvement with 5% on glass transition temperature (Tg). </w:t>
      </w:r>
      <w:r w:rsidRPr="00D003E1">
        <w:rPr>
          <w:rFonts w:ascii="Times New Roman" w:eastAsia="SimSun" w:hAnsi="Times New Roman" w:cs="Times New Roman"/>
          <w:sz w:val="24"/>
          <w:szCs w:val="24"/>
          <w:lang w:val="en-GB"/>
        </w:rPr>
        <w:t xml:space="preserve">The storage modulus, is related to the stiffness of materials, represents the elastic energy received during deformation that is stored into the material and released at the end of the loading </w:t>
      </w:r>
      <w:r w:rsidRPr="00D003E1">
        <w:rPr>
          <w:rFonts w:ascii="Times New Roman" w:eastAsia="SimSun" w:hAnsi="Times New Roman" w:cs="Times New Roman"/>
          <w:sz w:val="24"/>
          <w:szCs w:val="24"/>
          <w:lang w:val="en-GB"/>
        </w:rPr>
        <w:fldChar w:fldCharType="begin" w:fldLock="1"/>
      </w:r>
      <w:r w:rsidR="00D14688">
        <w:rPr>
          <w:rFonts w:ascii="Times New Roman" w:eastAsia="SimSun" w:hAnsi="Times New Roman" w:cs="Times New Roman"/>
          <w:sz w:val="24"/>
          <w:szCs w:val="24"/>
          <w:lang w:val="en-GB"/>
        </w:rPr>
        <w:instrText>ADDIN CSL_CITATION { "citationItems" : [ { "id" : "ITEM-1", "itemData" : { "ISSN" : "1842-3582", "author" : [ { "dropping-particle" : "", "family" : "Bastiurea", "given" : "M", "non-dropping-particle" : "", "parse-names" : false, "suffix" : "" }, { "dropping-particle" : "", "family" : "Rodeanu", "given" : "M S", "non-dropping-particle" : "", "parse-names" : false, "suffix" : "" }, { "dropping-particle" : "", "family" : "Dima", "given" : "D", "non-dropping-particle" : "", "parse-names" : false, "suffix" : "" }, { "dropping-particle" : "", "family" : "Murarescu", "given" : "M", "non-dropping-particle" : "", "parse-names" : false, "suffix" : "" }, { "dropping-particle" : "", "family" : "Andrei", "given" : "G", "non-dropping-particle" : "", "parse-names" : false, "suffix" : "" } ], "container-title" : "Digest Journal of Nanomaterials and Biostructures", "id" : "ITEM-1", "issue" : "2", "issued" : { "date-parts" : [ [ "2015" ] ] }, "page" : "521-533", "title" : "Thermal and Mechanical Properties of Polyester Composites With Graphene Oxide and Graphite", "type" : "article-journal", "volume" : "10" }, "uris" : [ "http://www.mendeley.com/documents/?uuid=43eb4a0c-459f-4343-8f75-bf863d395a16" ] } ], "mendeley" : { "formattedCitation" : "[168]", "plainTextFormattedCitation" : "[168]", "previouslyFormattedCitation" : "[168]" }, "properties" : {  }, "schema" : "https://github.com/citation-style-language/schema/raw/master/csl-citation.json" }</w:instrText>
      </w:r>
      <w:r w:rsidRPr="00D003E1">
        <w:rPr>
          <w:rFonts w:ascii="Times New Roman" w:eastAsia="SimSun" w:hAnsi="Times New Roman" w:cs="Times New Roman"/>
          <w:sz w:val="24"/>
          <w:szCs w:val="24"/>
          <w:lang w:val="en-GB"/>
        </w:rPr>
        <w:fldChar w:fldCharType="separate"/>
      </w:r>
      <w:r w:rsidR="00D973A8" w:rsidRPr="00D973A8">
        <w:rPr>
          <w:rFonts w:ascii="Times New Roman" w:eastAsia="SimSun" w:hAnsi="Times New Roman" w:cs="Times New Roman"/>
          <w:noProof/>
          <w:sz w:val="24"/>
          <w:szCs w:val="24"/>
          <w:lang w:val="en-GB"/>
        </w:rPr>
        <w:t>[168]</w:t>
      </w:r>
      <w:r w:rsidRPr="00D003E1">
        <w:rPr>
          <w:rFonts w:ascii="Times New Roman" w:eastAsia="SimSun" w:hAnsi="Times New Roman" w:cs="Times New Roman"/>
          <w:sz w:val="24"/>
          <w:szCs w:val="24"/>
          <w:lang w:val="en-GB"/>
        </w:rPr>
        <w:fldChar w:fldCharType="end"/>
      </w:r>
      <w:r w:rsidRPr="00D003E1">
        <w:rPr>
          <w:rFonts w:ascii="Times New Roman" w:eastAsia="SimSun" w:hAnsi="Times New Roman" w:cs="Times New Roman"/>
          <w:sz w:val="24"/>
          <w:szCs w:val="24"/>
          <w:lang w:val="en-GB"/>
        </w:rPr>
        <w:t>. It decreases with temperature before</w:t>
      </w:r>
      <w:r w:rsidRPr="00D003E1">
        <w:rPr>
          <w:rFonts w:ascii="Times New Roman" w:eastAsia="SimSun" w:hAnsi="Times New Roman" w:cs="Times New Roman" w:hint="eastAsia"/>
          <w:sz w:val="24"/>
          <w:szCs w:val="24"/>
          <w:lang w:val="en-GB"/>
        </w:rPr>
        <w:t xml:space="preserve"> glass transition temperature</w:t>
      </w:r>
      <w:r w:rsidRPr="00D003E1">
        <w:rPr>
          <w:rFonts w:ascii="Times New Roman" w:eastAsia="SimSun" w:hAnsi="Times New Roman" w:cs="Times New Roman"/>
          <w:sz w:val="24"/>
          <w:szCs w:val="24"/>
          <w:lang w:val="en-GB"/>
        </w:rPr>
        <w:t xml:space="preserve"> due to the increased molecular mobility caused by heating, as represented in storage modulus against temperature curve </w:t>
      </w:r>
      <w:r w:rsidRPr="00D003E1">
        <w:rPr>
          <w:rFonts w:ascii="Times New Roman" w:eastAsia="SimSun" w:hAnsi="Times New Roman" w:cs="Times New Roman"/>
          <w:sz w:val="24"/>
          <w:szCs w:val="24"/>
          <w:lang w:val="en-GB"/>
        </w:rPr>
        <w:fldChar w:fldCharType="begin" w:fldLock="1"/>
      </w:r>
      <w:r w:rsidR="00D14688">
        <w:rPr>
          <w:rFonts w:ascii="Times New Roman" w:eastAsia="SimSun" w:hAnsi="Times New Roman" w:cs="Times New Roman"/>
          <w:sz w:val="24"/>
          <w:szCs w:val="24"/>
          <w:lang w:val="en-GB"/>
        </w:rPr>
        <w:instrText>ADDIN CSL_CITATION { "citationItems" : [ { "id" : "ITEM-1", "itemData" : { "DOI" : "10.1016/j.compscitech.2004.10.023", "ISBN" : "0266-3538", "ISSN" : "02663538", "PMID" : "40", "abstract" : "The dynamic and static mechanical properties of randomly oriented intimately mixed short banana/sisal hybrid fibre reinforced polyester composites were determined. Dynamic properties such as the storage modulus (E\u2032), damping behaviour (tan \u03b4) and static mechanical properties such as tensile, flexural and impact properties were investigated as a function of total fibre volume fraction and the relative volume fraction of the two fibres. Keeping the relative volume fraction of banana and sisal (1:1), the volume fraction of the fibre was optimised. The storage modulus was found to increase with fibre volume fraction above glass transition temperature (Tg) of the matrix and maximum value was obtained at a volume fraction (Vf) of 0.40. The tan \u03b4 peak height was minimum and peak width was maximum at 0.40 Vf. Tensile modulus and flexural strength were found to be the highest at 0.40 volume fraction, which indicates effective stress transfer between the fibre and matrix. A positive shift in Tg of polyester matrix at 0.40 Vf also indicates better fibre/matrix interaction. Keeping the total fibre volume fraction, 0.40 Vf, hybrid composites having different volume ratios of the fibres and unhybridised composites were prepared and analysed. Sisal/polyester composite showed maximum damping behaviour and highest impact strength as compared to banana/polyester as well as hybrid composites. However, maximum stress transfer between the fibre and matrix was obtained in composites having volume ratio of banana and sisal as 3:1, which has lowest tan \u03b4 value and highest E\u2032 value at Tg. The tensile strength and flexural modulus were also the maximum and impact strength was the minimum at this volume ratio. Fractographic evaluations carried out under scanning electron microscope (SEM) confirm the quantitative characterisation obtained from static and dynamic mechanical analysis. The Arrhenius relationship has been to calculate the activation energy of the glass transition of the polyester. The highest activation energy was found in hybrid composite with volume ratio of banana and sisal as 3:1. A master curve was constructed based on time-temperature superposition principle. Finally, the experimental results were compared with theoretical predictions. \u00a9 2004 Elsevier Ltd. All rights reserved.", "author" : [ { "dropping-particle" : "", "family" : "Idicula", "given" : "Maries", "non-dropping-particle" : "", "parse-names" : false, "suffix" : "" }, { "dropping-particle" : "", "family" : "Malhotra", "given" : "S. K.", "non-dropping-particle" : "", "parse-names" : false, "suffix" : "" }, { "dropping-particle" : "", "family" : "Joseph", "given" : "Kuruvilla", "non-dropping-particle" : "", "parse-names" : false, "suffix" : "" }, { "dropping-particle" : "", "family" : "Thomas", "given" : "Sabu", "non-dropping-particle" : "", "parse-names" : false, "suffix" : "" } ], "container-title" : "Composites Science and Technology", "id" : "ITEM-1", "issued" : { "date-parts" : [ [ "2005" ] ] }, "page" : "1077-1087", "title" : "Dynamic mechanical analysis of randomly oriented intimately mixed short banana/sisal hybrid fibre reinforced polyester composites", "type" : "article-journal", "volume" : "65" }, "uris" : [ "http://www.mendeley.com/documents/?uuid=2190dec4-e470-4a09-ac52-5af64f97b592" ] }, { "id" : "ITEM-2", "itemData" : { "ISSN" : "1842-3582", "author" : [ { "dropping-particle" : "", "family" : "Bastiurea", "given" : "M", "non-dropping-particle" : "", "parse-names" : false, "suffix" : "" }, { "dropping-particle" : "", "family" : "Rodeanu", "given" : "M S", "non-dropping-particle" : "", "parse-names" : false, "suffix" : "" }, { "dropping-particle" : "", "family" : "Dima", "given" : "D", "non-dropping-particle" : "", "parse-names" : false, "suffix" : "" }, { "dropping-particle" : "", "family" : "Murarescu", "given" : "M", "non-dropping-particle" : "", "parse-names" : false, "suffix" : "" }, { "dropping-particle" : "", "family" : "Andrei", "given" : "G", "non-dropping-particle" : "", "parse-names" : false, "suffix" : "" } ], "container-title" : "Digest Journal of Nanomaterials and Biostructures", "id" : "ITEM-2", "issue" : "2", "issued" : { "date-parts" : [ [ "2015" ] ] }, "page" : "521-533", "title" : "Thermal and Mechanical Properties of Polyester Composites With Graphene Oxide and Graphite", "type" : "article-journal", "volume" : "10" }, "uris" : [ "http://www.mendeley.com/documents/?uuid=43eb4a0c-459f-4343-8f75-bf863d395a16" ] } ], "mendeley" : { "formattedCitation" : "[168,169]", "plainTextFormattedCitation" : "[168,169]", "previouslyFormattedCitation" : "[168,169]" }, "properties" : {  }, "schema" : "https://github.com/citation-style-language/schema/raw/master/csl-citation.json" }</w:instrText>
      </w:r>
      <w:r w:rsidRPr="00D003E1">
        <w:rPr>
          <w:rFonts w:ascii="Times New Roman" w:eastAsia="SimSun" w:hAnsi="Times New Roman" w:cs="Times New Roman"/>
          <w:sz w:val="24"/>
          <w:szCs w:val="24"/>
          <w:lang w:val="en-GB"/>
        </w:rPr>
        <w:fldChar w:fldCharType="separate"/>
      </w:r>
      <w:r w:rsidR="00D973A8" w:rsidRPr="00D973A8">
        <w:rPr>
          <w:rFonts w:ascii="Times New Roman" w:eastAsia="SimSun" w:hAnsi="Times New Roman" w:cs="Times New Roman"/>
          <w:noProof/>
          <w:sz w:val="24"/>
          <w:szCs w:val="24"/>
          <w:lang w:val="en-GB"/>
        </w:rPr>
        <w:t>[168,169]</w:t>
      </w:r>
      <w:r w:rsidRPr="00D003E1">
        <w:rPr>
          <w:rFonts w:ascii="Times New Roman" w:eastAsia="SimSun" w:hAnsi="Times New Roman" w:cs="Times New Roman"/>
          <w:sz w:val="24"/>
          <w:szCs w:val="24"/>
          <w:lang w:val="en-GB"/>
        </w:rPr>
        <w:fldChar w:fldCharType="end"/>
      </w:r>
      <w:r w:rsidR="007454C7">
        <w:rPr>
          <w:rFonts w:ascii="Times New Roman" w:eastAsia="SimSun" w:hAnsi="Times New Roman" w:cs="Times New Roman"/>
          <w:sz w:val="24"/>
          <w:szCs w:val="24"/>
          <w:lang w:val="en-GB"/>
        </w:rPr>
        <w:t>. From Figure 3</w:t>
      </w:r>
      <w:r w:rsidR="00836794">
        <w:rPr>
          <w:rFonts w:ascii="Times New Roman" w:eastAsia="SimSun" w:hAnsi="Times New Roman" w:cs="Times New Roman"/>
          <w:sz w:val="24"/>
          <w:szCs w:val="24"/>
          <w:lang w:val="en-GB"/>
        </w:rPr>
        <w:t xml:space="preserve">.7(a) and Table </w:t>
      </w:r>
      <w:r w:rsidR="007454C7">
        <w:rPr>
          <w:rFonts w:ascii="Times New Roman" w:eastAsia="SimSun" w:hAnsi="Times New Roman" w:cs="Times New Roman"/>
          <w:sz w:val="24"/>
          <w:szCs w:val="24"/>
          <w:lang w:val="en-GB"/>
        </w:rPr>
        <w:t>3</w:t>
      </w:r>
      <w:r w:rsidR="00836794">
        <w:rPr>
          <w:rFonts w:ascii="Times New Roman" w:eastAsia="SimSun" w:hAnsi="Times New Roman" w:cs="Times New Roman"/>
          <w:sz w:val="24"/>
          <w:szCs w:val="24"/>
          <w:lang w:val="en-GB"/>
        </w:rPr>
        <w:t>.4</w:t>
      </w:r>
      <w:r w:rsidRPr="00D003E1">
        <w:rPr>
          <w:rFonts w:ascii="Times New Roman" w:eastAsia="SimSun" w:hAnsi="Times New Roman" w:cs="Times New Roman"/>
          <w:sz w:val="24"/>
          <w:szCs w:val="24"/>
          <w:lang w:val="en-GB"/>
        </w:rPr>
        <w:t>, the storage modulus of UPR/GO composites at glassy state (60 ºC) is enhanced with addition of GO, which are 555% (0.01 wt.%), 210% (0.05 wt.%), and 398% (0.1 wt.%) over neat UPR, respectively. The increment on the storage modulus at glassy state is due to the strong interfacial interaction between GO and UPR matrix which restricts the mobility of polymer chains, resulting in a stiff material. As discussed previously, some GO clusters are observed from 0.05 wt.%. Therefore, the interaction of GO with UPR is getting weaker over 0.01 wt.% UPR/GO, resulting in some reduction for 0.05 wt.% and 0.1 wt.%. However, the high modulus of GO contributes to the final modulus at the higher GO content, 0.1 wt.% UPR/GO exhibits higher storage modulus over that of 0.05 wt.%.</w:t>
      </w:r>
    </w:p>
    <w:p w14:paraId="7E90C305" w14:textId="0BA4913C" w:rsidR="00D003E1" w:rsidRPr="00D003E1" w:rsidRDefault="00D003E1" w:rsidP="00D003E1">
      <w:pPr>
        <w:spacing w:after="0" w:line="480" w:lineRule="auto"/>
        <w:ind w:firstLine="360"/>
        <w:jc w:val="both"/>
        <w:rPr>
          <w:rFonts w:ascii="Times New Roman" w:eastAsia="SimSun" w:hAnsi="Times New Roman" w:cs="Times New Roman"/>
          <w:sz w:val="24"/>
          <w:lang w:val="en-GB"/>
        </w:rPr>
      </w:pPr>
      <w:r w:rsidRPr="00D003E1">
        <w:rPr>
          <w:rFonts w:ascii="Times New Roman" w:eastAsia="SimSun" w:hAnsi="Times New Roman" w:cs="Times New Roman"/>
          <w:sz w:val="24"/>
          <w:szCs w:val="24"/>
          <w:lang w:val="en-GB"/>
        </w:rPr>
        <w:t>The glass transition temperature (</w:t>
      </w:r>
      <w:r w:rsidRPr="00D003E1">
        <w:rPr>
          <w:rFonts w:ascii="Times New Roman" w:eastAsia="SimSun" w:hAnsi="Times New Roman" w:cs="Times New Roman"/>
          <w:i/>
          <w:sz w:val="24"/>
          <w:szCs w:val="24"/>
          <w:lang w:val="en-GB"/>
        </w:rPr>
        <w:t>T</w:t>
      </w:r>
      <w:r w:rsidRPr="00D003E1">
        <w:rPr>
          <w:rFonts w:ascii="Times New Roman" w:eastAsia="SimSun" w:hAnsi="Times New Roman" w:cs="Times New Roman"/>
          <w:i/>
          <w:sz w:val="24"/>
          <w:szCs w:val="24"/>
          <w:vertAlign w:val="subscript"/>
          <w:lang w:val="en-GB"/>
        </w:rPr>
        <w:t>g</w:t>
      </w:r>
      <w:r w:rsidRPr="00D003E1">
        <w:rPr>
          <w:rFonts w:ascii="Times New Roman" w:eastAsia="SimSun" w:hAnsi="Times New Roman" w:cs="Times New Roman"/>
          <w:sz w:val="24"/>
          <w:szCs w:val="24"/>
          <w:lang w:val="en-GB"/>
        </w:rPr>
        <w:t>)</w:t>
      </w:r>
      <w:r w:rsidRPr="00D003E1">
        <w:rPr>
          <w:rFonts w:ascii="Times New Roman" w:eastAsia="SimSun" w:hAnsi="Times New Roman" w:cs="Times New Roman"/>
          <w:i/>
          <w:sz w:val="24"/>
          <w:szCs w:val="24"/>
          <w:lang w:val="en-GB"/>
        </w:rPr>
        <w:t xml:space="preserve"> </w:t>
      </w:r>
      <w:r w:rsidRPr="00D003E1">
        <w:rPr>
          <w:rFonts w:ascii="Times New Roman" w:eastAsia="SimSun" w:hAnsi="Times New Roman" w:cs="Times New Roman"/>
          <w:sz w:val="24"/>
          <w:szCs w:val="24"/>
          <w:lang w:val="en-GB"/>
        </w:rPr>
        <w:t>is defined as the maximum peaks of damping factor (</w:t>
      </w:r>
      <w:r w:rsidRPr="00D003E1">
        <w:rPr>
          <w:rFonts w:ascii="Times New Roman" w:eastAsia="SimSun" w:hAnsi="Times New Roman" w:cs="Times New Roman"/>
          <w:sz w:val="24"/>
          <w:lang w:val="en-GB"/>
        </w:rPr>
        <w:t>tanδ</w:t>
      </w:r>
      <w:r w:rsidRPr="00D003E1">
        <w:rPr>
          <w:rFonts w:ascii="Times New Roman" w:eastAsia="SimSun" w:hAnsi="Times New Roman" w:cs="Times New Roman"/>
          <w:sz w:val="24"/>
          <w:szCs w:val="24"/>
          <w:lang w:val="en-GB"/>
        </w:rPr>
        <w:t>) against temperature curve</w:t>
      </w:r>
      <w:r w:rsidRPr="00D003E1">
        <w:rPr>
          <w:rFonts w:ascii="Times New Roman" w:eastAsia="SimSun" w:hAnsi="Times New Roman" w:cs="Times New Roman"/>
          <w:sz w:val="24"/>
          <w:lang w:val="en-GB"/>
        </w:rPr>
        <w:t xml:space="preserve">, which corresponds to the ability of restoring energy for polymers. It is a measurement of how well a material can dissipate energy during heating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"10.1016/S0266-3538(02)00254-3", "ISBN" : "0266-3538", "ISSN" : "02663538", "abstract" : "The dynamic mechanical analysis of banana fiber reinforced polyester composites was carried out with special reference to the effect of fiber loading, frequency and temperature. The intrinsic properties of the components, morphology of the system and the nature of interface between the phases determine the dynamic mechanical properties of the composite. At lower temperatures (in the glassy region), the E\u2032 values are maximum for the neat polyester whereas at temperatures above Tg, the E\u2032 values are found to be maximum for composites with 40% fiber loading, indicating that the incorporation of banana fiber in polyester matrix induces reinforcing effects appreciably at higher temperatures. The loss modulus and damping peaks were found to be lowered by the incorporation of fiber. The height of the damping peaks depended on the fiber content. When higher fiber content of 40% was used, an additional peak in the tan \u03b4 curve, pointing to micro mechanical transitions due to the immobilized polymer layer was evident. The glass transition temperature associated with the damping peak was lowered up to a fiber content of 30%. The Tg values were increased with higher fiber content. Cole\u2013Cole analysis was made to understand the phase behavior of the composite samples. A master curve was constructed based on time\u2013temperature super position principle, which allows the prediction of long-term effects. Apparent activation energy of the relaxation process of the composites was also analyzed. The value was found to be maximum for composites with 40% fiber content.", "author" : [ { "dropping-particle" : "", "family" : "Pothan", "given" : "Laly A.", "non-dropping-particle" : "", "parse-names" : false, "suffix" : "" }, { "dropping-particle" : "", "family" : "Oommen", "given" : "Zachariah", "non-dropping-particle" : "", "parse-names" : false, "suffix" : "" }, { "dropping-particle" : "", "family" : "Thomas", "given" : "Sabu", "non-dropping-particle" : "", "parse-names" : false, "suffix" : "" } ], "container-title" : "Composites Science and Technology", "id" : "ITEM-1", "issued" : { "date-parts" : [ [ "2003" ] ] }, "page" : "283-293", "title" : "Dynamic mechanical analysis of banana fiber reinforced polyester composites", "type" : "article-journal", "volume" : "63" }, "uris" : [ "http://www.mendeley.com/documents/?uuid=42237895-3923-4368-8a39-c45da1785513" ] } ], "mendeley" : { "formattedCitation" : "[170]", "plainTextFormattedCitation" : "[170]", "previouslyFormattedCitation" : "[170]"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[170]</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w:t>
      </w:r>
    </w:p>
    <w:p w14:paraId="12968E55" w14:textId="2437465F"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 xml:space="preserve">According to Figure </w:t>
      </w:r>
      <w:r w:rsidR="007454C7">
        <w:rPr>
          <w:rFonts w:ascii="Times New Roman" w:eastAsia="SimSun" w:hAnsi="Times New Roman" w:cs="Times New Roman"/>
          <w:sz w:val="24"/>
          <w:lang w:val="en-GB"/>
        </w:rPr>
        <w:t>3</w:t>
      </w:r>
      <w:r w:rsidR="00664632">
        <w:rPr>
          <w:rFonts w:ascii="Times New Roman" w:eastAsia="SimSun" w:hAnsi="Times New Roman" w:cs="Times New Roman"/>
          <w:sz w:val="24"/>
          <w:lang w:val="en-GB"/>
        </w:rPr>
        <w:t>.</w:t>
      </w:r>
      <w:r w:rsidR="007454C7">
        <w:rPr>
          <w:rFonts w:ascii="Times New Roman" w:eastAsia="SimSun" w:hAnsi="Times New Roman" w:cs="Times New Roman"/>
          <w:sz w:val="24"/>
          <w:lang w:val="en-GB"/>
        </w:rPr>
        <w:t>7(b) and Table 3</w:t>
      </w:r>
      <w:r w:rsidR="004507F7">
        <w:rPr>
          <w:rFonts w:ascii="Times New Roman" w:eastAsia="SimSun" w:hAnsi="Times New Roman" w:cs="Times New Roman"/>
          <w:sz w:val="24"/>
          <w:lang w:val="en-GB"/>
        </w:rPr>
        <w:t>.4</w:t>
      </w:r>
      <w:r w:rsidRPr="00D003E1">
        <w:rPr>
          <w:rFonts w:ascii="Times New Roman" w:eastAsia="SimSun" w:hAnsi="Times New Roman" w:cs="Times New Roman"/>
          <w:sz w:val="24"/>
          <w:lang w:val="en-GB"/>
        </w:rPr>
        <w:t xml:space="preserve">, the </w:t>
      </w:r>
      <w:r w:rsidRPr="00D003E1">
        <w:rPr>
          <w:rFonts w:ascii="Times New Roman" w:eastAsia="SimSun" w:hAnsi="Times New Roman" w:cs="Times New Roman"/>
          <w:i/>
          <w:sz w:val="24"/>
          <w:szCs w:val="24"/>
          <w:lang w:val="en-GB"/>
        </w:rPr>
        <w:t>T</w:t>
      </w:r>
      <w:r w:rsidRPr="00D003E1">
        <w:rPr>
          <w:rFonts w:ascii="Times New Roman" w:eastAsia="SimSun" w:hAnsi="Times New Roman" w:cs="Times New Roman"/>
          <w:i/>
          <w:sz w:val="24"/>
          <w:szCs w:val="24"/>
          <w:vertAlign w:val="subscript"/>
          <w:lang w:val="en-GB"/>
        </w:rPr>
        <w:t>g</w:t>
      </w:r>
      <w:r w:rsidRPr="00D003E1">
        <w:rPr>
          <w:rFonts w:ascii="Times New Roman" w:eastAsia="SimSun" w:hAnsi="Times New Roman" w:cs="Times New Roman"/>
          <w:sz w:val="24"/>
          <w:lang w:val="en-GB"/>
        </w:rPr>
        <w:t xml:space="preserve"> increases slightly over neat UPR, which is 1.3 ºC (0.01 wt.%), and 3.2 ºC (0.1 wt.%) higher than that of neat UPR. While, 0.05 wt.% UPR/GO displays slightly decrease over neat UPR, which is 1 ºC. This is presumably because the presence of GO restricts the mobility of UPR polymer chains, resulting in a slightly improvement at 0.01 wt.% and 0.05 wt.%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"10.1016/j.compositesa.2007.08.009", "ISBN" : "1359-835X", "ISSN" : "1359835X", "abstract" : "Poly(styrene-co-acrylonitrile) (SAN) was used to modify diglycidyl ether of bisphenol-A (DGEBA) type epoxy resin cured with diamino diphenyl sulfone (DDS) and the modified epoxy resin was used as the matrix for fibre reinforced composites (FRPs) in order to get improved mechanical and thermal properties. E-glass fibre was used as the fibre reinforcement. The morphology, dynamic mechanical and thermal characteristics of the systems were analyzed. Morphological analysis revealed heterogeneous dispersed morphology. There was good adhesion between the matrix polymer and the glass fibre. The dynamic moduli, mechanical loss and damping behaviour as a function of temperature of the systems were studied using dynamic mechanical analysis (DMA). DMA studies showed that DDS cured epoxy resin/SAN/glass fibre composite systems have two Tgs corresponding to epoxy rich and SAN rich phases. The effect of thermoplastic modification and fibre loading on the dynamic mechanical properties of the composites were also analyzed. Thermogravimetric analysis (TGA) revealed the superior thermal stability of composite system. \u00a9 2007 Elsevier Ltd. All rights reserved.", "author" : [ { "dropping-particle" : "", "family" : "Hameed", "given" : "Nishar", "non-dropping-particle" : "", "parse-names" : false, "suffix" : "" }, { "dropping-particle" : "", "family" : "Sreekumar", "given" : "P. A.", "non-dropping-particle" : "", "parse-names" : false, "suffix" : "" }, { "dropping-particle" : "", "family" : "Francis", "given" : "Bejoy", "non-dropping-particle" : "", "parse-names" : false, "suffix" : "" }, { "dropping-particle" : "", "family" : "Yang", "given" : "Weimin", "non-dropping-particle" : "", "parse-names" : false, "suffix" : "" }, { "dropping-particle" : "", "family" : "Thomas", "given" : "Sabu", "non-dropping-particle" : "", "parse-names" : false, "suffix" : "" } ], "container-title" : "Composites Part A: Applied Science and Manufacturing", "id" : "ITEM-1", "issue" : "12", "issued" : { "date-parts" : [ [ "2007" ] ] }, "page" : "2422-2432", "title" : "Morphology, dynamic mechanical and thermal studies on poly(styrene-co-acrylonitrile) modified epoxy resin/glass fibre composites", "type" : "article-journal", "volume" : "38" }, "uris" : [ "http://www.mendeley.com/documents/?uuid=04ffdd61-897e-4717-96eb-0f8d50b32a8e" ] } ], "mendeley" : { "formattedCitation" : "[171]", "plainTextFormattedCitation" : "[171]", "previouslyFormattedCitation" : "[171]"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[171]</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However, these influences are negligible, which might be due to the fact that the low GO content does not significantly affect </w:t>
      </w:r>
      <w:r w:rsidRPr="00D003E1">
        <w:rPr>
          <w:rFonts w:ascii="Times New Roman" w:eastAsia="SimSun" w:hAnsi="Times New Roman" w:cs="Times New Roman"/>
          <w:i/>
          <w:sz w:val="24"/>
          <w:szCs w:val="24"/>
          <w:lang w:val="en-GB"/>
        </w:rPr>
        <w:t>T</w:t>
      </w:r>
      <w:r w:rsidRPr="00D003E1">
        <w:rPr>
          <w:rFonts w:ascii="Times New Roman" w:eastAsia="SimSun" w:hAnsi="Times New Roman" w:cs="Times New Roman"/>
          <w:i/>
          <w:sz w:val="24"/>
          <w:szCs w:val="24"/>
          <w:vertAlign w:val="subscript"/>
          <w:lang w:val="en-GB"/>
        </w:rPr>
        <w:t>g</w:t>
      </w:r>
      <w:r w:rsidRPr="00D003E1">
        <w:rPr>
          <w:rFonts w:ascii="Times New Roman" w:eastAsia="SimSun" w:hAnsi="Times New Roman" w:cs="Times New Roman"/>
          <w:sz w:val="24"/>
          <w:lang w:val="en-GB"/>
        </w:rPr>
        <w:t>.</w:t>
      </w:r>
    </w:p>
    <w:p w14:paraId="6965B55A" w14:textId="768D1F66" w:rsidR="00D003E1" w:rsidRPr="00D003E1" w:rsidRDefault="00D003E1" w:rsidP="0068275D">
      <w:pPr>
        <w:spacing w:after="0" w:line="480" w:lineRule="auto"/>
        <w:ind w:firstLine="360"/>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 xml:space="preserve">Loss modulus is indicative to the dissipation of energy in a material under cyclic loading. It is the viscous response to applied force compared to storage modulus, which is an elastic response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"10.1039/9781847551764-00094", "ISBN" : "0854046100", "abstract" : "The use of thermal and calorimetric methods has shown rapid growth over the last two decades, in an increasingly wide range of applications. In addition, a number of powerful new techniques have been developed. This book supplies a concise and readable account of the principles, experimental apparatus and practical procedures used in thermal analysis and calorimetric methods of analysis. Brief accounts of the basic theory are reinforced with detailed applications of the methods and contemporary developments. Also included is information on standard test methods and manufacturers. Written by acknowledged experts, Principles of Thermal Analysis and Calorimetry is up-to-date, wide-ranging and practical. It will be an important source of information for many levels of readership in a variety of areas, from students and lecturers through to industrial and laboratory staff and consultants.", "author" : [ { "dropping-particle" : "", "family" : "Price", "given" : "D M", "non-dropping-particle" : "", "parse-names" : false, "suffix" : "" } ], "container-title" : "Principles of Thermal Analysis and Calorimetry", "edition" : "1 edition", "editor" : [ { "dropping-particle" : "", "family" : "Haines", "given" : "Peter", "non-dropping-particle" : "", "parse-names" : false, "suffix" : "" } ], "id" : "ITEM-1", "issued" : { "date-parts" : [ [ "2002" ] ] }, "page" : "94-125", "publisher" : "Royal Society of Chemistry", "publisher-place" : "Cambridge", "title" : "Thermomechanical, Dynamic Mechanical and Dielectric Methods", "type" : "chapter" }, "uris" : [ "http://www.mendeley.com/documents/?uuid=5d3e18e8-54dc-44cc-a5fa-ed8337fc7c21" ] }, { "id" : "ITEM-2", "itemData" : { "ISSN" : "0378-5173", "PMID" : "10053212", "abstract" : "Dynamic mechanical analysis (DMA) is an analytical technique in which an oscillating stress is applied to a sample and the resultant strain measured as functions of both oscillatory frequency and temperature. From this, a comprehensive knowledge of the relationships between the various viscoelastic parameters, e.g. storage and loss moduli, mechanical damping parameter (tan delta), dynamic viscosity, and temperature may be obtained. An introduction to the theory of DMA and pharmaceutical and biomedical examples of the use of this technique are presented in this concise review. In particular, examples are described in which DMA has been employed to quantify the storage and loss moduli of polymers, polymer damping properties, glass transition temperature(s), rate and extent of curing of polymer systems, polymer-polymer compatibility and identification of sol-gel transitions. Furthermore, future applications of the technique for the optimisation of the formulation of pharmaceutical and biomedical systems are discussed.", "author" : [ { "dropping-particle" : "", "family" : "Jones", "given" : "D S", "non-dropping-particle" : "", "parse-names" : false, "suffix" : "" } ], "container-title" : "International journal of pharmaceutics", "id" : "ITEM-2", "issued" : { "date-parts" : [ [ "1999" ] ] }, "page" : "167-78", "title" : "Dynamic mechanical analysis of polymeric systems of pharmaceutical and biomedical significance.", "type" : "article-journal", "volume" : "179" }, "uris" : [ "http://www.mendeley.com/documents/?uuid=0eb49a15-4265-443a-8225-8be58af8bf53" ] }, { "id" : "ITEM-3", "itemData" : { "DOI" : "10.1016/S0266-3538(02)00254-3", "ISBN" : "0266-3538", "ISSN" : "02663538", "abstract" : "The dynamic mechanical analysis of banana fiber reinforced polyester composites was carried out with special reference to the effect of fiber loading, frequency and temperature. The intrinsic properties of the components, morphology of the system and the nature of interface between the phases determine the dynamic mechanical properties of the composite. At lower temperatures (in the glassy region), the E\u2032 values are maximum for the neat polyester whereas at temperatures above Tg, the E\u2032 values are found to be maximum for composites with 40% fiber loading, indicating that the incorporation of banana fiber in polyester matrix induces reinforcing effects appreciably at higher temperatures. The loss modulus and damping peaks were found to be lowered by the incorporation of fiber. The height of the damping peaks depended on the fiber content. When higher fiber content of 40% was used, an additional peak in the tan \u03b4 curve, pointing to micro mechanical transitions due to the immobilized polymer layer was evident. The glass transition temperature associated with the damping peak was lowered up to a fiber content of 30%. The Tg values were increased with higher fiber content. Cole\u2013Cole analysis was made to understand the phase behavior of the composite samples. A master curve was constructed based on time\u2013temperature super position principle, which allows the prediction of long-term effects. Apparent activation energy of the relaxation process of the composites was also analyzed. The value was found to be maximum for composites with 40% fiber content.", "author" : [ { "dropping-particle" : "", "family" : "Pothan", "given" : "Laly A.", "non-dropping-particle" : "", "parse-names" : false, "suffix" : "" }, { "dropping-particle" : "", "family" : "Oommen", "given" : "Zachariah", "non-dropping-particle" : "", "parse-names" : false, "suffix" : "" }, { "dropping-particle" : "", "family" : "Thomas", "given" : "Sabu", "non-dropping-particle" : "", "parse-names" : false, "suffix" : "" } ], "container-title" : "Composites Science and Technology", "id" : "ITEM-3", "issued" : { "date-parts" : [ [ "2003" ] ] }, "page" : "283-293", "title" : "Dynamic mechanical analysis of banana fiber reinforced polyester composites", "type" : "article-journal", "volume" : "63" }, "uris" : [ "http://www.mendeley.com/documents/?uuid=42237895-3923-4368-8a39-c45da1785513" ] } ], "mendeley" : { "formattedCitation" : "[170,172,173]", "plainTextFormattedCitation" : "[170,172,173]", "previouslyFormattedCitation" : "[170,172,173]"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[170,172,173]</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w:t>
      </w:r>
      <w:r w:rsidRPr="00D003E1">
        <w:rPr>
          <w:rFonts w:ascii="Times New Roman" w:eastAsia="SimSun" w:hAnsi="Times New Roman" w:cs="Times New Roman"/>
          <w:sz w:val="24"/>
          <w:szCs w:val="24"/>
          <w:lang w:val="en-GB"/>
        </w:rPr>
        <w:t xml:space="preserve">It increases before and around glass transition region and decreases in rubbery plateau due to the movement friction between polymer segments. </w:t>
      </w:r>
      <w:r w:rsidRPr="00D003E1">
        <w:rPr>
          <w:rFonts w:ascii="Times New Roman" w:eastAsia="SimSun" w:hAnsi="Times New Roman" w:cs="Times New Roman"/>
          <w:sz w:val="24"/>
          <w:lang w:val="en-GB"/>
        </w:rPr>
        <w:t xml:space="preserve">The width of the peak reveals the morphological rearrangement and the degree of interaction between fillers and matrix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"10.1016/S0266-3538(02)00254-3", "ISBN" : "0266-3538", "ISSN" : "02663538", "abstract" : "The dynamic mechanical analysis of banana fiber reinforced polyester composites was carried out with special reference to the effect of fiber loading, frequency and temperature. The intrinsic properties of the components, morphology of the system and the nature of interface between the phases determine the dynamic mechanical properties of the composite. At lower temperatures (in the glassy region), the E\u2032 values are maximum for the neat polyester whereas at temperatures above Tg, the E\u2032 values are found to be maximum for composites with 40% fiber loading, indicating that the incorporation of banana fiber in polyester matrix induces reinforcing effects appreciably at higher temperatures. The loss modulus and damping peaks were found to be lowered by the incorporation of fiber. The height of the damping peaks depended on the fiber content. When higher fiber content of 40% was used, an additional peak in the tan \u03b4 curve, pointing to micro mechanical transitions due to the immobilized polymer layer was evident. The glass transition temperature associated with the damping peak was lowered up to a fiber content of 30%. The Tg values were increased with higher fiber content. Cole\u2013Cole analysis was made to understand the phase behavior of the composite samples. A master curve was constructed based on time\u2013temperature super position principle, which allows the prediction of long-term effects. Apparent activation energy of the relaxation process of the composites was also analyzed. The value was found to be maximum for composites with 40% fiber content.", "author" : [ { "dropping-particle" : "", "family" : "Pothan", "given" : "Laly A.", "non-dropping-particle" : "", "parse-names" : false, "suffix" : "" }, { "dropping-particle" : "", "family" : "Oommen", "given" : "Zachariah", "non-dropping-particle" : "", "parse-names" : false, "suffix" : "" }, { "dropping-particle" : "", "family" : "Thomas", "given" : "Sabu", "non-dropping-particle" : "", "parse-names" : false, "suffix" : "" } ], "container-title" : "Composites Science and Technology", "id" : "ITEM-1", "issued" : { "date-parts" : [ [ "2003" ] ] }, "page" : "283-293", "title" : "Dynamic mechanical analysis of banana fiber reinforced polyester composites", "type" : "article-journal", "volume" : "63" }, "uris" : [ "http://www.mendeley.com/documents/?uuid=42237895-3923-4368-8a39-c45da1785513" ] } ], "mendeley" : { "formattedCitation" : "[170]", "plainTextFormattedCitation" : "[170]", "previouslyFormattedCitation" : "[170]"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[170]</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the broader peak is the better interaction will be. From Figure </w:t>
      </w:r>
      <w:r w:rsidR="007454C7">
        <w:rPr>
          <w:rFonts w:ascii="Times New Roman" w:eastAsia="SimSun" w:hAnsi="Times New Roman" w:cs="Times New Roman"/>
          <w:sz w:val="24"/>
          <w:lang w:val="en-GB"/>
        </w:rPr>
        <w:t>3</w:t>
      </w:r>
      <w:r w:rsidR="004507F7">
        <w:rPr>
          <w:rFonts w:ascii="Times New Roman" w:eastAsia="SimSun" w:hAnsi="Times New Roman" w:cs="Times New Roman"/>
          <w:sz w:val="24"/>
          <w:lang w:val="en-GB"/>
        </w:rPr>
        <w:t>.7</w:t>
      </w:r>
      <w:r w:rsidRPr="00D003E1">
        <w:rPr>
          <w:rFonts w:ascii="Times New Roman" w:eastAsia="SimSun" w:hAnsi="Times New Roman" w:cs="Times New Roman"/>
          <w:sz w:val="24"/>
          <w:lang w:val="en-GB"/>
        </w:rPr>
        <w:t>(c), 0.01 wt.% gives a broader peak compared to 0.05</w:t>
      </w:r>
      <w:r w:rsidRPr="00D003E1">
        <w:rPr>
          <w:rFonts w:ascii="Times New Roman" w:eastAsia="SimSun" w:hAnsi="Times New Roman" w:cs="Times New Roman" w:hint="eastAsia"/>
          <w:sz w:val="24"/>
          <w:lang w:val="en-GB"/>
        </w:rPr>
        <w:t xml:space="preserve"> </w:t>
      </w:r>
      <w:r w:rsidRPr="00D003E1">
        <w:rPr>
          <w:rFonts w:ascii="Times New Roman" w:eastAsia="SimSun" w:hAnsi="Times New Roman" w:cs="Times New Roman"/>
          <w:sz w:val="24"/>
          <w:lang w:val="en-GB"/>
        </w:rPr>
        <w:t xml:space="preserve">wt.% and 0.1 wt.%, indicating that the incorporation between GO and UPR is strong when GO content is 0.01 wt.%. </w:t>
      </w:r>
      <w:r w:rsidRPr="00D003E1">
        <w:rPr>
          <w:rFonts w:ascii="Times New Roman" w:eastAsia="SimSun" w:hAnsi="Times New Roman" w:cs="Times New Roman"/>
          <w:sz w:val="24"/>
          <w:szCs w:val="24"/>
          <w:lang w:val="en-GB"/>
        </w:rPr>
        <w:t xml:space="preserve">Coefficient C, the difference between the dynamic mechanical moduli at glass state and rubbery plateau, is employed here to investigate the effectiveness of nanoparticles on the moduli of the composites </w:t>
      </w:r>
      <w:r w:rsidRPr="00D003E1">
        <w:rPr>
          <w:rFonts w:ascii="Times New Roman" w:eastAsia="SimSun" w:hAnsi="Times New Roman" w:cs="Times New Roman"/>
          <w:sz w:val="24"/>
          <w:szCs w:val="24"/>
          <w:lang w:val="en-GB"/>
        </w:rPr>
        <w:fldChar w:fldCharType="begin" w:fldLock="1"/>
      </w:r>
      <w:r w:rsidR="00D14688">
        <w:rPr>
          <w:rFonts w:ascii="Times New Roman" w:eastAsia="SimSun" w:hAnsi="Times New Roman" w:cs="Times New Roman"/>
          <w:sz w:val="24"/>
          <w:szCs w:val="24"/>
          <w:lang w:val="en-GB"/>
        </w:rPr>
        <w:instrText>ADDIN CSL_CITATION { "citationItems" : [ { "id" : "ITEM-1", "itemData" : { "DOI" : "10.1016/j.compositesa.2007.08.009", "ISBN" : "1359-835X", "ISSN" : "1359835X", "abstract" : "Poly(styrene-co-acrylonitrile) (SAN) was used to modify diglycidyl ether of bisphenol-A (DGEBA) type epoxy resin cured with diamino diphenyl sulfone (DDS) and the modified epoxy resin was used as the matrix for fibre reinforced composites (FRPs) in order to get improved mechanical and thermal properties. E-glass fibre was used as the fibre reinforcement. The morphology, dynamic mechanical and thermal characteristics of the systems were analyzed. Morphological analysis revealed heterogeneous dispersed morphology. There was good adhesion between the matrix polymer and the glass fibre. The dynamic moduli, mechanical loss and damping behaviour as a function of temperature of the systems were studied using dynamic mechanical analysis (DMA). DMA studies showed that DDS cured epoxy resin/SAN/glass fibre composite systems have two Tgs corresponding to epoxy rich and SAN rich phases. The effect of thermoplastic modification and fibre loading on the dynamic mechanical properties of the composites were also analyzed. Thermogravimetric analysis (TGA) revealed the superior thermal stability of composite system. \u00a9 2007 Elsevier Ltd. All rights reserved.", "author" : [ { "dropping-particle" : "", "family" : "Hameed", "given" : "Nishar", "non-dropping-particle" : "", "parse-names" : false, "suffix" : "" }, { "dropping-particle" : "", "family" : "Sreekumar", "given" : "P. A.", "non-dropping-particle" : "", "parse-names" : false, "suffix" : "" }, { "dropping-particle" : "", "family" : "Francis", "given" : "Bejoy", "non-dropping-particle" : "", "parse-names" : false, "suffix" : "" }, { "dropping-particle" : "", "family" : "Yang", "given" : "Weimin", "non-dropping-particle" : "", "parse-names" : false, "suffix" : "" }, { "dropping-particle" : "", "family" : "Thomas", "given" : "Sabu", "non-dropping-particle" : "", "parse-names" : false, "suffix" : "" } ], "container-title" : "Composites Part A: Applied Science and Manufacturing", "id" : "ITEM-1", "issue" : "12", "issued" : { "date-parts" : [ [ "2007" ] ] }, "page" : "2422-2432", "title" : "Morphology, dynamic mechanical and thermal studies on poly(styrene-co-acrylonitrile) modified epoxy resin/glass fibre composites", "type" : "article-journal", "volume" : "38" }, "uris" : [ "http://www.mendeley.com/documents/?uuid=04ffdd61-897e-4717-96eb-0f8d50b32a8e" ] }, { "id" : "ITEM-2", "itemData" : { "DOI" : "10.1016/j.compscitech.2004.10.023", "ISBN" : "0266-3538", "ISSN" : "02663538", "PMID" : "40", "abstract" : "The dynamic and static mechanical properties of randomly oriented intimately mixed short banana/sisal hybrid fibre reinforced polyester composites were determined. Dynamic properties such as the storage modulus (E\u2032), damping behaviour (tan \u03b4) and static mechanical properties such as tensile, flexural and impact properties were investigated as a function of total fibre volume fraction and the relative volume fraction of the two fibres. Keeping the relative volume fraction of banana and sisal (1:1), the volume fraction of the fibre was optimised. The storage modulus was found to increase with fibre volume fraction above glass transition temperature (Tg) of the matrix and maximum value was obtained at a volume fraction (Vf) of 0.40. The tan \u03b4 peak height was minimum and peak width was maximum at 0.40 Vf. Tensile modulus and flexural strength were found to be the highest at 0.40 volume fraction, which indicates effective stress transfer between the fibre and matrix. A positive shift in Tg of polyester matrix at 0.40 Vf also indicates better fibre/matrix interaction. Keeping the total fibre volume fraction, 0.40 Vf, hybrid composites having different volume ratios of the fibres and unhybridised composites were prepared and analysed. Sisal/polyester composite showed maximum damping behaviour and highest impact strength as compared to banana/polyester as well as hybrid composites. However, maximum stress transfer between the fibre and matrix was obtained in composites having volume ratio of banana and sisal as 3:1, which has lowest tan \u03b4 value and highest E\u2032 value at Tg. The tensile strength and flexural modulus were also the maximum and impact strength was the minimum at this volume ratio. Fractographic evaluations carried out under scanning electron microscope (SEM) confirm the quantitative characterisation obtained from static and dynamic mechanical analysis. The Arrhenius relationship has been to calculate the activation energy of the glass transition of the polyester. The highest activation energy was found in hybrid composite with volume ratio of banana and sisal as 3:1. A master curve was constructed based on time-temperature superposition principle. Finally, the experimental results were compared with theoretical predictions. \u00a9 2004 Elsevier Ltd. All rights reserved.", "author" : [ { "dropping-particle" : "", "family" : "Idicula", "given" : "Maries", "non-dropping-particle" : "", "parse-names" : false, "suffix" : "" }, { "dropping-particle" : "", "family" : "Malhotra", "given" : "S. K.", "non-dropping-particle" : "", "parse-names" : false, "suffix" : "" }, { "dropping-particle" : "", "family" : "Joseph", "given" : "Kuruvilla", "non-dropping-particle" : "", "parse-names" : false, "suffix" : "" }, { "dropping-particle" : "", "family" : "Thomas", "given" : "Sabu", "non-dropping-particle" : "", "parse-names" : false, "suffix" : "" } ], "container-title" : "Composites Science and Technology", "id" : "ITEM-2", "issued" : { "date-parts" : [ [ "2005" ] ] }, "page" : "1077-1087", "title" : "Dynamic mechanical analysis of randomly oriented intimately mixed short banana/sisal hybrid fibre reinforced polyester composites", "type" : "article-journal", "volume" : "65" }, "uris" : [ "http://www.mendeley.com/documents/?uuid=2190dec4-e470-4a09-ac52-5af64f97b592" ] }, { "id" : "ITEM-3", "itemData" : { "ISSN" : "1842-3582", "author" : [ { "dropping-particle" : "", "family" : "Bastiurea", "given" : "M", "non-dropping-particle" : "", "parse-names" : false, "suffix" : "" }, { "dropping-particle" : "", "family" : "Rodeanu", "given" : "M S", "non-dropping-particle" : "", "parse-names" : false, "suffix" : "" }, { "dropping-particle" : "", "family" : "Dima", "given" : "D", "non-dropping-particle" : "", "parse-names" : false, "suffix" : "" }, { "dropping-particle" : "", "family" : "Murarescu", "given" : "M", "non-dropping-particle" : "", "parse-names" : false, "suffix" : "" }, { "dropping-particle" : "", "family" : "Andrei", "given" : "G", "non-dropping-particle" : "", "parse-names" : false, "suffix" : "" } ], "container-title" : "Digest Journal of Nanomaterials and Biostructures", "id" : "ITEM-3", "issue" : "2", "issued" : { "date-parts" : [ [ "2015" ] ] }, "page" : "521-533", "title" : "Thermal and Mechanical Properties of Polyester Composites With Graphene Oxide and Graphite", "type" : "article-journal", "volume" : "10" }, "uris" : [ "http://www.mendeley.com/documents/?uuid=43eb4a0c-459f-4343-8f75-bf863d395a16" ] } ], "mendeley" : { "formattedCitation" : "[168,169,171]", "plainTextFormattedCitation" : "[168,169,171]", "previouslyFormattedCitation" : "[168,169,171]" }, "properties" : {  }, "schema" : "https://github.com/citation-style-language/schema/raw/master/csl-citation.json" }</w:instrText>
      </w:r>
      <w:r w:rsidRPr="00D003E1">
        <w:rPr>
          <w:rFonts w:ascii="Times New Roman" w:eastAsia="SimSun" w:hAnsi="Times New Roman" w:cs="Times New Roman"/>
          <w:sz w:val="24"/>
          <w:szCs w:val="24"/>
          <w:lang w:val="en-GB"/>
        </w:rPr>
        <w:fldChar w:fldCharType="separate"/>
      </w:r>
      <w:r w:rsidR="00D973A8" w:rsidRPr="00D973A8">
        <w:rPr>
          <w:rFonts w:ascii="Times New Roman" w:eastAsia="SimSun" w:hAnsi="Times New Roman" w:cs="Times New Roman"/>
          <w:noProof/>
          <w:sz w:val="24"/>
          <w:szCs w:val="24"/>
          <w:lang w:val="en-GB"/>
        </w:rPr>
        <w:t>[168,169,171]</w:t>
      </w:r>
      <w:r w:rsidRPr="00D003E1">
        <w:rPr>
          <w:rFonts w:ascii="Times New Roman" w:eastAsia="SimSun" w:hAnsi="Times New Roman" w:cs="Times New Roman"/>
          <w:sz w:val="24"/>
          <w:szCs w:val="24"/>
          <w:lang w:val="en-GB"/>
        </w:rPr>
        <w:fldChar w:fldCharType="end"/>
      </w:r>
      <w:r w:rsidRPr="00D003E1">
        <w:rPr>
          <w:rFonts w:ascii="Times New Roman" w:eastAsia="SimSun" w:hAnsi="Times New Roman" w:cs="Times New Roman"/>
          <w:sz w:val="24"/>
          <w:szCs w:val="24"/>
          <w:lang w:val="en-GB"/>
        </w:rPr>
        <w:t xml:space="preserve">. It can be obtained by the equation (1) below, where </w:t>
      </w:r>
      <w:r w:rsidRPr="00D003E1">
        <w:rPr>
          <w:rFonts w:ascii="Times New Roman" w:eastAsia="SimSun" w:hAnsi="Times New Roman" w:cs="Times New Roman"/>
          <w:i/>
          <w:sz w:val="24"/>
          <w:szCs w:val="24"/>
          <w:lang w:val="en-GB"/>
        </w:rPr>
        <w:t>E'</w:t>
      </w:r>
      <w:r w:rsidRPr="00D003E1">
        <w:rPr>
          <w:rFonts w:ascii="Times New Roman" w:eastAsia="SimSun" w:hAnsi="Times New Roman" w:cs="Times New Roman"/>
          <w:i/>
          <w:sz w:val="24"/>
          <w:szCs w:val="24"/>
          <w:vertAlign w:val="subscript"/>
          <w:lang w:val="en-GB"/>
        </w:rPr>
        <w:t>g</w:t>
      </w:r>
      <w:r w:rsidRPr="00D003E1">
        <w:rPr>
          <w:rFonts w:ascii="Times New Roman" w:eastAsia="SimSun" w:hAnsi="Times New Roman" w:cs="Times New Roman"/>
          <w:sz w:val="24"/>
          <w:szCs w:val="24"/>
          <w:lang w:val="en-GB"/>
        </w:rPr>
        <w:t xml:space="preserve"> is storage modulus at glass state, and </w:t>
      </w:r>
      <w:r w:rsidRPr="00D003E1">
        <w:rPr>
          <w:rFonts w:ascii="Times New Roman" w:eastAsia="SimSun" w:hAnsi="Times New Roman" w:cs="Times New Roman"/>
          <w:i/>
          <w:sz w:val="24"/>
          <w:szCs w:val="24"/>
          <w:lang w:val="en-GB"/>
        </w:rPr>
        <w:t>E'</w:t>
      </w:r>
      <w:r w:rsidRPr="00D003E1">
        <w:rPr>
          <w:rFonts w:ascii="Times New Roman" w:eastAsia="SimSun" w:hAnsi="Times New Roman" w:cs="Times New Roman"/>
          <w:i/>
          <w:sz w:val="24"/>
          <w:szCs w:val="24"/>
          <w:vertAlign w:val="subscript"/>
          <w:lang w:val="en-GB"/>
        </w:rPr>
        <w:t xml:space="preserve">r </w:t>
      </w:r>
      <w:r w:rsidRPr="00D003E1">
        <w:rPr>
          <w:rFonts w:ascii="Times New Roman" w:eastAsia="SimSun" w:hAnsi="Times New Roman" w:cs="Times New Roman"/>
          <w:sz w:val="24"/>
          <w:szCs w:val="24"/>
          <w:lang w:val="en-GB"/>
        </w:rPr>
        <w:t>is storage modulus at rubbery plateau.</w:t>
      </w:r>
      <w:r w:rsidRPr="00D003E1">
        <w:rPr>
          <w:rFonts w:ascii="Times New Roman" w:eastAsia="SimSun" w:hAnsi="Times New Roman" w:cs="Times New Roman"/>
          <w:sz w:val="24"/>
          <w:lang w:val="en-GB"/>
        </w:rPr>
        <w:t xml:space="preserve"> A lower coefficient C means higher effectiveness of GO filler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"10.1016/S0266-3538(02)00254-3", "ISBN" : "0266-3538", "ISSN" : "02663538", "abstract" : "The dynamic mechanical analysis of banana fiber reinforced polyester composites was carried out with special reference to the effect of fiber loading, frequency and temperature. The intrinsic properties of the components, morphology of the system and the nature of interface between the phases determine the dynamic mechanical properties of the composite. At lower temperatures (in the glassy region), the E\u2032 values are maximum for the neat polyester whereas at temperatures above Tg, the E\u2032 values are found to be maximum for composites with 40% fiber loading, indicating that the incorporation of banana fiber in polyester matrix induces reinforcing effects appreciably at higher temperatures. The loss modulus and damping peaks were found to be lowered by the incorporation of fiber. The height of the damping peaks depended on the fiber content. When higher fiber content of 40% was used, an additional peak in the tan \u03b4 curve, pointing to micro mechanical transitions due to the immobilized polymer layer was evident. The glass transition temperature associated with the damping peak was lowered up to a fiber content of 30%. The Tg values were increased with higher fiber content. Cole\u2013Cole analysis was made to understand the phase behavior of the composite samples. A master curve was constructed based on time\u2013temperature super position principle, which allows the prediction of long-term effects. Apparent activation energy of the relaxation process of the composites was also analyzed. The value was found to be maximum for composites with 40% fiber content.", "author" : [ { "dropping-particle" : "", "family" : "Pothan", "given" : "Laly A.", "non-dropping-particle" : "", "parse-names" : false, "suffix" : "" }, { "dropping-particle" : "", "family" : "Oommen", "given" : "Zachariah", "non-dropping-particle" : "", "parse-names" : false, "suffix" : "" }, { "dropping-particle" : "", "family" : "Thomas", "given" : "Sabu", "non-dropping-particle" : "", "parse-names" : false, "suffix" : "" } ], "container-title" : "Composites Science and Technology", "id" : "ITEM-1", "issued" : { "date-parts" : [ [ "2003" ] ] }, "page" : "283-293", "title" : "Dynamic mechanical analysis of banana fiber reinforced polyester composites", "type" : "article-journal", "volume" : "63" }, "uris" : [ "http://www.mendeley.com/documents/?uuid=42237895-3923-4368-8a39-c45da1785513" ] } ], "mendeley" : { "formattedCitation" : "[170]", "plainTextFormattedCitation" : "[170]", "previouslyFormattedCitation" : "[170]"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[170]</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In this case, 60 ºC and 120 ºC are picked as the temperatures for </w:t>
      </w:r>
      <m:oMath>
        <m:r>
          <w:rPr>
            <w:rFonts w:ascii="Cambria Math" w:eastAsia="SimSun" w:hAnsi="Cambria Math" w:cs="Times New Roman"/>
            <w:sz w:val="24"/>
            <w:szCs w:val="24"/>
            <w:lang w:val="en-GB"/>
          </w:rPr>
          <m:t>E'g</m:t>
        </m:r>
      </m:oMath>
      <w:r w:rsidRPr="00D003E1">
        <w:rPr>
          <w:rFonts w:ascii="Times New Roman" w:eastAsia="SimSun" w:hAnsi="Times New Roman" w:cs="Times New Roman"/>
          <w:sz w:val="24"/>
          <w:lang w:val="en-GB"/>
        </w:rPr>
        <w:t xml:space="preserve"> and </w:t>
      </w:r>
      <m:oMath>
        <m:r>
          <w:rPr>
            <w:rFonts w:ascii="Cambria Math" w:eastAsia="SimSun" w:hAnsi="Cambria Math" w:cs="Times New Roman"/>
            <w:sz w:val="24"/>
            <w:szCs w:val="24"/>
            <w:lang w:val="en-GB"/>
          </w:rPr>
          <m:t>E'r</m:t>
        </m:r>
      </m:oMath>
      <w:r w:rsidRPr="00D003E1">
        <w:rPr>
          <w:rFonts w:ascii="Times New Roman" w:eastAsia="SimSun" w:hAnsi="Times New Roman" w:cs="Times New Roman"/>
          <w:sz w:val="24"/>
          <w:lang w:val="en-GB"/>
        </w:rPr>
        <w:t>, respectively. The lowest value of 0.23 is seen at 0.01 wt.%, and the highest value of 0.33 is seen at 0.05 wt.%. This is in the agreement with the results of st</w:t>
      </w:r>
      <w:r w:rsidR="0068275D">
        <w:rPr>
          <w:rFonts w:ascii="Times New Roman" w:eastAsia="SimSun" w:hAnsi="Times New Roman" w:cs="Times New Roman"/>
          <w:sz w:val="24"/>
          <w:lang w:val="en-GB"/>
        </w:rPr>
        <w:t xml:space="preserve">orage modulus at glassy stage. </w:t>
      </w:r>
    </w:p>
    <w:p w14:paraId="7DEB2910" w14:textId="77777777" w:rsidR="00D003E1" w:rsidRPr="00D003E1" w:rsidRDefault="00D003E1" w:rsidP="00D003E1">
      <w:pPr>
        <w:spacing w:after="0" w:line="480" w:lineRule="auto"/>
        <w:ind w:firstLine="270"/>
        <w:jc w:val="both"/>
        <w:rPr>
          <w:rFonts w:ascii="Times New Roman" w:eastAsia="SimSun" w:hAnsi="Times New Roman" w:cs="Times New Roman"/>
          <w:sz w:val="24"/>
          <w:lang w:val="en-GB"/>
        </w:rPr>
      </w:pPr>
    </w:p>
    <w:p w14:paraId="4193562E" w14:textId="2981C734" w:rsidR="00D003E1" w:rsidRDefault="00D003E1" w:rsidP="00D003E1">
      <w:pPr>
        <w:spacing w:after="0" w:line="480" w:lineRule="auto"/>
        <w:ind w:firstLine="284"/>
        <w:jc w:val="center"/>
        <w:rPr>
          <w:rFonts w:ascii="Times New Roman" w:eastAsia="SimSun" w:hAnsi="Times New Roman" w:cs="Times New Roman"/>
          <w:b/>
          <w:sz w:val="28"/>
          <w:szCs w:val="28"/>
          <w:lang w:val="en-GB"/>
        </w:rPr>
      </w:pPr>
      <m:oMath>
        <m:r>
          <m:rPr>
            <m:sty m:val="b"/>
          </m:rPr>
          <w:rPr>
            <w:rFonts w:ascii="Cambria Math" w:eastAsia="SimSun" w:hAnsi="Cambria Math" w:cs="Times New Roman"/>
            <w:sz w:val="28"/>
            <w:szCs w:val="28"/>
            <w:lang w:val="en-GB"/>
          </w:rPr>
          <m:t xml:space="preserve">C= </m:t>
        </m:r>
        <m:f>
          <m:fPr>
            <m:ctrlPr>
              <w:rPr>
                <w:rFonts w:ascii="Cambria Math" w:eastAsia="SimSun" w:hAnsi="Cambria Math" w:cs="Times New Roman"/>
                <w:b/>
                <w:sz w:val="28"/>
                <w:szCs w:val="28"/>
                <w:lang w:val="en-GB"/>
              </w:rPr>
            </m:ctrlPr>
          </m:fPr>
          <m:num>
            <m:sSub>
              <m:sSubPr>
                <m:ctrlPr>
                  <w:rPr>
                    <w:rFonts w:ascii="Cambria Math" w:eastAsia="SimSun" w:hAnsi="Cambria Math" w:cs="Times New Roman"/>
                    <w:b/>
                    <w:i/>
                    <w:sz w:val="28"/>
                    <w:szCs w:val="28"/>
                    <w:lang w:val="en-GB"/>
                  </w:rPr>
                </m:ctrlPr>
              </m:sSubPr>
              <m:e>
                <m:r>
                  <m:rPr>
                    <m:sty m:val="bi"/>
                  </m:rPr>
                  <w:rPr>
                    <w:rFonts w:ascii="Cambria Math" w:eastAsia="SimSun" w:hAnsi="Cambria Math" w:cs="Times New Roman"/>
                    <w:sz w:val="28"/>
                    <w:szCs w:val="28"/>
                    <w:lang w:val="en-GB"/>
                  </w:rPr>
                  <m:t>(</m:t>
                </m:r>
                <m:sSup>
                  <m:sSupPr>
                    <m:ctrlPr>
                      <w:rPr>
                        <w:rFonts w:ascii="Cambria Math" w:eastAsia="SimSun" w:hAnsi="Cambria Math" w:cs="Times New Roman"/>
                        <w:b/>
                        <w:i/>
                        <w:sz w:val="28"/>
                        <w:szCs w:val="28"/>
                        <w:lang w:val="en-GB"/>
                      </w:rPr>
                    </m:ctrlPr>
                  </m:sSupPr>
                  <m:e>
                    <m:r>
                      <m:rPr>
                        <m:sty m:val="bi"/>
                      </m:rPr>
                      <w:rPr>
                        <w:rFonts w:ascii="Cambria Math" w:eastAsia="SimSun" w:hAnsi="Cambria Math" w:cs="Times New Roman"/>
                        <w:sz w:val="28"/>
                        <w:szCs w:val="28"/>
                        <w:lang w:val="en-GB"/>
                      </w:rPr>
                      <m:t>E</m:t>
                    </m:r>
                  </m:e>
                  <m:sup>
                    <m:r>
                      <m:rPr>
                        <m:sty m:val="bi"/>
                      </m:rPr>
                      <w:rPr>
                        <w:rFonts w:ascii="Cambria Math" w:eastAsia="SimSun" w:hAnsi="Cambria Math" w:cs="Times New Roman"/>
                        <w:sz w:val="28"/>
                        <w:szCs w:val="28"/>
                        <w:lang w:val="en-GB"/>
                      </w:rPr>
                      <m:t>'</m:t>
                    </m:r>
                  </m:sup>
                </m:sSup>
              </m:e>
              <m:sub>
                <m:r>
                  <m:rPr>
                    <m:sty m:val="bi"/>
                  </m:rPr>
                  <w:rPr>
                    <w:rFonts w:ascii="Cambria Math" w:eastAsia="SimSun" w:hAnsi="Cambria Math" w:cs="Times New Roman"/>
                    <w:sz w:val="28"/>
                    <w:szCs w:val="28"/>
                    <w:lang w:val="en-GB"/>
                  </w:rPr>
                  <m:t xml:space="preserve">g </m:t>
                </m:r>
              </m:sub>
            </m:sSub>
            <m:r>
              <m:rPr>
                <m:sty m:val="bi"/>
              </m:rPr>
              <w:rPr>
                <w:rFonts w:ascii="Cambria Math" w:eastAsia="SimSun" w:hAnsi="Cambria Math" w:cs="Times New Roman"/>
                <w:sz w:val="28"/>
                <w:szCs w:val="28"/>
                <w:lang w:val="en-GB"/>
              </w:rPr>
              <m:t>/</m:t>
            </m:r>
            <m:sSub>
              <m:sSubPr>
                <m:ctrlPr>
                  <w:rPr>
                    <w:rFonts w:ascii="Cambria Math" w:eastAsia="SimSun" w:hAnsi="Cambria Math" w:cs="Times New Roman"/>
                    <w:b/>
                    <w:i/>
                    <w:sz w:val="28"/>
                    <w:szCs w:val="28"/>
                    <w:lang w:val="en-GB"/>
                  </w:rPr>
                </m:ctrlPr>
              </m:sSubPr>
              <m:e>
                <m:sSup>
                  <m:sSupPr>
                    <m:ctrlPr>
                      <w:rPr>
                        <w:rFonts w:ascii="Cambria Math" w:eastAsia="SimSun" w:hAnsi="Cambria Math" w:cs="Times New Roman"/>
                        <w:b/>
                        <w:i/>
                        <w:sz w:val="28"/>
                        <w:szCs w:val="28"/>
                        <w:lang w:val="en-GB"/>
                      </w:rPr>
                    </m:ctrlPr>
                  </m:sSupPr>
                  <m:e>
                    <m:r>
                      <m:rPr>
                        <m:sty m:val="bi"/>
                      </m:rPr>
                      <w:rPr>
                        <w:rFonts w:ascii="Cambria Math" w:eastAsia="SimSun" w:hAnsi="Cambria Math" w:cs="Times New Roman"/>
                        <w:sz w:val="28"/>
                        <w:szCs w:val="28"/>
                        <w:lang w:val="en-GB"/>
                      </w:rPr>
                      <m:t>E</m:t>
                    </m:r>
                  </m:e>
                  <m:sup>
                    <m:r>
                      <m:rPr>
                        <m:sty m:val="bi"/>
                      </m:rPr>
                      <w:rPr>
                        <w:rFonts w:ascii="Cambria Math" w:eastAsia="SimSun" w:hAnsi="Cambria Math" w:cs="Times New Roman"/>
                        <w:sz w:val="28"/>
                        <w:szCs w:val="28"/>
                        <w:lang w:val="en-GB"/>
                      </w:rPr>
                      <m:t>'</m:t>
                    </m:r>
                  </m:sup>
                </m:sSup>
              </m:e>
              <m:sub>
                <m:r>
                  <m:rPr>
                    <m:sty m:val="bi"/>
                  </m:rPr>
                  <w:rPr>
                    <w:rFonts w:ascii="Cambria Math" w:eastAsia="SimSun" w:hAnsi="Cambria Math" w:cs="Times New Roman"/>
                    <w:sz w:val="28"/>
                    <w:szCs w:val="28"/>
                    <w:lang w:val="en-GB"/>
                  </w:rPr>
                  <m:t>r</m:t>
                </m:r>
              </m:sub>
            </m:sSub>
            <m:r>
              <m:rPr>
                <m:sty m:val="bi"/>
              </m:rPr>
              <w:rPr>
                <w:rFonts w:ascii="Cambria Math" w:eastAsia="SimSun" w:hAnsi="Cambria Math" w:cs="Times New Roman"/>
                <w:sz w:val="28"/>
                <w:szCs w:val="28"/>
                <w:lang w:val="en-GB"/>
              </w:rPr>
              <m:t>)comp</m:t>
            </m:r>
          </m:num>
          <m:den>
            <m:sSub>
              <m:sSubPr>
                <m:ctrlPr>
                  <w:rPr>
                    <w:rFonts w:ascii="Cambria Math" w:eastAsia="SimSun" w:hAnsi="Cambria Math" w:cs="Times New Roman"/>
                    <w:b/>
                    <w:i/>
                    <w:sz w:val="28"/>
                    <w:szCs w:val="28"/>
                    <w:lang w:val="en-GB"/>
                  </w:rPr>
                </m:ctrlPr>
              </m:sSubPr>
              <m:e>
                <m:r>
                  <m:rPr>
                    <m:sty m:val="bi"/>
                  </m:rPr>
                  <w:rPr>
                    <w:rFonts w:ascii="Cambria Math" w:eastAsia="SimSun" w:hAnsi="Cambria Math" w:cs="Times New Roman"/>
                    <w:sz w:val="28"/>
                    <w:szCs w:val="28"/>
                    <w:lang w:val="en-GB"/>
                  </w:rPr>
                  <m:t>(</m:t>
                </m:r>
                <m:sSup>
                  <m:sSupPr>
                    <m:ctrlPr>
                      <w:rPr>
                        <w:rFonts w:ascii="Cambria Math" w:eastAsia="SimSun" w:hAnsi="Cambria Math" w:cs="Times New Roman"/>
                        <w:b/>
                        <w:i/>
                        <w:sz w:val="28"/>
                        <w:szCs w:val="28"/>
                        <w:lang w:val="en-GB"/>
                      </w:rPr>
                    </m:ctrlPr>
                  </m:sSupPr>
                  <m:e>
                    <m:r>
                      <m:rPr>
                        <m:sty m:val="bi"/>
                      </m:rPr>
                      <w:rPr>
                        <w:rFonts w:ascii="Cambria Math" w:eastAsia="SimSun" w:hAnsi="Cambria Math" w:cs="Times New Roman"/>
                        <w:sz w:val="28"/>
                        <w:szCs w:val="28"/>
                        <w:lang w:val="en-GB"/>
                      </w:rPr>
                      <m:t>E</m:t>
                    </m:r>
                  </m:e>
                  <m:sup>
                    <m:r>
                      <m:rPr>
                        <m:sty m:val="bi"/>
                      </m:rPr>
                      <w:rPr>
                        <w:rFonts w:ascii="Cambria Math" w:eastAsia="SimSun" w:hAnsi="Cambria Math" w:cs="Times New Roman"/>
                        <w:sz w:val="28"/>
                        <w:szCs w:val="28"/>
                        <w:lang w:val="en-GB"/>
                      </w:rPr>
                      <m:t>'</m:t>
                    </m:r>
                  </m:sup>
                </m:sSup>
              </m:e>
              <m:sub>
                <m:r>
                  <m:rPr>
                    <m:sty m:val="bi"/>
                  </m:rPr>
                  <w:rPr>
                    <w:rFonts w:ascii="Cambria Math" w:eastAsia="SimSun" w:hAnsi="Cambria Math" w:cs="Times New Roman"/>
                    <w:sz w:val="28"/>
                    <w:szCs w:val="28"/>
                    <w:lang w:val="en-GB"/>
                  </w:rPr>
                  <m:t xml:space="preserve">g </m:t>
                </m:r>
              </m:sub>
            </m:sSub>
            <m:r>
              <m:rPr>
                <m:sty m:val="bi"/>
              </m:rPr>
              <w:rPr>
                <w:rFonts w:ascii="Cambria Math" w:eastAsia="SimSun" w:hAnsi="Cambria Math" w:cs="Times New Roman"/>
                <w:sz w:val="28"/>
                <w:szCs w:val="28"/>
                <w:lang w:val="en-GB"/>
              </w:rPr>
              <m:t>/</m:t>
            </m:r>
            <m:sSub>
              <m:sSubPr>
                <m:ctrlPr>
                  <w:rPr>
                    <w:rFonts w:ascii="Cambria Math" w:eastAsia="SimSun" w:hAnsi="Cambria Math" w:cs="Times New Roman"/>
                    <w:b/>
                    <w:i/>
                    <w:sz w:val="28"/>
                    <w:szCs w:val="28"/>
                    <w:lang w:val="en-GB"/>
                  </w:rPr>
                </m:ctrlPr>
              </m:sSubPr>
              <m:e>
                <m:sSup>
                  <m:sSupPr>
                    <m:ctrlPr>
                      <w:rPr>
                        <w:rFonts w:ascii="Cambria Math" w:eastAsia="SimSun" w:hAnsi="Cambria Math" w:cs="Times New Roman"/>
                        <w:b/>
                        <w:i/>
                        <w:sz w:val="28"/>
                        <w:szCs w:val="28"/>
                        <w:lang w:val="en-GB"/>
                      </w:rPr>
                    </m:ctrlPr>
                  </m:sSupPr>
                  <m:e>
                    <m:r>
                      <m:rPr>
                        <m:sty m:val="bi"/>
                      </m:rPr>
                      <w:rPr>
                        <w:rFonts w:ascii="Cambria Math" w:eastAsia="SimSun" w:hAnsi="Cambria Math" w:cs="Times New Roman"/>
                        <w:sz w:val="28"/>
                        <w:szCs w:val="28"/>
                        <w:lang w:val="en-GB"/>
                      </w:rPr>
                      <m:t>E</m:t>
                    </m:r>
                  </m:e>
                  <m:sup>
                    <m:r>
                      <m:rPr>
                        <m:sty m:val="bi"/>
                      </m:rPr>
                      <w:rPr>
                        <w:rFonts w:ascii="Cambria Math" w:eastAsia="SimSun" w:hAnsi="Cambria Math" w:cs="Times New Roman"/>
                        <w:sz w:val="28"/>
                        <w:szCs w:val="28"/>
                        <w:lang w:val="en-GB"/>
                      </w:rPr>
                      <m:t>'</m:t>
                    </m:r>
                  </m:sup>
                </m:sSup>
              </m:e>
              <m:sub>
                <m:r>
                  <m:rPr>
                    <m:sty m:val="bi"/>
                  </m:rPr>
                  <w:rPr>
                    <w:rFonts w:ascii="Cambria Math" w:eastAsia="SimSun" w:hAnsi="Cambria Math" w:cs="Times New Roman"/>
                    <w:sz w:val="28"/>
                    <w:szCs w:val="28"/>
                    <w:lang w:val="en-GB"/>
                  </w:rPr>
                  <m:t>r</m:t>
                </m:r>
              </m:sub>
            </m:sSub>
            <m:r>
              <m:rPr>
                <m:sty m:val="bi"/>
              </m:rPr>
              <w:rPr>
                <w:rFonts w:ascii="Cambria Math" w:eastAsia="SimSun" w:hAnsi="Cambria Math" w:cs="Times New Roman"/>
                <w:sz w:val="28"/>
                <w:szCs w:val="28"/>
                <w:lang w:val="en-GB"/>
              </w:rPr>
              <m:t>)resin</m:t>
            </m:r>
          </m:den>
        </m:f>
      </m:oMath>
      <w:r w:rsidRPr="00D003E1">
        <w:rPr>
          <w:rFonts w:ascii="Times New Roman" w:eastAsia="SimSun" w:hAnsi="Times New Roman" w:cs="Times New Roman"/>
          <w:b/>
          <w:sz w:val="28"/>
          <w:szCs w:val="28"/>
          <w:lang w:val="en-GB"/>
        </w:rPr>
        <w:t xml:space="preserve">              (1)</w:t>
      </w:r>
    </w:p>
    <w:p w14:paraId="72C3EADB" w14:textId="77777777" w:rsidR="0068275D" w:rsidRPr="00D003E1" w:rsidRDefault="0068275D" w:rsidP="00D003E1">
      <w:pPr>
        <w:spacing w:after="0" w:line="480" w:lineRule="auto"/>
        <w:ind w:firstLine="284"/>
        <w:jc w:val="center"/>
        <w:rPr>
          <w:rFonts w:ascii="Times New Roman" w:eastAsia="SimSun" w:hAnsi="Times New Roman" w:cs="Times New Roman"/>
          <w:b/>
          <w:sz w:val="28"/>
          <w:szCs w:val="28"/>
          <w:lang w:val="en-GB"/>
        </w:rPr>
      </w:pPr>
    </w:p>
    <w:p w14:paraId="4C5DF6DB" w14:textId="77777777" w:rsidR="00D003E1" w:rsidRPr="00D003E1" w:rsidRDefault="00D003E1" w:rsidP="00492AD8">
      <w:pPr>
        <w:keepNext/>
        <w:spacing w:after="0" w:line="480" w:lineRule="auto"/>
        <w:ind w:hanging="142"/>
        <w:jc w:val="center"/>
        <w:rPr>
          <w:rFonts w:ascii="Times New Roman" w:eastAsia="SimSun" w:hAnsi="Times New Roman" w:cs="Times New Roman"/>
          <w:sz w:val="24"/>
          <w:lang w:val="en-GB"/>
        </w:rPr>
      </w:pPr>
      <w:r w:rsidRPr="00D003E1">
        <w:rPr>
          <w:rFonts w:ascii="Times New Roman" w:eastAsia="SimSun" w:hAnsi="Times New Roman" w:cs="Times New Roman"/>
          <w:noProof/>
          <w:sz w:val="24"/>
          <w:lang w:val="en-GB"/>
        </w:rPr>
        <w:drawing>
          <wp:inline distT="0" distB="0" distL="0" distR="0" wp14:anchorId="3ED2862C" wp14:editId="1EA755D6">
            <wp:extent cx="6036325" cy="43719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66267" cy="4393661"/>
                    </a:xfrm>
                    <a:prstGeom prst="rect">
                      <a:avLst/>
                    </a:prstGeom>
                    <a:noFill/>
                  </pic:spPr>
                </pic:pic>
              </a:graphicData>
            </a:graphic>
          </wp:inline>
        </w:drawing>
      </w:r>
    </w:p>
    <w:p w14:paraId="2586ECBA" w14:textId="3E0077BB" w:rsidR="00304FC1" w:rsidRDefault="002354ED" w:rsidP="00492AD8">
      <w:pPr>
        <w:pStyle w:val="Caption"/>
        <w:ind w:firstLine="0"/>
        <w:rPr>
          <w:rFonts w:eastAsia="SimSun" w:cs="Times New Roman"/>
          <w:bCs/>
          <w:szCs w:val="24"/>
          <w:lang w:val="en-GB"/>
        </w:rPr>
      </w:pPr>
      <w:bookmarkStart w:id="102" w:name="_Toc502661661"/>
      <w:r>
        <w:t>Figure 3</w:t>
      </w:r>
      <w:r w:rsidR="00EF086B">
        <w:t>.</w:t>
      </w:r>
      <w:r w:rsidR="003D1E0D">
        <w:t>7</w:t>
      </w:r>
      <w:r w:rsidR="00492AD8">
        <w:t xml:space="preserve">. </w:t>
      </w:r>
      <w:r w:rsidR="00D003E1" w:rsidRPr="00D003E1">
        <w:rPr>
          <w:rFonts w:eastAsia="SimSun" w:cs="Times New Roman"/>
          <w:bCs/>
          <w:szCs w:val="24"/>
          <w:lang w:val="en-GB"/>
        </w:rPr>
        <w:t>The dynamic mechanical properties of post-cured UPR/GO nanocomposites: the effect of temperature on (a) storage modulus, (b) loss modulus, and (c) damping factor.</w:t>
      </w:r>
      <w:bookmarkEnd w:id="102"/>
    </w:p>
    <w:p w14:paraId="3D18C94E" w14:textId="77777777" w:rsidR="00492AD8" w:rsidRPr="00492AD8" w:rsidRDefault="00492AD8" w:rsidP="00492AD8">
      <w:pPr>
        <w:rPr>
          <w:lang w:val="en-GB"/>
        </w:rPr>
      </w:pPr>
    </w:p>
    <w:p w14:paraId="0AE082F3" w14:textId="63C9F41E" w:rsidR="00D003E1" w:rsidRPr="00D003E1" w:rsidRDefault="002354ED" w:rsidP="00492AD8">
      <w:pPr>
        <w:pStyle w:val="Caption"/>
        <w:ind w:firstLine="0"/>
        <w:rPr>
          <w:rFonts w:eastAsia="SimSun" w:cs="Times New Roman"/>
          <w:bCs/>
          <w:szCs w:val="24"/>
          <w:lang w:val="en-GB"/>
        </w:rPr>
      </w:pPr>
      <w:bookmarkStart w:id="103" w:name="_Toc502662890"/>
      <w:r>
        <w:t>Table 3</w:t>
      </w:r>
      <w:r w:rsidR="003D1E0D">
        <w:t>.4</w:t>
      </w:r>
      <w:r w:rsidR="00492AD8">
        <w:t xml:space="preserve">. </w:t>
      </w:r>
      <w:r w:rsidR="00D003E1" w:rsidRPr="00D003E1">
        <w:rPr>
          <w:rFonts w:eastAsia="SimSun" w:cs="Times New Roman"/>
          <w:bCs/>
          <w:szCs w:val="24"/>
          <w:lang w:val="en-GB"/>
        </w:rPr>
        <w:t>Dynamic mechanical properties of UPR/GO nanocomposites.</w:t>
      </w:r>
      <w:bookmarkEnd w:id="103"/>
    </w:p>
    <w:tbl>
      <w:tblPr>
        <w:tblStyle w:val="TableGrid1"/>
        <w:tblW w:w="8359" w:type="dxa"/>
        <w:tblBorders>
          <w:insideH w:val="none" w:sz="0" w:space="0" w:color="auto"/>
          <w:insideV w:val="none" w:sz="0" w:space="0" w:color="auto"/>
        </w:tblBorders>
        <w:tblLook w:val="04A0" w:firstRow="1" w:lastRow="0" w:firstColumn="1" w:lastColumn="0" w:noHBand="0" w:noVBand="1"/>
      </w:tblPr>
      <w:tblGrid>
        <w:gridCol w:w="2384"/>
        <w:gridCol w:w="1078"/>
        <w:gridCol w:w="1078"/>
        <w:gridCol w:w="1078"/>
        <w:gridCol w:w="1032"/>
        <w:gridCol w:w="1709"/>
      </w:tblGrid>
      <w:tr w:rsidR="00304FC1" w:rsidRPr="001A5452" w14:paraId="60413200" w14:textId="77777777" w:rsidTr="001E7B6A">
        <w:trPr>
          <w:trHeight w:val="179"/>
        </w:trPr>
        <w:tc>
          <w:tcPr>
            <w:tcW w:w="2384" w:type="dxa"/>
            <w:vMerge w:val="restart"/>
            <w:tcBorders>
              <w:top w:val="single" w:sz="4" w:space="0" w:color="auto"/>
              <w:left w:val="nil"/>
            </w:tcBorders>
            <w:vAlign w:val="center"/>
          </w:tcPr>
          <w:p w14:paraId="78C815AB"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Samples</w:t>
            </w:r>
          </w:p>
        </w:tc>
        <w:tc>
          <w:tcPr>
            <w:tcW w:w="3234" w:type="dxa"/>
            <w:gridSpan w:val="3"/>
            <w:tcBorders>
              <w:top w:val="single" w:sz="4" w:space="0" w:color="auto"/>
              <w:bottom w:val="single" w:sz="4" w:space="0" w:color="auto"/>
              <w:right w:val="nil"/>
            </w:tcBorders>
            <w:vAlign w:val="center"/>
          </w:tcPr>
          <w:p w14:paraId="2EF43111"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i/>
                <w:sz w:val="24"/>
                <w:szCs w:val="24"/>
              </w:rPr>
              <w:t>E'</w:t>
            </w:r>
            <w:r w:rsidRPr="0068275D">
              <w:rPr>
                <w:rFonts w:ascii="Times New Roman" w:hAnsi="Times New Roman" w:cs="Times New Roman"/>
                <w:sz w:val="24"/>
                <w:szCs w:val="24"/>
              </w:rPr>
              <w:t xml:space="preserve"> at various T / GPa</w:t>
            </w:r>
          </w:p>
        </w:tc>
        <w:tc>
          <w:tcPr>
            <w:tcW w:w="1032" w:type="dxa"/>
            <w:vMerge w:val="restart"/>
            <w:tcBorders>
              <w:top w:val="single" w:sz="4" w:space="0" w:color="auto"/>
              <w:left w:val="nil"/>
              <w:bottom w:val="single" w:sz="4" w:space="0" w:color="auto"/>
              <w:right w:val="nil"/>
            </w:tcBorders>
            <w:vAlign w:val="center"/>
          </w:tcPr>
          <w:p w14:paraId="690B1B09"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i/>
                <w:sz w:val="24"/>
                <w:szCs w:val="24"/>
              </w:rPr>
              <w:t>T</w:t>
            </w:r>
            <w:r w:rsidRPr="0068275D">
              <w:rPr>
                <w:rFonts w:ascii="Times New Roman" w:hAnsi="Times New Roman" w:cs="Times New Roman"/>
                <w:i/>
                <w:sz w:val="24"/>
                <w:szCs w:val="24"/>
                <w:vertAlign w:val="subscript"/>
              </w:rPr>
              <w:t>g</w:t>
            </w:r>
            <w:r w:rsidRPr="0068275D">
              <w:rPr>
                <w:rFonts w:ascii="Times New Roman" w:hAnsi="Times New Roman" w:cs="Times New Roman"/>
                <w:sz w:val="24"/>
                <w:szCs w:val="24"/>
              </w:rPr>
              <w:t xml:space="preserve"> / </w:t>
            </w:r>
            <w:r w:rsidRPr="0068275D">
              <w:rPr>
                <w:rFonts w:ascii="Times New Roman" w:hAnsi="Times New Roman" w:cs="Times New Roman"/>
                <w:sz w:val="24"/>
                <w:szCs w:val="24"/>
                <w:vertAlign w:val="superscript"/>
              </w:rPr>
              <w:t>o</w:t>
            </w:r>
            <w:r w:rsidRPr="0068275D">
              <w:rPr>
                <w:rFonts w:ascii="Times New Roman" w:hAnsi="Times New Roman" w:cs="Times New Roman"/>
                <w:sz w:val="24"/>
                <w:szCs w:val="24"/>
              </w:rPr>
              <w:t>C</w:t>
            </w:r>
          </w:p>
        </w:tc>
        <w:tc>
          <w:tcPr>
            <w:tcW w:w="1709" w:type="dxa"/>
            <w:vMerge w:val="restart"/>
            <w:tcBorders>
              <w:top w:val="single" w:sz="4" w:space="0" w:color="auto"/>
              <w:left w:val="nil"/>
              <w:right w:val="nil"/>
            </w:tcBorders>
            <w:vAlign w:val="center"/>
          </w:tcPr>
          <w:p w14:paraId="6A191B82"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Coefficient C</w:t>
            </w:r>
          </w:p>
        </w:tc>
      </w:tr>
      <w:tr w:rsidR="00304FC1" w:rsidRPr="001A5452" w14:paraId="244D0580" w14:textId="77777777" w:rsidTr="001E7B6A">
        <w:tc>
          <w:tcPr>
            <w:tcW w:w="2384" w:type="dxa"/>
            <w:vMerge/>
            <w:tcBorders>
              <w:left w:val="nil"/>
              <w:bottom w:val="single" w:sz="4" w:space="0" w:color="auto"/>
            </w:tcBorders>
            <w:vAlign w:val="center"/>
          </w:tcPr>
          <w:p w14:paraId="402819CB" w14:textId="77777777" w:rsidR="00304FC1" w:rsidRPr="0068275D" w:rsidRDefault="00304FC1" w:rsidP="00492AD8">
            <w:pPr>
              <w:spacing w:line="360" w:lineRule="auto"/>
              <w:jc w:val="center"/>
              <w:rPr>
                <w:rFonts w:ascii="Times New Roman" w:hAnsi="Times New Roman" w:cs="Times New Roman"/>
                <w:sz w:val="24"/>
                <w:szCs w:val="24"/>
              </w:rPr>
            </w:pPr>
          </w:p>
        </w:tc>
        <w:tc>
          <w:tcPr>
            <w:tcW w:w="1078" w:type="dxa"/>
            <w:tcBorders>
              <w:top w:val="single" w:sz="4" w:space="0" w:color="auto"/>
              <w:bottom w:val="single" w:sz="4" w:space="0" w:color="auto"/>
            </w:tcBorders>
            <w:vAlign w:val="center"/>
          </w:tcPr>
          <w:p w14:paraId="5D725AE2"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xml:space="preserve">60 </w:t>
            </w:r>
            <w:r w:rsidRPr="0068275D">
              <w:rPr>
                <w:rFonts w:ascii="Times New Roman" w:hAnsi="Times New Roman" w:cs="Times New Roman"/>
                <w:sz w:val="24"/>
                <w:szCs w:val="24"/>
                <w:vertAlign w:val="superscript"/>
              </w:rPr>
              <w:t>o</w:t>
            </w:r>
            <w:r w:rsidRPr="0068275D">
              <w:rPr>
                <w:rFonts w:ascii="Times New Roman" w:hAnsi="Times New Roman" w:cs="Times New Roman"/>
                <w:sz w:val="24"/>
                <w:szCs w:val="24"/>
              </w:rPr>
              <w:t>C</w:t>
            </w:r>
          </w:p>
        </w:tc>
        <w:tc>
          <w:tcPr>
            <w:tcW w:w="1078" w:type="dxa"/>
            <w:tcBorders>
              <w:top w:val="single" w:sz="4" w:space="0" w:color="auto"/>
              <w:bottom w:val="single" w:sz="4" w:space="0" w:color="auto"/>
            </w:tcBorders>
            <w:vAlign w:val="center"/>
          </w:tcPr>
          <w:p w14:paraId="07157DA7"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xml:space="preserve">80 </w:t>
            </w:r>
            <w:r w:rsidRPr="0068275D">
              <w:rPr>
                <w:rFonts w:ascii="Times New Roman" w:hAnsi="Times New Roman" w:cs="Times New Roman"/>
                <w:sz w:val="24"/>
                <w:szCs w:val="24"/>
                <w:vertAlign w:val="superscript"/>
              </w:rPr>
              <w:t>o</w:t>
            </w:r>
            <w:r w:rsidRPr="0068275D">
              <w:rPr>
                <w:rFonts w:ascii="Times New Roman" w:hAnsi="Times New Roman" w:cs="Times New Roman"/>
                <w:sz w:val="24"/>
                <w:szCs w:val="24"/>
              </w:rPr>
              <w:t>C</w:t>
            </w:r>
          </w:p>
        </w:tc>
        <w:tc>
          <w:tcPr>
            <w:tcW w:w="1078" w:type="dxa"/>
            <w:tcBorders>
              <w:top w:val="single" w:sz="4" w:space="0" w:color="auto"/>
              <w:bottom w:val="single" w:sz="4" w:space="0" w:color="auto"/>
              <w:right w:val="nil"/>
            </w:tcBorders>
            <w:vAlign w:val="center"/>
          </w:tcPr>
          <w:p w14:paraId="5E821235"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 xml:space="preserve">120 </w:t>
            </w:r>
            <w:r w:rsidRPr="0068275D">
              <w:rPr>
                <w:rFonts w:ascii="Times New Roman" w:hAnsi="Times New Roman" w:cs="Times New Roman"/>
                <w:sz w:val="24"/>
                <w:szCs w:val="24"/>
                <w:vertAlign w:val="superscript"/>
              </w:rPr>
              <w:t>o</w:t>
            </w:r>
            <w:r w:rsidRPr="0068275D">
              <w:rPr>
                <w:rFonts w:ascii="Times New Roman" w:hAnsi="Times New Roman" w:cs="Times New Roman"/>
                <w:sz w:val="24"/>
                <w:szCs w:val="24"/>
              </w:rPr>
              <w:t>C</w:t>
            </w:r>
          </w:p>
        </w:tc>
        <w:tc>
          <w:tcPr>
            <w:tcW w:w="1032" w:type="dxa"/>
            <w:vMerge/>
            <w:tcBorders>
              <w:top w:val="nil"/>
              <w:left w:val="nil"/>
              <w:bottom w:val="single" w:sz="4" w:space="0" w:color="auto"/>
              <w:right w:val="nil"/>
            </w:tcBorders>
            <w:vAlign w:val="center"/>
          </w:tcPr>
          <w:p w14:paraId="3F017157" w14:textId="77777777" w:rsidR="00304FC1" w:rsidRPr="0068275D" w:rsidRDefault="00304FC1" w:rsidP="00492AD8">
            <w:pPr>
              <w:spacing w:line="360" w:lineRule="auto"/>
              <w:jc w:val="center"/>
              <w:rPr>
                <w:rFonts w:ascii="Times New Roman" w:hAnsi="Times New Roman" w:cs="Times New Roman"/>
                <w:sz w:val="24"/>
                <w:szCs w:val="24"/>
              </w:rPr>
            </w:pPr>
          </w:p>
        </w:tc>
        <w:tc>
          <w:tcPr>
            <w:tcW w:w="1709" w:type="dxa"/>
            <w:vMerge/>
            <w:tcBorders>
              <w:left w:val="nil"/>
              <w:bottom w:val="single" w:sz="4" w:space="0" w:color="auto"/>
              <w:right w:val="nil"/>
            </w:tcBorders>
            <w:vAlign w:val="center"/>
          </w:tcPr>
          <w:p w14:paraId="3565FAA3" w14:textId="77777777" w:rsidR="00304FC1" w:rsidRPr="0068275D" w:rsidRDefault="00304FC1" w:rsidP="00492AD8">
            <w:pPr>
              <w:spacing w:line="360" w:lineRule="auto"/>
              <w:jc w:val="center"/>
              <w:rPr>
                <w:rFonts w:ascii="Times New Roman" w:hAnsi="Times New Roman" w:cs="Times New Roman"/>
                <w:sz w:val="24"/>
                <w:szCs w:val="24"/>
              </w:rPr>
            </w:pPr>
          </w:p>
        </w:tc>
      </w:tr>
      <w:tr w:rsidR="00304FC1" w:rsidRPr="001A5452" w14:paraId="5D06207E" w14:textId="77777777" w:rsidTr="001E7B6A">
        <w:tc>
          <w:tcPr>
            <w:tcW w:w="2384" w:type="dxa"/>
            <w:tcBorders>
              <w:top w:val="single" w:sz="4" w:space="0" w:color="auto"/>
              <w:left w:val="nil"/>
            </w:tcBorders>
          </w:tcPr>
          <w:p w14:paraId="39D8C183"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UPR</w:t>
            </w:r>
          </w:p>
        </w:tc>
        <w:tc>
          <w:tcPr>
            <w:tcW w:w="1078" w:type="dxa"/>
            <w:tcBorders>
              <w:top w:val="single" w:sz="4" w:space="0" w:color="auto"/>
            </w:tcBorders>
          </w:tcPr>
          <w:p w14:paraId="4B849967"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0.2</w:t>
            </w:r>
          </w:p>
        </w:tc>
        <w:tc>
          <w:tcPr>
            <w:tcW w:w="1078" w:type="dxa"/>
            <w:tcBorders>
              <w:top w:val="single" w:sz="4" w:space="0" w:color="auto"/>
            </w:tcBorders>
          </w:tcPr>
          <w:p w14:paraId="38FDE3F4"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0.045</w:t>
            </w:r>
          </w:p>
        </w:tc>
        <w:tc>
          <w:tcPr>
            <w:tcW w:w="1078" w:type="dxa"/>
            <w:tcBorders>
              <w:top w:val="single" w:sz="4" w:space="0" w:color="auto"/>
              <w:right w:val="nil"/>
            </w:tcBorders>
          </w:tcPr>
          <w:p w14:paraId="7F1ED1D1"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0.02</w:t>
            </w:r>
          </w:p>
        </w:tc>
        <w:tc>
          <w:tcPr>
            <w:tcW w:w="1032" w:type="dxa"/>
            <w:tcBorders>
              <w:top w:val="single" w:sz="4" w:space="0" w:color="auto"/>
              <w:left w:val="nil"/>
              <w:bottom w:val="nil"/>
              <w:right w:val="nil"/>
            </w:tcBorders>
          </w:tcPr>
          <w:p w14:paraId="5C643862"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87.5</w:t>
            </w:r>
          </w:p>
        </w:tc>
        <w:tc>
          <w:tcPr>
            <w:tcW w:w="1709" w:type="dxa"/>
            <w:tcBorders>
              <w:top w:val="single" w:sz="4" w:space="0" w:color="auto"/>
              <w:left w:val="nil"/>
              <w:bottom w:val="nil"/>
              <w:right w:val="nil"/>
            </w:tcBorders>
          </w:tcPr>
          <w:p w14:paraId="0BD3F261"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w:t>
            </w:r>
          </w:p>
        </w:tc>
      </w:tr>
      <w:tr w:rsidR="00304FC1" w:rsidRPr="001A5452" w14:paraId="35CEC2CD" w14:textId="77777777" w:rsidTr="001E7B6A">
        <w:tc>
          <w:tcPr>
            <w:tcW w:w="2384" w:type="dxa"/>
            <w:tcBorders>
              <w:left w:val="nil"/>
            </w:tcBorders>
          </w:tcPr>
          <w:p w14:paraId="4F1976E3"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0.01 wt.%</w:t>
            </w:r>
          </w:p>
        </w:tc>
        <w:tc>
          <w:tcPr>
            <w:tcW w:w="1078" w:type="dxa"/>
          </w:tcPr>
          <w:p w14:paraId="1EF2B8A2"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1.31</w:t>
            </w:r>
          </w:p>
        </w:tc>
        <w:tc>
          <w:tcPr>
            <w:tcW w:w="1078" w:type="dxa"/>
          </w:tcPr>
          <w:p w14:paraId="60A1F458"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0.33</w:t>
            </w:r>
          </w:p>
        </w:tc>
        <w:tc>
          <w:tcPr>
            <w:tcW w:w="1078" w:type="dxa"/>
            <w:tcBorders>
              <w:right w:val="nil"/>
            </w:tcBorders>
          </w:tcPr>
          <w:p w14:paraId="4027B779"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0.03</w:t>
            </w:r>
          </w:p>
        </w:tc>
        <w:tc>
          <w:tcPr>
            <w:tcW w:w="1032" w:type="dxa"/>
            <w:tcBorders>
              <w:top w:val="nil"/>
              <w:left w:val="nil"/>
              <w:bottom w:val="nil"/>
              <w:right w:val="nil"/>
            </w:tcBorders>
          </w:tcPr>
          <w:p w14:paraId="4EB67F30"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88.8</w:t>
            </w:r>
          </w:p>
        </w:tc>
        <w:tc>
          <w:tcPr>
            <w:tcW w:w="1709" w:type="dxa"/>
            <w:tcBorders>
              <w:top w:val="nil"/>
              <w:left w:val="nil"/>
              <w:bottom w:val="nil"/>
              <w:right w:val="nil"/>
            </w:tcBorders>
          </w:tcPr>
          <w:p w14:paraId="4A3A334C"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0.23</w:t>
            </w:r>
          </w:p>
        </w:tc>
      </w:tr>
      <w:tr w:rsidR="00304FC1" w:rsidRPr="001A5452" w14:paraId="31F3556C" w14:textId="77777777" w:rsidTr="001E7B6A">
        <w:trPr>
          <w:trHeight w:val="369"/>
        </w:trPr>
        <w:tc>
          <w:tcPr>
            <w:tcW w:w="2384" w:type="dxa"/>
            <w:tcBorders>
              <w:left w:val="nil"/>
            </w:tcBorders>
          </w:tcPr>
          <w:p w14:paraId="5814044B"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0.05 wt.%</w:t>
            </w:r>
          </w:p>
        </w:tc>
        <w:tc>
          <w:tcPr>
            <w:tcW w:w="1078" w:type="dxa"/>
          </w:tcPr>
          <w:p w14:paraId="12F59893"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0.62</w:t>
            </w:r>
          </w:p>
        </w:tc>
        <w:tc>
          <w:tcPr>
            <w:tcW w:w="1078" w:type="dxa"/>
          </w:tcPr>
          <w:p w14:paraId="72EB0562"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0.09</w:t>
            </w:r>
          </w:p>
        </w:tc>
        <w:tc>
          <w:tcPr>
            <w:tcW w:w="1078" w:type="dxa"/>
            <w:tcBorders>
              <w:right w:val="nil"/>
            </w:tcBorders>
          </w:tcPr>
          <w:p w14:paraId="3D3A7378"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0.02</w:t>
            </w:r>
          </w:p>
        </w:tc>
        <w:tc>
          <w:tcPr>
            <w:tcW w:w="1032" w:type="dxa"/>
            <w:tcBorders>
              <w:top w:val="nil"/>
              <w:left w:val="nil"/>
              <w:bottom w:val="nil"/>
              <w:right w:val="nil"/>
            </w:tcBorders>
          </w:tcPr>
          <w:p w14:paraId="066C879B"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86.5</w:t>
            </w:r>
          </w:p>
        </w:tc>
        <w:tc>
          <w:tcPr>
            <w:tcW w:w="1709" w:type="dxa"/>
            <w:tcBorders>
              <w:top w:val="nil"/>
              <w:left w:val="nil"/>
              <w:bottom w:val="nil"/>
              <w:right w:val="nil"/>
            </w:tcBorders>
          </w:tcPr>
          <w:p w14:paraId="0C9B03F4"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0.33</w:t>
            </w:r>
          </w:p>
        </w:tc>
      </w:tr>
      <w:tr w:rsidR="00304FC1" w:rsidRPr="00210353" w14:paraId="0EA3FC9B" w14:textId="77777777" w:rsidTr="001E7B6A">
        <w:trPr>
          <w:trHeight w:val="369"/>
        </w:trPr>
        <w:tc>
          <w:tcPr>
            <w:tcW w:w="2384" w:type="dxa"/>
            <w:tcBorders>
              <w:left w:val="nil"/>
              <w:bottom w:val="single" w:sz="4" w:space="0" w:color="auto"/>
            </w:tcBorders>
          </w:tcPr>
          <w:p w14:paraId="5F20E966"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0.1 wt.%</w:t>
            </w:r>
          </w:p>
        </w:tc>
        <w:tc>
          <w:tcPr>
            <w:tcW w:w="1078" w:type="dxa"/>
          </w:tcPr>
          <w:p w14:paraId="0CA6CDBE"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0.99</w:t>
            </w:r>
          </w:p>
        </w:tc>
        <w:tc>
          <w:tcPr>
            <w:tcW w:w="1078" w:type="dxa"/>
          </w:tcPr>
          <w:p w14:paraId="762FA3C6"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0.20</w:t>
            </w:r>
          </w:p>
        </w:tc>
        <w:tc>
          <w:tcPr>
            <w:tcW w:w="1078" w:type="dxa"/>
            <w:tcBorders>
              <w:right w:val="nil"/>
            </w:tcBorders>
          </w:tcPr>
          <w:p w14:paraId="1CAAD426"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0.03</w:t>
            </w:r>
          </w:p>
        </w:tc>
        <w:tc>
          <w:tcPr>
            <w:tcW w:w="1032" w:type="dxa"/>
            <w:tcBorders>
              <w:top w:val="nil"/>
              <w:left w:val="nil"/>
              <w:bottom w:val="single" w:sz="4" w:space="0" w:color="auto"/>
              <w:right w:val="nil"/>
            </w:tcBorders>
          </w:tcPr>
          <w:p w14:paraId="60997AF6"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90.7</w:t>
            </w:r>
          </w:p>
        </w:tc>
        <w:tc>
          <w:tcPr>
            <w:tcW w:w="1709" w:type="dxa"/>
            <w:tcBorders>
              <w:top w:val="nil"/>
              <w:left w:val="nil"/>
              <w:bottom w:val="single" w:sz="4" w:space="0" w:color="auto"/>
              <w:right w:val="nil"/>
            </w:tcBorders>
          </w:tcPr>
          <w:p w14:paraId="7B0F224E" w14:textId="77777777" w:rsidR="00304FC1" w:rsidRPr="0068275D" w:rsidRDefault="00304FC1" w:rsidP="00492AD8">
            <w:pPr>
              <w:spacing w:line="360" w:lineRule="auto"/>
              <w:jc w:val="center"/>
              <w:rPr>
                <w:rFonts w:ascii="Times New Roman" w:hAnsi="Times New Roman" w:cs="Times New Roman"/>
                <w:sz w:val="24"/>
                <w:szCs w:val="24"/>
              </w:rPr>
            </w:pPr>
            <w:r w:rsidRPr="0068275D">
              <w:rPr>
                <w:rFonts w:ascii="Times New Roman" w:hAnsi="Times New Roman" w:cs="Times New Roman"/>
                <w:sz w:val="24"/>
                <w:szCs w:val="24"/>
              </w:rPr>
              <w:t>0.30</w:t>
            </w:r>
          </w:p>
        </w:tc>
      </w:tr>
    </w:tbl>
    <w:p w14:paraId="75DAB692" w14:textId="77777777" w:rsidR="00D003E1" w:rsidRPr="00D003E1" w:rsidRDefault="00D003E1" w:rsidP="00492AD8">
      <w:pPr>
        <w:spacing w:after="0" w:line="360" w:lineRule="auto"/>
        <w:jc w:val="both"/>
        <w:rPr>
          <w:rFonts w:ascii="Times New Roman" w:eastAsia="SimSun" w:hAnsi="Times New Roman" w:cs="Times New Roman"/>
          <w:sz w:val="24"/>
          <w:lang w:val="en-GB"/>
        </w:rPr>
      </w:pPr>
    </w:p>
    <w:p w14:paraId="629B08D5" w14:textId="35CE7EC8" w:rsidR="00D003E1" w:rsidRPr="00D003E1" w:rsidRDefault="007454C7"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104" w:name="_Toc518823276"/>
      <w:r>
        <w:rPr>
          <w:rFonts w:ascii="Times New Roman" w:eastAsia="SimSun" w:hAnsi="Times New Roman" w:cs="Times New Roman" w:hint="eastAsia"/>
          <w:b/>
          <w:bCs/>
          <w:color w:val="000000"/>
          <w:sz w:val="24"/>
          <w:szCs w:val="26"/>
          <w:lang w:val="en-GB"/>
        </w:rPr>
        <w:t>3</w:t>
      </w:r>
      <w:r w:rsidR="007A5F08">
        <w:rPr>
          <w:rFonts w:ascii="Times New Roman" w:eastAsia="SimSun" w:hAnsi="Times New Roman" w:cs="Times New Roman" w:hint="eastAsia"/>
          <w:b/>
          <w:bCs/>
          <w:color w:val="000000"/>
          <w:sz w:val="24"/>
          <w:szCs w:val="26"/>
          <w:lang w:val="en-GB"/>
        </w:rPr>
        <w:t>.</w:t>
      </w:r>
      <w:r w:rsidR="000C127D">
        <w:rPr>
          <w:rFonts w:ascii="Times New Roman" w:eastAsia="SimSun" w:hAnsi="Times New Roman" w:cs="Times New Roman"/>
          <w:b/>
          <w:bCs/>
          <w:color w:val="000000"/>
          <w:sz w:val="24"/>
          <w:szCs w:val="26"/>
          <w:lang w:val="en-GB"/>
        </w:rPr>
        <w:t>3</w:t>
      </w:r>
      <w:r w:rsidR="00D003E1" w:rsidRPr="00D003E1">
        <w:rPr>
          <w:rFonts w:ascii="Times New Roman" w:eastAsia="SimSun" w:hAnsi="Times New Roman" w:cs="Times New Roman"/>
          <w:b/>
          <w:bCs/>
          <w:color w:val="000000"/>
          <w:sz w:val="24"/>
          <w:szCs w:val="26"/>
          <w:lang w:val="en-GB"/>
        </w:rPr>
        <w:t>.</w:t>
      </w:r>
      <w:r w:rsidR="00D003E1" w:rsidRPr="00D003E1">
        <w:rPr>
          <w:rFonts w:ascii="Times New Roman" w:eastAsia="SimSun" w:hAnsi="Times New Roman" w:cs="Times New Roman" w:hint="eastAsia"/>
          <w:b/>
          <w:bCs/>
          <w:color w:val="000000"/>
          <w:sz w:val="24"/>
          <w:szCs w:val="26"/>
          <w:lang w:val="en-GB"/>
        </w:rPr>
        <w:t>6</w:t>
      </w:r>
      <w:r w:rsidR="00D003E1" w:rsidRPr="00D003E1">
        <w:rPr>
          <w:rFonts w:ascii="Times New Roman" w:eastAsia="SimSun" w:hAnsi="Times New Roman" w:cs="Times New Roman"/>
          <w:b/>
          <w:bCs/>
          <w:color w:val="000000"/>
          <w:sz w:val="24"/>
          <w:szCs w:val="26"/>
          <w:lang w:val="en-GB"/>
        </w:rPr>
        <w:t>. Thermal properties of UPR, and UPR/GO composites</w:t>
      </w:r>
      <w:bookmarkEnd w:id="104"/>
      <w:r w:rsidR="00D003E1" w:rsidRPr="00D003E1">
        <w:rPr>
          <w:rFonts w:ascii="Times New Roman" w:eastAsia="SimSun" w:hAnsi="Times New Roman" w:cs="Times New Roman"/>
          <w:b/>
          <w:bCs/>
          <w:color w:val="000000"/>
          <w:sz w:val="24"/>
          <w:szCs w:val="26"/>
          <w:lang w:val="en-GB"/>
        </w:rPr>
        <w:t xml:space="preserve">                                                                           </w:t>
      </w:r>
    </w:p>
    <w:p w14:paraId="70AEAEB7" w14:textId="1440E544" w:rsidR="00D003E1" w:rsidRPr="007454C7" w:rsidRDefault="00D003E1" w:rsidP="00D003E1">
      <w:pPr>
        <w:spacing w:after="0" w:line="480" w:lineRule="auto"/>
        <w:jc w:val="both"/>
        <w:rPr>
          <w:rFonts w:ascii="Times New Roman" w:eastAsia="SimSun" w:hAnsi="Times New Roman" w:cs="Times New Roman"/>
          <w:sz w:val="24"/>
          <w:szCs w:val="24"/>
          <w:lang w:val="en-GB"/>
        </w:rPr>
      </w:pPr>
      <w:r w:rsidRPr="00D003E1">
        <w:rPr>
          <w:rFonts w:ascii="Times New Roman" w:eastAsia="SimSun" w:hAnsi="Times New Roman" w:cs="Times New Roman"/>
          <w:sz w:val="24"/>
          <w:szCs w:val="24"/>
          <w:lang w:val="en-GB"/>
        </w:rPr>
        <w:t>The effect of GO on the thermal properties of UPR is investigated by TGA, and the results are pre</w:t>
      </w:r>
      <w:r w:rsidR="0093149B">
        <w:rPr>
          <w:rFonts w:ascii="Times New Roman" w:eastAsia="SimSun" w:hAnsi="Times New Roman" w:cs="Times New Roman"/>
          <w:sz w:val="24"/>
          <w:szCs w:val="24"/>
          <w:lang w:val="en-GB"/>
        </w:rPr>
        <w:t>sented in Figure 4.8</w:t>
      </w:r>
      <w:r w:rsidR="007454C7">
        <w:rPr>
          <w:rFonts w:ascii="Times New Roman" w:eastAsia="SimSun" w:hAnsi="Times New Roman" w:cs="Times New Roman"/>
          <w:sz w:val="24"/>
          <w:szCs w:val="24"/>
          <w:lang w:val="en-GB"/>
        </w:rPr>
        <w:t xml:space="preserve"> and Table 3</w:t>
      </w:r>
      <w:r w:rsidR="0093149B">
        <w:rPr>
          <w:rFonts w:ascii="Times New Roman" w:eastAsia="SimSun" w:hAnsi="Times New Roman" w:cs="Times New Roman"/>
          <w:sz w:val="24"/>
          <w:szCs w:val="24"/>
          <w:lang w:val="en-GB"/>
        </w:rPr>
        <w:t>.5</w:t>
      </w:r>
      <w:r w:rsidRPr="00D003E1">
        <w:rPr>
          <w:rFonts w:ascii="Times New Roman" w:eastAsia="SimSun" w:hAnsi="Times New Roman" w:cs="Times New Roman"/>
          <w:sz w:val="24"/>
          <w:szCs w:val="24"/>
          <w:lang w:val="en-GB"/>
        </w:rPr>
        <w:t xml:space="preserve">. As shown in Figure </w:t>
      </w:r>
      <w:r w:rsidR="007454C7">
        <w:rPr>
          <w:rFonts w:ascii="Times New Roman" w:eastAsia="SimSun" w:hAnsi="Times New Roman" w:cs="Times New Roman"/>
          <w:sz w:val="24"/>
          <w:szCs w:val="24"/>
          <w:lang w:val="en-GB"/>
        </w:rPr>
        <w:t>3</w:t>
      </w:r>
      <w:r w:rsidR="0093149B">
        <w:rPr>
          <w:rFonts w:ascii="Times New Roman" w:eastAsia="SimSun" w:hAnsi="Times New Roman" w:cs="Times New Roman"/>
          <w:sz w:val="24"/>
          <w:szCs w:val="24"/>
          <w:lang w:val="en-GB"/>
        </w:rPr>
        <w:t>.8</w:t>
      </w:r>
      <w:r w:rsidR="00664632">
        <w:rPr>
          <w:rFonts w:ascii="Times New Roman" w:eastAsia="SimSun" w:hAnsi="Times New Roman" w:cs="Times New Roman"/>
          <w:sz w:val="24"/>
          <w:szCs w:val="24"/>
          <w:lang w:val="en-GB"/>
        </w:rPr>
        <w:t xml:space="preserve">, </w:t>
      </w:r>
      <w:r w:rsidRPr="00D003E1">
        <w:rPr>
          <w:rFonts w:ascii="Times New Roman" w:eastAsia="SimSun" w:hAnsi="Times New Roman" w:cs="Times New Roman"/>
          <w:sz w:val="24"/>
          <w:szCs w:val="24"/>
          <w:lang w:val="en-GB"/>
        </w:rPr>
        <w:t xml:space="preserve">UPR starts to decompose from 362 ºC ( </w:t>
      </w:r>
      <m:oMath>
        <m:sSubSup>
          <m:sSubSupPr>
            <m:ctrlPr>
              <w:rPr>
                <w:rFonts w:ascii="Cambria Math" w:eastAsia="SimSun" w:hAnsi="Cambria Math" w:cs="Times New Roman"/>
                <w:sz w:val="24"/>
                <w:szCs w:val="24"/>
                <w:lang w:val="en-GB"/>
              </w:rPr>
            </m:ctrlPr>
          </m:sSubSupPr>
          <m:e>
            <m:r>
              <w:rPr>
                <w:rFonts w:ascii="Cambria Math" w:eastAsia="SimSun" w:hAnsi="Cambria Math" w:cs="Times New Roman"/>
                <w:sz w:val="24"/>
                <w:szCs w:val="24"/>
                <w:lang w:val="en-GB"/>
              </w:rPr>
              <m:t>T</m:t>
            </m:r>
          </m:e>
          <m:sub>
            <m:r>
              <w:rPr>
                <w:rFonts w:ascii="Cambria Math" w:eastAsia="SimSun" w:hAnsi="Cambria Math" w:cs="Times New Roman"/>
                <w:sz w:val="24"/>
                <w:szCs w:val="24"/>
                <w:lang w:val="en-GB"/>
              </w:rPr>
              <m:t>d</m:t>
            </m:r>
          </m:sub>
          <m:sup>
            <m:r>
              <w:rPr>
                <w:rFonts w:ascii="Cambria Math" w:eastAsia="SimSun" w:hAnsi="Cambria Math" w:cs="Times New Roman"/>
                <w:sz w:val="24"/>
                <w:szCs w:val="24"/>
                <w:lang w:val="en-GB"/>
              </w:rPr>
              <m:t>onset</m:t>
            </m:r>
          </m:sup>
        </m:sSubSup>
      </m:oMath>
      <w:r w:rsidRPr="00D003E1">
        <w:rPr>
          <w:rFonts w:ascii="Times New Roman" w:eastAsia="SimSun" w:hAnsi="Times New Roman" w:cs="Times New Roman"/>
          <w:sz w:val="24"/>
          <w:szCs w:val="24"/>
          <w:lang w:val="en-GB"/>
        </w:rPr>
        <w:t xml:space="preserve">), the maximum decomposition rate happens at 415 ºC ( </w:t>
      </w:r>
      <m:oMath>
        <m:sSubSup>
          <m:sSubSupPr>
            <m:ctrlPr>
              <w:rPr>
                <w:rFonts w:ascii="Cambria Math" w:eastAsia="SimSun" w:hAnsi="Cambria Math" w:cs="Times New Roman"/>
                <w:sz w:val="24"/>
                <w:szCs w:val="24"/>
                <w:lang w:val="en-GB"/>
              </w:rPr>
            </m:ctrlPr>
          </m:sSubSupPr>
          <m:e>
            <m:r>
              <w:rPr>
                <w:rFonts w:ascii="Cambria Math" w:eastAsia="SimSun" w:hAnsi="Cambria Math" w:cs="Times New Roman"/>
                <w:sz w:val="24"/>
                <w:szCs w:val="24"/>
                <w:lang w:val="en-GB"/>
              </w:rPr>
              <m:t>T</m:t>
            </m:r>
          </m:e>
          <m:sub>
            <m:r>
              <w:rPr>
                <w:rFonts w:ascii="Cambria Math" w:eastAsia="SimSun" w:hAnsi="Cambria Math" w:cs="Times New Roman"/>
                <w:sz w:val="24"/>
                <w:szCs w:val="24"/>
                <w:lang w:val="en-GB"/>
              </w:rPr>
              <m:t>d</m:t>
            </m:r>
          </m:sub>
          <m:sup>
            <m:r>
              <w:rPr>
                <w:rFonts w:ascii="Cambria Math" w:eastAsia="SimSun" w:hAnsi="Cambria Math" w:cs="Times New Roman"/>
                <w:sz w:val="24"/>
                <w:szCs w:val="24"/>
                <w:lang w:val="en-GB"/>
              </w:rPr>
              <m:t>peak</m:t>
            </m:r>
          </m:sup>
        </m:sSubSup>
      </m:oMath>
      <w:r w:rsidRPr="00D003E1">
        <w:rPr>
          <w:rFonts w:ascii="Times New Roman" w:eastAsia="SimSun" w:hAnsi="Times New Roman" w:cs="Times New Roman"/>
          <w:sz w:val="24"/>
          <w:szCs w:val="24"/>
          <w:lang w:val="en-GB"/>
        </w:rPr>
        <w:t xml:space="preserve">), and the 50% weight loss happens at 410 ºC </w:t>
      </w:r>
      <w:r w:rsidR="00D47B0A" w:rsidRPr="00D47B0A">
        <w:rPr>
          <w:rFonts w:ascii="Times New Roman" w:eastAsia="SimSun" w:hAnsi="Times New Roman" w:cs="Times New Roman"/>
          <w:sz w:val="24"/>
          <w:szCs w:val="24"/>
          <w:lang w:val="en-GB"/>
        </w:rPr>
        <w:t>(</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sidRPr="00D47B0A">
        <w:rPr>
          <w:rFonts w:ascii="Times New Roman" w:eastAsia="SimSun" w:hAnsi="Times New Roman" w:cs="Times New Roman"/>
          <w:sz w:val="24"/>
          <w:szCs w:val="24"/>
          <w:lang w:val="en-GB"/>
        </w:rPr>
        <w:t>)</w:t>
      </w:r>
      <w:r w:rsidRPr="00D47B0A">
        <w:rPr>
          <w:rFonts w:ascii="Times New Roman" w:eastAsia="SimSun" w:hAnsi="Times New Roman" w:cs="Times New Roman"/>
          <w:sz w:val="24"/>
          <w:szCs w:val="24"/>
          <w:lang w:val="en-GB"/>
        </w:rPr>
        <w:t xml:space="preserve"> </w:t>
      </w:r>
      <w:r w:rsidRPr="00D003E1">
        <w:rPr>
          <w:rFonts w:ascii="Times New Roman" w:eastAsia="SimSun" w:hAnsi="Times New Roman" w:cs="Times New Roman"/>
          <w:sz w:val="24"/>
          <w:szCs w:val="24"/>
          <w:lang w:val="en-GB"/>
        </w:rPr>
        <w:t xml:space="preserve">with a char yield of 0.0025 wt.% at 700 ºC. This is related to the decomposition of polymeric network of polymer. </w:t>
      </w:r>
      <m:oMath>
        <m:sSubSup>
          <m:sSubSupPr>
            <m:ctrlPr>
              <w:rPr>
                <w:rFonts w:ascii="Cambria Math" w:eastAsia="SimSun" w:hAnsi="Cambria Math" w:cs="Times New Roman"/>
                <w:sz w:val="24"/>
                <w:szCs w:val="24"/>
                <w:lang w:val="en-GB"/>
              </w:rPr>
            </m:ctrlPr>
          </m:sSubSupPr>
          <m:e>
            <m:r>
              <w:rPr>
                <w:rFonts w:ascii="Cambria Math" w:eastAsia="SimSun" w:hAnsi="Cambria Math" w:cs="Times New Roman"/>
                <w:sz w:val="24"/>
                <w:szCs w:val="24"/>
                <w:lang w:val="en-GB"/>
              </w:rPr>
              <m:t>T</m:t>
            </m:r>
          </m:e>
          <m:sub>
            <m:r>
              <w:rPr>
                <w:rFonts w:ascii="Cambria Math" w:eastAsia="SimSun" w:hAnsi="Cambria Math" w:cs="Times New Roman"/>
                <w:sz w:val="24"/>
                <w:szCs w:val="24"/>
                <w:lang w:val="en-GB"/>
              </w:rPr>
              <m:t>d</m:t>
            </m:r>
          </m:sub>
          <m:sup>
            <m:r>
              <w:rPr>
                <w:rFonts w:ascii="Cambria Math" w:eastAsia="SimSun" w:hAnsi="Cambria Math" w:cs="Times New Roman"/>
                <w:sz w:val="24"/>
                <w:szCs w:val="24"/>
                <w:lang w:val="en-GB"/>
              </w:rPr>
              <m:t>onset</m:t>
            </m:r>
          </m:sup>
        </m:sSubSup>
      </m:oMath>
      <w:r w:rsidRPr="00D003E1">
        <w:rPr>
          <w:rFonts w:ascii="Times New Roman" w:eastAsia="SimSun" w:hAnsi="Times New Roman" w:cs="Times New Roman"/>
          <w:sz w:val="24"/>
          <w:szCs w:val="24"/>
          <w:lang w:val="en-GB"/>
        </w:rPr>
        <w:t xml:space="preserve"> </w:t>
      </w:r>
      <w:r w:rsidR="001E7B6A" w:rsidRPr="00D003E1">
        <w:rPr>
          <w:rFonts w:ascii="Times New Roman" w:eastAsia="SimSun" w:hAnsi="Times New Roman" w:cs="Times New Roman"/>
          <w:sz w:val="24"/>
          <w:szCs w:val="24"/>
          <w:lang w:val="en-GB"/>
        </w:rPr>
        <w:t>Increases</w:t>
      </w:r>
      <w:r w:rsidRPr="00D003E1">
        <w:rPr>
          <w:rFonts w:ascii="Times New Roman" w:eastAsia="SimSun" w:hAnsi="Times New Roman" w:cs="Times New Roman"/>
          <w:sz w:val="24"/>
          <w:szCs w:val="24"/>
          <w:lang w:val="en-GB"/>
        </w:rPr>
        <w:t xml:space="preserve"> gradually with the increasing GO content, and the highest </w:t>
      </w:r>
      <m:oMath>
        <m:sSubSup>
          <m:sSubSupPr>
            <m:ctrlPr>
              <w:rPr>
                <w:rFonts w:ascii="Cambria Math" w:eastAsia="SimSun" w:hAnsi="Cambria Math" w:cs="Times New Roman"/>
                <w:sz w:val="24"/>
                <w:szCs w:val="24"/>
                <w:lang w:val="en-GB"/>
              </w:rPr>
            </m:ctrlPr>
          </m:sSubSupPr>
          <m:e>
            <m:r>
              <w:rPr>
                <w:rFonts w:ascii="Cambria Math" w:eastAsia="SimSun" w:hAnsi="Cambria Math" w:cs="Times New Roman"/>
                <w:sz w:val="24"/>
                <w:szCs w:val="24"/>
                <w:lang w:val="en-GB"/>
              </w:rPr>
              <m:t>T</m:t>
            </m:r>
          </m:e>
          <m:sub>
            <m:r>
              <w:rPr>
                <w:rFonts w:ascii="Cambria Math" w:eastAsia="SimSun" w:hAnsi="Cambria Math" w:cs="Times New Roman"/>
                <w:sz w:val="24"/>
                <w:szCs w:val="24"/>
                <w:lang w:val="en-GB"/>
              </w:rPr>
              <m:t>d</m:t>
            </m:r>
          </m:sub>
          <m:sup>
            <m:r>
              <w:rPr>
                <w:rFonts w:ascii="Cambria Math" w:eastAsia="SimSun" w:hAnsi="Cambria Math" w:cs="Times New Roman"/>
                <w:sz w:val="24"/>
                <w:szCs w:val="24"/>
                <w:lang w:val="en-GB"/>
              </w:rPr>
              <m:t>onset</m:t>
            </m:r>
          </m:sup>
        </m:sSubSup>
      </m:oMath>
      <w:r w:rsidRPr="00D003E1">
        <w:rPr>
          <w:rFonts w:ascii="Times New Roman" w:eastAsia="SimSun" w:hAnsi="Times New Roman" w:cs="Times New Roman"/>
          <w:sz w:val="24"/>
          <w:szCs w:val="24"/>
          <w:lang w:val="en-GB"/>
        </w:rPr>
        <w:t xml:space="preserve"> is observed at 0.1 wt.%, which is 13 </w:t>
      </w:r>
      <w:r w:rsidRPr="00D003E1">
        <w:rPr>
          <w:rFonts w:ascii="Times New Roman" w:eastAsia="SimSun" w:hAnsi="Times New Roman" w:cs="Times New Roman"/>
          <w:sz w:val="24"/>
          <w:szCs w:val="24"/>
          <w:vertAlign w:val="superscript"/>
          <w:lang w:val="en-GB"/>
        </w:rPr>
        <w:t>o</w:t>
      </w:r>
      <w:r w:rsidRPr="00D003E1">
        <w:rPr>
          <w:rFonts w:ascii="Times New Roman" w:eastAsia="SimSun" w:hAnsi="Times New Roman" w:cs="Times New Roman"/>
          <w:sz w:val="24"/>
          <w:szCs w:val="24"/>
          <w:lang w:val="en-GB"/>
        </w:rPr>
        <w:t xml:space="preserve">C higher over neat UPR. </w:t>
      </w:r>
      <w:r w:rsidRPr="007454C7">
        <w:rPr>
          <w:rFonts w:ascii="Times New Roman" w:eastAsia="SimSun" w:hAnsi="Times New Roman" w:cs="Times New Roman"/>
          <w:sz w:val="24"/>
          <w:szCs w:val="24"/>
          <w:lang w:val="en-GB"/>
        </w:rPr>
        <w:t>This is due to the presence of high thermally stable GO which restricts the mobility of polymer chains and has strong interfacial interaction with UPR</w:t>
      </w:r>
      <w:r w:rsidR="00FA6A20" w:rsidRPr="007454C7">
        <w:rPr>
          <w:rFonts w:ascii="Times New Roman" w:eastAsia="SimSun" w:hAnsi="Times New Roman" w:cs="Times New Roman"/>
          <w:sz w:val="24"/>
          <w:szCs w:val="24"/>
          <w:lang w:val="en-GB"/>
        </w:rPr>
        <w:t>, which is proved by the increased T</w:t>
      </w:r>
      <w:r w:rsidR="00FA6A20" w:rsidRPr="007454C7">
        <w:rPr>
          <w:rFonts w:ascii="Times New Roman" w:eastAsia="SimSun" w:hAnsi="Times New Roman" w:cs="Times New Roman"/>
          <w:i/>
          <w:sz w:val="24"/>
          <w:szCs w:val="24"/>
          <w:vertAlign w:val="subscript"/>
          <w:lang w:val="en-GB"/>
        </w:rPr>
        <w:t>g</w:t>
      </w:r>
      <w:r w:rsidR="00FA6A20" w:rsidRPr="007454C7">
        <w:rPr>
          <w:rFonts w:ascii="Times New Roman" w:eastAsia="SimSun" w:hAnsi="Times New Roman" w:cs="Times New Roman"/>
          <w:sz w:val="24"/>
          <w:szCs w:val="24"/>
          <w:lang w:val="en-GB"/>
        </w:rPr>
        <w:t xml:space="preserve"> via DMA test</w:t>
      </w:r>
      <w:r w:rsidRPr="007454C7">
        <w:rPr>
          <w:rFonts w:ascii="Times New Roman" w:eastAsia="SimSun" w:hAnsi="Times New Roman" w:cs="Times New Roman"/>
          <w:sz w:val="24"/>
          <w:szCs w:val="24"/>
          <w:lang w:val="en-GB"/>
        </w:rPr>
        <w:t xml:space="preserve">. A slight fluctuation (±2 ºC) is observed on </w:t>
      </w:r>
      <m:oMath>
        <m:sSubSup>
          <m:sSubSupPr>
            <m:ctrlPr>
              <w:rPr>
                <w:rFonts w:ascii="Cambria Math" w:eastAsia="SimSun" w:hAnsi="Cambria Math" w:cs="Times New Roman"/>
                <w:sz w:val="24"/>
                <w:szCs w:val="24"/>
                <w:lang w:val="en-GB"/>
              </w:rPr>
            </m:ctrlPr>
          </m:sSubSupPr>
          <m:e>
            <m:r>
              <w:rPr>
                <w:rFonts w:ascii="Cambria Math" w:eastAsia="SimSun" w:hAnsi="Cambria Math" w:cs="Times New Roman"/>
                <w:sz w:val="24"/>
                <w:szCs w:val="24"/>
                <w:lang w:val="en-GB"/>
              </w:rPr>
              <m:t>T</m:t>
            </m:r>
          </m:e>
          <m:sub>
            <m:r>
              <w:rPr>
                <w:rFonts w:ascii="Cambria Math" w:eastAsia="SimSun" w:hAnsi="Cambria Math" w:cs="Times New Roman"/>
                <w:sz w:val="24"/>
                <w:szCs w:val="24"/>
                <w:lang w:val="en-GB"/>
              </w:rPr>
              <m:t>d</m:t>
            </m:r>
          </m:sub>
          <m:sup>
            <m:r>
              <w:rPr>
                <w:rFonts w:ascii="Cambria Math" w:eastAsia="SimSun" w:hAnsi="Cambria Math" w:cs="Times New Roman"/>
                <w:sz w:val="24"/>
                <w:szCs w:val="24"/>
                <w:lang w:val="en-GB"/>
              </w:rPr>
              <m:t>onset</m:t>
            </m:r>
          </m:sup>
        </m:sSubSup>
      </m:oMath>
      <w:r w:rsidRPr="007454C7">
        <w:rPr>
          <w:rFonts w:ascii="Times New Roman" w:eastAsia="SimSun" w:hAnsi="Times New Roman" w:cs="Times New Roman"/>
          <w:sz w:val="24"/>
          <w:szCs w:val="24"/>
          <w:lang w:val="en-GB"/>
        </w:rPr>
        <w:t xml:space="preserve"> and</w:t>
      </w:r>
      <w:r w:rsidR="00D47B0A" w:rsidRPr="007454C7">
        <w:rPr>
          <w:rFonts w:ascii="Times New Roman" w:eastAsia="SimSun" w:hAnsi="Times New Roman" w:cs="Times New Roman"/>
          <w:sz w:val="24"/>
          <w:szCs w:val="24"/>
          <w:lang w:val="en-GB"/>
        </w:rPr>
        <w:t xml:space="preserve"> </w:t>
      </w:r>
      <w:r w:rsidRPr="007454C7">
        <w:rPr>
          <w:rFonts w:ascii="Times New Roman" w:eastAsia="SimSun" w:hAnsi="Times New Roman" w:cs="Times New Roman"/>
          <w:sz w:val="24"/>
          <w:szCs w:val="24"/>
          <w:lang w:val="en-GB"/>
        </w:rPr>
        <w:t xml:space="preserve">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Pr="007454C7">
        <w:rPr>
          <w:rFonts w:ascii="Times New Roman" w:eastAsia="SimSun" w:hAnsi="Times New Roman" w:cs="Times New Roman"/>
          <w:sz w:val="24"/>
          <w:szCs w:val="24"/>
          <w:lang w:val="en-GB"/>
        </w:rPr>
        <w:t xml:space="preserve">, which is negligible. Char yield is the final residual weight which cannot further decompose. From Table 6, the char yield increases with addition of GO, and the highest char yield occurs at 0.01 wt.%, which is 8.69 wt.%. The increment on char yield </w:t>
      </w:r>
      <w:r w:rsidR="00E42887" w:rsidRPr="007454C7">
        <w:rPr>
          <w:rFonts w:ascii="Times New Roman" w:eastAsia="SimSun" w:hAnsi="Times New Roman" w:cs="Times New Roman"/>
          <w:sz w:val="24"/>
          <w:szCs w:val="24"/>
          <w:lang w:val="en-GB"/>
        </w:rPr>
        <w:t xml:space="preserve">at 0.01 wt.% </w:t>
      </w:r>
      <w:r w:rsidRPr="007454C7">
        <w:rPr>
          <w:rFonts w:ascii="Times New Roman" w:eastAsia="SimSun" w:hAnsi="Times New Roman" w:cs="Times New Roman"/>
          <w:sz w:val="24"/>
          <w:szCs w:val="24"/>
          <w:lang w:val="en-GB"/>
        </w:rPr>
        <w:t xml:space="preserve">is presumably because </w:t>
      </w:r>
      <w:r w:rsidR="00E42887" w:rsidRPr="007454C7">
        <w:rPr>
          <w:rFonts w:ascii="Times New Roman" w:eastAsia="SimSun" w:hAnsi="Times New Roman" w:cs="Times New Roman"/>
          <w:sz w:val="24"/>
          <w:szCs w:val="24"/>
          <w:lang w:val="en-GB"/>
        </w:rPr>
        <w:t xml:space="preserve">that </w:t>
      </w:r>
      <w:r w:rsidRPr="007454C7">
        <w:rPr>
          <w:rFonts w:ascii="Times New Roman" w:eastAsia="SimSun" w:hAnsi="Times New Roman" w:cs="Times New Roman"/>
          <w:sz w:val="24"/>
          <w:szCs w:val="24"/>
          <w:lang w:val="en-GB"/>
        </w:rPr>
        <w:t xml:space="preserve">UPR chains are intercalated </w:t>
      </w:r>
      <w:r w:rsidR="00E42887" w:rsidRPr="007454C7">
        <w:rPr>
          <w:rFonts w:ascii="Times New Roman" w:eastAsia="SimSun" w:hAnsi="Times New Roman" w:cs="Times New Roman"/>
          <w:sz w:val="24"/>
          <w:szCs w:val="24"/>
          <w:lang w:val="en-GB"/>
        </w:rPr>
        <w:t xml:space="preserve">evenly </w:t>
      </w:r>
      <w:r w:rsidRPr="007454C7">
        <w:rPr>
          <w:rFonts w:ascii="Times New Roman" w:eastAsia="SimSun" w:hAnsi="Times New Roman" w:cs="Times New Roman"/>
          <w:sz w:val="24"/>
          <w:szCs w:val="24"/>
          <w:lang w:val="en-GB"/>
        </w:rPr>
        <w:t>into GO sheets</w:t>
      </w:r>
      <w:r w:rsidR="00E42887" w:rsidRPr="007454C7">
        <w:rPr>
          <w:rFonts w:ascii="Times New Roman" w:eastAsia="SimSun" w:hAnsi="Times New Roman" w:cs="Times New Roman"/>
          <w:sz w:val="24"/>
          <w:szCs w:val="24"/>
          <w:lang w:val="en-GB"/>
        </w:rPr>
        <w:t xml:space="preserve"> due to the homogeneous dispersion </w:t>
      </w:r>
      <w:r w:rsidRPr="007454C7">
        <w:rPr>
          <w:rFonts w:ascii="Times New Roman" w:eastAsia="SimSun" w:hAnsi="Times New Roman" w:cs="Times New Roman"/>
          <w:sz w:val="24"/>
          <w:szCs w:val="24"/>
          <w:lang w:val="en-GB"/>
        </w:rPr>
        <w:t xml:space="preserve">, and some of them cannot be decomposed and released under the protection of GO sheets. </w:t>
      </w:r>
      <w:r w:rsidR="00E42887" w:rsidRPr="007454C7">
        <w:rPr>
          <w:rFonts w:ascii="Times New Roman" w:eastAsia="SimSun" w:hAnsi="Times New Roman" w:cs="Times New Roman"/>
          <w:sz w:val="24"/>
          <w:szCs w:val="24"/>
          <w:lang w:val="en-GB"/>
        </w:rPr>
        <w:t>While, 0.1 wt.% UPR/GO composite shows the lowe</w:t>
      </w:r>
      <w:r w:rsidR="00A759D4" w:rsidRPr="007454C7">
        <w:rPr>
          <w:rFonts w:ascii="Times New Roman" w:eastAsia="SimSun" w:hAnsi="Times New Roman" w:cs="Times New Roman"/>
          <w:sz w:val="24"/>
          <w:szCs w:val="24"/>
          <w:lang w:val="en-GB"/>
        </w:rPr>
        <w:t>r</w:t>
      </w:r>
      <w:r w:rsidR="00E42887" w:rsidRPr="007454C7">
        <w:rPr>
          <w:rFonts w:ascii="Times New Roman" w:eastAsia="SimSun" w:hAnsi="Times New Roman" w:cs="Times New Roman"/>
          <w:sz w:val="24"/>
          <w:szCs w:val="24"/>
          <w:lang w:val="en-GB"/>
        </w:rPr>
        <w:t xml:space="preserve"> char yield of 0.86 due to </w:t>
      </w:r>
      <w:r w:rsidR="00A759D4" w:rsidRPr="007454C7">
        <w:rPr>
          <w:rFonts w:ascii="Times New Roman" w:eastAsia="SimSun" w:hAnsi="Times New Roman" w:cs="Times New Roman"/>
          <w:sz w:val="24"/>
          <w:szCs w:val="24"/>
          <w:lang w:val="en-GB"/>
        </w:rPr>
        <w:t xml:space="preserve">uneven intercalation of UPR chains into GO sheets caused by aggregation. </w:t>
      </w:r>
      <w:r w:rsidR="00E42887" w:rsidRPr="007454C7">
        <w:rPr>
          <w:rFonts w:ascii="Times New Roman" w:eastAsia="SimSun" w:hAnsi="Times New Roman" w:cs="Times New Roman"/>
          <w:sz w:val="24"/>
          <w:szCs w:val="24"/>
          <w:lang w:val="en-GB"/>
        </w:rPr>
        <w:t xml:space="preserve"> </w:t>
      </w:r>
      <w:r w:rsidRPr="007454C7">
        <w:rPr>
          <w:rFonts w:ascii="Times New Roman" w:eastAsia="SimSun" w:hAnsi="Times New Roman" w:cs="Times New Roman"/>
          <w:sz w:val="24"/>
          <w:szCs w:val="24"/>
          <w:lang w:val="en-GB"/>
        </w:rPr>
        <w:t>Hence, the thermal stability of UPR is enhanced by addition of GO.</w:t>
      </w:r>
    </w:p>
    <w:p w14:paraId="78718C6D" w14:textId="4A71EB08" w:rsidR="00D003E1" w:rsidRDefault="00D003E1" w:rsidP="00D003E1">
      <w:pPr>
        <w:spacing w:after="0" w:line="480" w:lineRule="auto"/>
        <w:jc w:val="both"/>
        <w:rPr>
          <w:rFonts w:ascii="Times New Roman" w:eastAsia="SimSun" w:hAnsi="Times New Roman" w:cs="Times New Roman"/>
          <w:sz w:val="24"/>
          <w:szCs w:val="24"/>
          <w:lang w:val="en-GB"/>
        </w:rPr>
      </w:pPr>
    </w:p>
    <w:p w14:paraId="0F527A23" w14:textId="643288C5" w:rsidR="00492AD8" w:rsidRDefault="00492AD8" w:rsidP="00D003E1">
      <w:pPr>
        <w:spacing w:after="0" w:line="480" w:lineRule="auto"/>
        <w:jc w:val="both"/>
        <w:rPr>
          <w:rFonts w:ascii="Times New Roman" w:eastAsia="SimSun" w:hAnsi="Times New Roman" w:cs="Times New Roman"/>
          <w:sz w:val="24"/>
          <w:szCs w:val="24"/>
          <w:lang w:val="en-GB"/>
        </w:rPr>
      </w:pPr>
    </w:p>
    <w:p w14:paraId="01B5D233" w14:textId="77777777" w:rsidR="00492AD8" w:rsidRPr="00D003E1" w:rsidRDefault="00492AD8" w:rsidP="00D003E1">
      <w:pPr>
        <w:spacing w:after="0" w:line="480" w:lineRule="auto"/>
        <w:jc w:val="both"/>
        <w:rPr>
          <w:rFonts w:ascii="Times New Roman" w:eastAsia="SimSun" w:hAnsi="Times New Roman" w:cs="Times New Roman"/>
          <w:sz w:val="24"/>
          <w:szCs w:val="24"/>
          <w:lang w:val="en-GB"/>
        </w:rPr>
      </w:pPr>
    </w:p>
    <w:p w14:paraId="37252BCE" w14:textId="77777777" w:rsidR="00D003E1" w:rsidRPr="00D003E1" w:rsidRDefault="00D003E1" w:rsidP="00492AD8">
      <w:pPr>
        <w:spacing w:after="0" w:line="480" w:lineRule="auto"/>
        <w:ind w:hanging="567"/>
        <w:rPr>
          <w:rFonts w:ascii="Times New Roman" w:eastAsia="SimSun" w:hAnsi="Times New Roman" w:cs="Times New Roman"/>
          <w:sz w:val="24"/>
          <w:lang w:val="en-GB"/>
        </w:rPr>
      </w:pPr>
      <w:r w:rsidRPr="00D003E1">
        <w:rPr>
          <w:rFonts w:ascii="Times New Roman" w:eastAsia="SimSun" w:hAnsi="Times New Roman" w:cs="Times New Roman"/>
          <w:noProof/>
          <w:sz w:val="24"/>
          <w:lang w:val="en-GB"/>
        </w:rPr>
        <w:drawing>
          <wp:inline distT="0" distB="0" distL="0" distR="0" wp14:anchorId="0C056CCE" wp14:editId="109D8F5B">
            <wp:extent cx="6609542" cy="2583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90805" cy="2614758"/>
                    </a:xfrm>
                    <a:prstGeom prst="rect">
                      <a:avLst/>
                    </a:prstGeom>
                    <a:noFill/>
                  </pic:spPr>
                </pic:pic>
              </a:graphicData>
            </a:graphic>
          </wp:inline>
        </w:drawing>
      </w:r>
    </w:p>
    <w:p w14:paraId="65E474BE" w14:textId="75705C76" w:rsidR="00D003E1" w:rsidRDefault="00492AD8" w:rsidP="00492AD8">
      <w:pPr>
        <w:pStyle w:val="Caption"/>
        <w:ind w:firstLine="0"/>
        <w:rPr>
          <w:rFonts w:eastAsia="SimSun" w:cs="Times New Roman"/>
          <w:bCs/>
          <w:szCs w:val="24"/>
          <w:lang w:val="en-GB"/>
        </w:rPr>
      </w:pPr>
      <w:bookmarkStart w:id="105" w:name="_Toc502661662"/>
      <w:r>
        <w:t xml:space="preserve">Figure </w:t>
      </w:r>
      <w:r w:rsidR="007454C7">
        <w:t>3</w:t>
      </w:r>
      <w:r w:rsidR="00EF086B">
        <w:t>.</w:t>
      </w:r>
      <w:r w:rsidR="003D1E0D">
        <w:t>8</w:t>
      </w:r>
      <w:r>
        <w:t xml:space="preserve">. </w:t>
      </w:r>
      <w:r w:rsidR="00D003E1" w:rsidRPr="00D003E1">
        <w:rPr>
          <w:rFonts w:eastAsia="SimSun" w:cs="Times New Roman"/>
          <w:bCs/>
          <w:szCs w:val="24"/>
          <w:lang w:val="en-GB"/>
        </w:rPr>
        <w:t>Thermal properties of UPR and UPR/GO nanoco</w:t>
      </w:r>
      <w:r w:rsidR="0068275D">
        <w:rPr>
          <w:rFonts w:eastAsia="SimSun" w:cs="Times New Roman"/>
          <w:bCs/>
          <w:szCs w:val="24"/>
          <w:lang w:val="en-GB"/>
        </w:rPr>
        <w:t>mposites: (a) TGA, and (b) DTG.</w:t>
      </w:r>
      <w:bookmarkEnd w:id="105"/>
    </w:p>
    <w:p w14:paraId="1FB7CAE1" w14:textId="77777777" w:rsidR="0068275D" w:rsidRPr="0068275D" w:rsidRDefault="0068275D" w:rsidP="0068275D">
      <w:pPr>
        <w:spacing w:after="0" w:line="480" w:lineRule="auto"/>
        <w:jc w:val="center"/>
        <w:rPr>
          <w:rFonts w:ascii="Times New Roman" w:eastAsia="SimSun" w:hAnsi="Times New Roman" w:cs="Times New Roman"/>
          <w:bCs/>
          <w:sz w:val="24"/>
          <w:szCs w:val="24"/>
          <w:lang w:val="en-GB"/>
        </w:rPr>
      </w:pPr>
    </w:p>
    <w:p w14:paraId="085F8AA6" w14:textId="0A31C8E8" w:rsidR="00D003E1" w:rsidRPr="00D003E1" w:rsidRDefault="007454C7" w:rsidP="00D003E1">
      <w:pPr>
        <w:spacing w:after="0" w:line="360" w:lineRule="auto"/>
        <w:rPr>
          <w:rFonts w:ascii="Times New Roman" w:eastAsia="SimSun" w:hAnsi="Times New Roman" w:cs="Times New Roman"/>
          <w:bCs/>
          <w:sz w:val="24"/>
          <w:szCs w:val="18"/>
          <w:lang w:val="en-GB"/>
        </w:rPr>
      </w:pPr>
      <w:r>
        <w:rPr>
          <w:rFonts w:ascii="Times New Roman" w:eastAsia="SimSun" w:hAnsi="Times New Roman" w:cs="Times New Roman"/>
          <w:b/>
          <w:bCs/>
          <w:sz w:val="24"/>
          <w:szCs w:val="18"/>
          <w:lang w:val="en-GB"/>
        </w:rPr>
        <w:t>Table 3</w:t>
      </w:r>
      <w:r w:rsidR="003D1E0D">
        <w:rPr>
          <w:rFonts w:ascii="Times New Roman" w:eastAsia="SimSun" w:hAnsi="Times New Roman" w:cs="Times New Roman"/>
          <w:b/>
          <w:bCs/>
          <w:sz w:val="24"/>
          <w:szCs w:val="18"/>
          <w:lang w:val="en-GB"/>
        </w:rPr>
        <w:t>.5</w:t>
      </w:r>
      <w:r w:rsidR="00D003E1" w:rsidRPr="00D003E1">
        <w:rPr>
          <w:rFonts w:ascii="Times New Roman" w:eastAsia="SimSun" w:hAnsi="Times New Roman" w:cs="Times New Roman"/>
          <w:b/>
          <w:bCs/>
          <w:sz w:val="24"/>
          <w:szCs w:val="18"/>
          <w:lang w:val="en-GB"/>
        </w:rPr>
        <w:t>.</w:t>
      </w:r>
      <w:r w:rsidR="00D003E1" w:rsidRPr="00D003E1">
        <w:rPr>
          <w:rFonts w:ascii="Times New Roman" w:eastAsia="SimSun" w:hAnsi="Times New Roman" w:cs="Times New Roman"/>
          <w:bCs/>
          <w:sz w:val="24"/>
          <w:szCs w:val="18"/>
          <w:lang w:val="en-GB"/>
        </w:rPr>
        <w:t xml:space="preserve"> Thermal</w:t>
      </w:r>
      <w:r w:rsidR="00D003E1" w:rsidRPr="00D003E1">
        <w:rPr>
          <w:rFonts w:ascii="Times New Roman" w:eastAsia="SimSun" w:hAnsi="Times New Roman" w:cs="Times New Roman" w:hint="eastAsia"/>
          <w:bCs/>
          <w:sz w:val="24"/>
          <w:szCs w:val="18"/>
          <w:lang w:val="en-GB"/>
        </w:rPr>
        <w:t xml:space="preserve"> properties of post cured UPR and its GO composites</w:t>
      </w:r>
      <w:r w:rsidR="00D003E1" w:rsidRPr="00D003E1">
        <w:rPr>
          <w:rFonts w:ascii="Times New Roman" w:eastAsia="SimSun" w:hAnsi="Times New Roman" w:cs="Times New Roman"/>
          <w:bCs/>
          <w:sz w:val="24"/>
          <w:szCs w:val="18"/>
          <w:lang w:val="en-GB"/>
        </w:rPr>
        <w:t>.</w:t>
      </w:r>
    </w:p>
    <w:tbl>
      <w:tblPr>
        <w:tblStyle w:val="TableGrid"/>
        <w:tblW w:w="872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25"/>
        <w:gridCol w:w="1800"/>
        <w:gridCol w:w="1800"/>
        <w:gridCol w:w="1350"/>
        <w:gridCol w:w="2250"/>
      </w:tblGrid>
      <w:tr w:rsidR="00304FC1" w:rsidRPr="00304FC1" w14:paraId="3521AC7C" w14:textId="77777777" w:rsidTr="001E7B6A">
        <w:tc>
          <w:tcPr>
            <w:tcW w:w="1525" w:type="dxa"/>
            <w:tcBorders>
              <w:top w:val="single" w:sz="4" w:space="0" w:color="auto"/>
              <w:left w:val="nil"/>
              <w:bottom w:val="single" w:sz="4" w:space="0" w:color="auto"/>
              <w:right w:val="nil"/>
            </w:tcBorders>
            <w:vAlign w:val="center"/>
          </w:tcPr>
          <w:p w14:paraId="1E9D0A5D" w14:textId="77777777"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Samples</w:t>
            </w:r>
          </w:p>
        </w:tc>
        <w:tc>
          <w:tcPr>
            <w:tcW w:w="1800" w:type="dxa"/>
            <w:tcBorders>
              <w:top w:val="single" w:sz="4" w:space="0" w:color="auto"/>
              <w:left w:val="nil"/>
              <w:bottom w:val="single" w:sz="4" w:space="0" w:color="auto"/>
              <w:right w:val="nil"/>
            </w:tcBorders>
            <w:vAlign w:val="center"/>
          </w:tcPr>
          <w:p w14:paraId="09A364F6" w14:textId="77777777" w:rsidR="00304FC1" w:rsidRPr="0068275D" w:rsidRDefault="00B72F48" w:rsidP="00304FC1">
            <w:pPr>
              <w:spacing w:line="48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r>
                <w:rPr>
                  <w:rFonts w:ascii="Cambria Math" w:hAnsi="Cambria Math" w:cs="Times New Roman"/>
                  <w:sz w:val="24"/>
                  <w:szCs w:val="24"/>
                </w:rPr>
                <m:t xml:space="preserve"> </m:t>
              </m:r>
            </m:oMath>
            <w:r w:rsidR="00304FC1" w:rsidRPr="0068275D">
              <w:rPr>
                <w:rFonts w:ascii="Times New Roman" w:hAnsi="Times New Roman" w:cs="Times New Roman"/>
                <w:sz w:val="24"/>
                <w:szCs w:val="24"/>
              </w:rPr>
              <w:t>/  °C</w:t>
            </w:r>
          </w:p>
        </w:tc>
        <w:tc>
          <w:tcPr>
            <w:tcW w:w="1800" w:type="dxa"/>
            <w:tcBorders>
              <w:top w:val="single" w:sz="4" w:space="0" w:color="auto"/>
              <w:left w:val="nil"/>
              <w:bottom w:val="single" w:sz="4" w:space="0" w:color="auto"/>
              <w:right w:val="nil"/>
            </w:tcBorders>
            <w:vAlign w:val="center"/>
          </w:tcPr>
          <w:p w14:paraId="5C64D64E" w14:textId="77777777" w:rsidR="00304FC1" w:rsidRPr="0068275D" w:rsidRDefault="00B72F48" w:rsidP="00304FC1">
            <w:pPr>
              <w:spacing w:line="48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00304FC1" w:rsidRPr="0068275D">
              <w:rPr>
                <w:rFonts w:ascii="Times New Roman" w:hAnsi="Times New Roman" w:cs="Times New Roman"/>
                <w:sz w:val="24"/>
                <w:szCs w:val="24"/>
              </w:rPr>
              <w:t xml:space="preserve"> / °C</w:t>
            </w:r>
          </w:p>
        </w:tc>
        <w:tc>
          <w:tcPr>
            <w:tcW w:w="1350" w:type="dxa"/>
            <w:tcBorders>
              <w:top w:val="single" w:sz="4" w:space="0" w:color="auto"/>
              <w:left w:val="nil"/>
              <w:bottom w:val="single" w:sz="4" w:space="0" w:color="auto"/>
              <w:right w:val="nil"/>
            </w:tcBorders>
            <w:vAlign w:val="center"/>
          </w:tcPr>
          <w:p w14:paraId="237E5D3B" w14:textId="69CB759F" w:rsidR="00304FC1" w:rsidRPr="0068275D" w:rsidRDefault="00B72F48" w:rsidP="00304FC1">
            <w:pPr>
              <w:spacing w:line="48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sidRPr="001A5452">
              <w:rPr>
                <w:rFonts w:ascii="Times New Roman" w:hAnsi="Times New Roman" w:cs="Times New Roman"/>
                <w:szCs w:val="24"/>
              </w:rPr>
              <w:t xml:space="preserve"> / °C</w:t>
            </w:r>
          </w:p>
        </w:tc>
        <w:tc>
          <w:tcPr>
            <w:tcW w:w="2250" w:type="dxa"/>
            <w:tcBorders>
              <w:top w:val="single" w:sz="4" w:space="0" w:color="auto"/>
              <w:left w:val="nil"/>
              <w:bottom w:val="single" w:sz="4" w:space="0" w:color="auto"/>
              <w:right w:val="nil"/>
            </w:tcBorders>
            <w:vAlign w:val="center"/>
          </w:tcPr>
          <w:p w14:paraId="41CB73AE" w14:textId="77777777"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Char yield / wt.%</w:t>
            </w:r>
          </w:p>
        </w:tc>
      </w:tr>
      <w:tr w:rsidR="00304FC1" w:rsidRPr="00304FC1" w14:paraId="15F95DEB" w14:textId="77777777" w:rsidTr="001E7B6A">
        <w:tc>
          <w:tcPr>
            <w:tcW w:w="1525" w:type="dxa"/>
            <w:tcBorders>
              <w:top w:val="single" w:sz="4" w:space="0" w:color="auto"/>
              <w:left w:val="nil"/>
              <w:bottom w:val="nil"/>
              <w:right w:val="nil"/>
            </w:tcBorders>
          </w:tcPr>
          <w:p w14:paraId="67E2D574" w14:textId="77777777"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UPR</w:t>
            </w:r>
          </w:p>
        </w:tc>
        <w:tc>
          <w:tcPr>
            <w:tcW w:w="1800" w:type="dxa"/>
            <w:tcBorders>
              <w:top w:val="single" w:sz="4" w:space="0" w:color="auto"/>
              <w:left w:val="nil"/>
              <w:bottom w:val="nil"/>
              <w:right w:val="nil"/>
            </w:tcBorders>
          </w:tcPr>
          <w:p w14:paraId="0423BD21" w14:textId="5A0B72E8"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362</w:t>
            </w:r>
            <w:r w:rsidR="00016A1F">
              <w:rPr>
                <w:rFonts w:ascii="Times New Roman" w:hAnsi="Times New Roman" w:cs="Times New Roman"/>
                <w:sz w:val="24"/>
                <w:szCs w:val="24"/>
              </w:rPr>
              <w:t>±2</w:t>
            </w:r>
          </w:p>
        </w:tc>
        <w:tc>
          <w:tcPr>
            <w:tcW w:w="1800" w:type="dxa"/>
            <w:tcBorders>
              <w:top w:val="single" w:sz="4" w:space="0" w:color="auto"/>
              <w:left w:val="nil"/>
              <w:bottom w:val="nil"/>
              <w:right w:val="nil"/>
            </w:tcBorders>
          </w:tcPr>
          <w:p w14:paraId="6A1B435F" w14:textId="1B6B3C58"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415</w:t>
            </w:r>
            <w:r w:rsidR="005E169A">
              <w:rPr>
                <w:rFonts w:ascii="Times New Roman" w:hAnsi="Times New Roman" w:cs="Times New Roman"/>
                <w:sz w:val="24"/>
                <w:szCs w:val="24"/>
              </w:rPr>
              <w:t>±1</w:t>
            </w:r>
          </w:p>
        </w:tc>
        <w:tc>
          <w:tcPr>
            <w:tcW w:w="1350" w:type="dxa"/>
            <w:tcBorders>
              <w:top w:val="single" w:sz="4" w:space="0" w:color="auto"/>
              <w:left w:val="nil"/>
              <w:bottom w:val="nil"/>
              <w:right w:val="nil"/>
            </w:tcBorders>
          </w:tcPr>
          <w:p w14:paraId="32F4900B" w14:textId="624F7E5E"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410</w:t>
            </w:r>
            <w:r w:rsidR="005E169A">
              <w:rPr>
                <w:rFonts w:ascii="Times New Roman" w:hAnsi="Times New Roman" w:cs="Times New Roman"/>
                <w:sz w:val="24"/>
                <w:szCs w:val="24"/>
              </w:rPr>
              <w:t>±2</w:t>
            </w:r>
          </w:p>
        </w:tc>
        <w:tc>
          <w:tcPr>
            <w:tcW w:w="2250" w:type="dxa"/>
            <w:tcBorders>
              <w:top w:val="single" w:sz="4" w:space="0" w:color="auto"/>
              <w:left w:val="nil"/>
              <w:bottom w:val="nil"/>
              <w:right w:val="nil"/>
            </w:tcBorders>
          </w:tcPr>
          <w:p w14:paraId="6B46CB7D" w14:textId="5A5026B9" w:rsidR="00304FC1" w:rsidRPr="007E33D9" w:rsidRDefault="00304FC1" w:rsidP="005E169A">
            <w:pPr>
              <w:spacing w:line="480" w:lineRule="auto"/>
              <w:jc w:val="center"/>
              <w:rPr>
                <w:rFonts w:ascii="Times New Roman" w:hAnsi="Times New Roman" w:cs="Times New Roman"/>
                <w:sz w:val="24"/>
                <w:szCs w:val="24"/>
                <w:lang w:val="en-GB"/>
              </w:rPr>
            </w:pPr>
            <w:r w:rsidRPr="0068275D">
              <w:rPr>
                <w:rFonts w:ascii="Times New Roman" w:hAnsi="Times New Roman" w:cs="Times New Roman"/>
                <w:sz w:val="24"/>
                <w:szCs w:val="24"/>
              </w:rPr>
              <w:t>0.025</w:t>
            </w:r>
            <w:r w:rsidR="005E169A">
              <w:rPr>
                <w:rFonts w:ascii="Times New Roman" w:hAnsi="Times New Roman" w:cs="Times New Roman"/>
                <w:sz w:val="24"/>
                <w:szCs w:val="24"/>
              </w:rPr>
              <w:t>±0.02</w:t>
            </w:r>
          </w:p>
        </w:tc>
      </w:tr>
      <w:tr w:rsidR="00304FC1" w:rsidRPr="00304FC1" w14:paraId="3055166C" w14:textId="77777777" w:rsidTr="001E7B6A">
        <w:tc>
          <w:tcPr>
            <w:tcW w:w="1525" w:type="dxa"/>
            <w:tcBorders>
              <w:top w:val="nil"/>
              <w:left w:val="nil"/>
              <w:bottom w:val="nil"/>
              <w:right w:val="nil"/>
            </w:tcBorders>
          </w:tcPr>
          <w:p w14:paraId="1A94BC3E" w14:textId="77777777"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0.01 wt.%</w:t>
            </w:r>
          </w:p>
        </w:tc>
        <w:tc>
          <w:tcPr>
            <w:tcW w:w="1800" w:type="dxa"/>
            <w:tcBorders>
              <w:top w:val="nil"/>
              <w:left w:val="nil"/>
              <w:bottom w:val="nil"/>
              <w:right w:val="nil"/>
            </w:tcBorders>
          </w:tcPr>
          <w:p w14:paraId="57064F05" w14:textId="7ADBE664"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365</w:t>
            </w:r>
            <w:r w:rsidR="00016A1F">
              <w:rPr>
                <w:rFonts w:ascii="Times New Roman" w:hAnsi="Times New Roman" w:cs="Times New Roman"/>
                <w:sz w:val="24"/>
                <w:szCs w:val="24"/>
              </w:rPr>
              <w:t>±1</w:t>
            </w:r>
          </w:p>
        </w:tc>
        <w:tc>
          <w:tcPr>
            <w:tcW w:w="1800" w:type="dxa"/>
            <w:tcBorders>
              <w:top w:val="nil"/>
              <w:left w:val="nil"/>
              <w:bottom w:val="nil"/>
              <w:right w:val="nil"/>
            </w:tcBorders>
          </w:tcPr>
          <w:p w14:paraId="28124B02" w14:textId="3B297D20"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413</w:t>
            </w:r>
            <w:r w:rsidR="005E169A">
              <w:rPr>
                <w:rFonts w:ascii="Times New Roman" w:hAnsi="Times New Roman" w:cs="Times New Roman"/>
                <w:sz w:val="24"/>
                <w:szCs w:val="24"/>
              </w:rPr>
              <w:t>±1</w:t>
            </w:r>
          </w:p>
        </w:tc>
        <w:tc>
          <w:tcPr>
            <w:tcW w:w="1350" w:type="dxa"/>
            <w:tcBorders>
              <w:top w:val="nil"/>
              <w:left w:val="nil"/>
              <w:bottom w:val="nil"/>
              <w:right w:val="nil"/>
            </w:tcBorders>
          </w:tcPr>
          <w:p w14:paraId="60D45D8C" w14:textId="444948A2"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409</w:t>
            </w:r>
            <w:r w:rsidR="005E169A">
              <w:rPr>
                <w:rFonts w:ascii="Times New Roman" w:hAnsi="Times New Roman" w:cs="Times New Roman"/>
                <w:sz w:val="24"/>
                <w:szCs w:val="24"/>
              </w:rPr>
              <w:t>±3</w:t>
            </w:r>
          </w:p>
        </w:tc>
        <w:tc>
          <w:tcPr>
            <w:tcW w:w="2250" w:type="dxa"/>
            <w:tcBorders>
              <w:top w:val="nil"/>
              <w:left w:val="nil"/>
              <w:bottom w:val="nil"/>
              <w:right w:val="nil"/>
            </w:tcBorders>
          </w:tcPr>
          <w:p w14:paraId="4E15AB2F" w14:textId="07476BED"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8.69</w:t>
            </w:r>
            <w:r w:rsidR="005E169A">
              <w:rPr>
                <w:rFonts w:ascii="Times New Roman" w:hAnsi="Times New Roman" w:cs="Times New Roman"/>
                <w:sz w:val="24"/>
                <w:szCs w:val="24"/>
              </w:rPr>
              <w:t>±1.27</w:t>
            </w:r>
          </w:p>
        </w:tc>
      </w:tr>
      <w:tr w:rsidR="00304FC1" w:rsidRPr="00304FC1" w14:paraId="272C5A24" w14:textId="77777777" w:rsidTr="001E7B6A">
        <w:tc>
          <w:tcPr>
            <w:tcW w:w="1525" w:type="dxa"/>
            <w:tcBorders>
              <w:top w:val="nil"/>
              <w:left w:val="nil"/>
              <w:bottom w:val="nil"/>
              <w:right w:val="nil"/>
            </w:tcBorders>
          </w:tcPr>
          <w:p w14:paraId="4B49F9BC" w14:textId="77777777"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0.05 wt.%</w:t>
            </w:r>
          </w:p>
        </w:tc>
        <w:tc>
          <w:tcPr>
            <w:tcW w:w="1800" w:type="dxa"/>
            <w:tcBorders>
              <w:top w:val="nil"/>
              <w:left w:val="nil"/>
              <w:bottom w:val="nil"/>
              <w:right w:val="nil"/>
            </w:tcBorders>
          </w:tcPr>
          <w:p w14:paraId="6FFE8C97" w14:textId="075B68AB"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370</w:t>
            </w:r>
            <w:r w:rsidR="00016A1F">
              <w:rPr>
                <w:rFonts w:ascii="Times New Roman" w:hAnsi="Times New Roman" w:cs="Times New Roman"/>
                <w:sz w:val="24"/>
                <w:szCs w:val="24"/>
              </w:rPr>
              <w:t>±</w:t>
            </w:r>
            <w:r w:rsidR="005E169A">
              <w:rPr>
                <w:rFonts w:ascii="Times New Roman" w:hAnsi="Times New Roman" w:cs="Times New Roman"/>
                <w:sz w:val="24"/>
                <w:szCs w:val="24"/>
              </w:rPr>
              <w:t>2</w:t>
            </w:r>
          </w:p>
        </w:tc>
        <w:tc>
          <w:tcPr>
            <w:tcW w:w="1800" w:type="dxa"/>
            <w:tcBorders>
              <w:top w:val="nil"/>
              <w:left w:val="nil"/>
              <w:bottom w:val="nil"/>
              <w:right w:val="nil"/>
            </w:tcBorders>
          </w:tcPr>
          <w:p w14:paraId="13648142" w14:textId="0BC9F1D0"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412</w:t>
            </w:r>
            <w:r w:rsidR="005E169A">
              <w:rPr>
                <w:rFonts w:ascii="Times New Roman" w:hAnsi="Times New Roman" w:cs="Times New Roman"/>
                <w:sz w:val="24"/>
                <w:szCs w:val="24"/>
              </w:rPr>
              <w:t>±3</w:t>
            </w:r>
          </w:p>
        </w:tc>
        <w:tc>
          <w:tcPr>
            <w:tcW w:w="1350" w:type="dxa"/>
            <w:tcBorders>
              <w:top w:val="nil"/>
              <w:left w:val="nil"/>
              <w:bottom w:val="nil"/>
              <w:right w:val="nil"/>
            </w:tcBorders>
          </w:tcPr>
          <w:p w14:paraId="11BF72F5" w14:textId="05C026C3"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408</w:t>
            </w:r>
            <w:r w:rsidR="005E169A">
              <w:rPr>
                <w:rFonts w:ascii="Times New Roman" w:hAnsi="Times New Roman" w:cs="Times New Roman"/>
                <w:sz w:val="24"/>
                <w:szCs w:val="24"/>
              </w:rPr>
              <w:t>±1</w:t>
            </w:r>
          </w:p>
        </w:tc>
        <w:tc>
          <w:tcPr>
            <w:tcW w:w="2250" w:type="dxa"/>
            <w:tcBorders>
              <w:top w:val="nil"/>
              <w:left w:val="nil"/>
              <w:bottom w:val="nil"/>
              <w:right w:val="nil"/>
            </w:tcBorders>
          </w:tcPr>
          <w:p w14:paraId="78A9DA65" w14:textId="33EB9B2A"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1.15</w:t>
            </w:r>
            <w:r w:rsidR="005E169A">
              <w:rPr>
                <w:rFonts w:ascii="Times New Roman" w:hAnsi="Times New Roman" w:cs="Times New Roman"/>
                <w:sz w:val="24"/>
                <w:szCs w:val="24"/>
              </w:rPr>
              <w:t>±0.83</w:t>
            </w:r>
          </w:p>
        </w:tc>
      </w:tr>
      <w:tr w:rsidR="00304FC1" w:rsidRPr="00304FC1" w14:paraId="0B2D3055" w14:textId="77777777" w:rsidTr="001E7B6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525" w:type="dxa"/>
            <w:tcBorders>
              <w:top w:val="nil"/>
              <w:left w:val="nil"/>
              <w:bottom w:val="single" w:sz="4" w:space="0" w:color="auto"/>
              <w:right w:val="nil"/>
            </w:tcBorders>
          </w:tcPr>
          <w:p w14:paraId="6B8ADDE2" w14:textId="77777777"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0.1 wt.%</w:t>
            </w:r>
          </w:p>
        </w:tc>
        <w:tc>
          <w:tcPr>
            <w:tcW w:w="1800" w:type="dxa"/>
            <w:tcBorders>
              <w:top w:val="nil"/>
              <w:left w:val="nil"/>
              <w:bottom w:val="single" w:sz="4" w:space="0" w:color="auto"/>
              <w:right w:val="nil"/>
            </w:tcBorders>
          </w:tcPr>
          <w:p w14:paraId="496F19E4" w14:textId="4D783E0D"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375</w:t>
            </w:r>
            <w:r w:rsidR="005E169A">
              <w:rPr>
                <w:rFonts w:ascii="Times New Roman" w:hAnsi="Times New Roman" w:cs="Times New Roman"/>
                <w:sz w:val="24"/>
                <w:szCs w:val="24"/>
              </w:rPr>
              <w:t>±3</w:t>
            </w:r>
          </w:p>
        </w:tc>
        <w:tc>
          <w:tcPr>
            <w:tcW w:w="1800" w:type="dxa"/>
            <w:tcBorders>
              <w:top w:val="nil"/>
              <w:left w:val="nil"/>
              <w:bottom w:val="single" w:sz="4" w:space="0" w:color="auto"/>
              <w:right w:val="nil"/>
            </w:tcBorders>
          </w:tcPr>
          <w:p w14:paraId="46412428" w14:textId="5C4B279D"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413</w:t>
            </w:r>
            <w:r w:rsidR="005E169A">
              <w:rPr>
                <w:rFonts w:ascii="Times New Roman" w:hAnsi="Times New Roman" w:cs="Times New Roman"/>
                <w:sz w:val="24"/>
                <w:szCs w:val="24"/>
              </w:rPr>
              <w:t>±2</w:t>
            </w:r>
          </w:p>
        </w:tc>
        <w:tc>
          <w:tcPr>
            <w:tcW w:w="1350" w:type="dxa"/>
            <w:tcBorders>
              <w:top w:val="nil"/>
              <w:left w:val="nil"/>
              <w:bottom w:val="single" w:sz="4" w:space="0" w:color="auto"/>
              <w:right w:val="nil"/>
            </w:tcBorders>
          </w:tcPr>
          <w:p w14:paraId="4C14F4B0" w14:textId="07EC0FD1"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409</w:t>
            </w:r>
            <w:r w:rsidR="005E169A">
              <w:rPr>
                <w:rFonts w:ascii="Times New Roman" w:hAnsi="Times New Roman" w:cs="Times New Roman"/>
                <w:sz w:val="24"/>
                <w:szCs w:val="24"/>
              </w:rPr>
              <w:t>±2</w:t>
            </w:r>
          </w:p>
        </w:tc>
        <w:tc>
          <w:tcPr>
            <w:tcW w:w="2250" w:type="dxa"/>
            <w:tcBorders>
              <w:top w:val="nil"/>
              <w:left w:val="nil"/>
              <w:bottom w:val="single" w:sz="4" w:space="0" w:color="auto"/>
              <w:right w:val="nil"/>
            </w:tcBorders>
          </w:tcPr>
          <w:p w14:paraId="5AFBDBD4" w14:textId="17C966CC" w:rsidR="00304FC1" w:rsidRPr="0068275D" w:rsidRDefault="00304FC1" w:rsidP="00304FC1">
            <w:pPr>
              <w:spacing w:line="480" w:lineRule="auto"/>
              <w:jc w:val="center"/>
              <w:rPr>
                <w:rFonts w:ascii="Times New Roman" w:hAnsi="Times New Roman" w:cs="Times New Roman"/>
                <w:sz w:val="24"/>
                <w:szCs w:val="24"/>
              </w:rPr>
            </w:pPr>
            <w:r w:rsidRPr="0068275D">
              <w:rPr>
                <w:rFonts w:ascii="Times New Roman" w:hAnsi="Times New Roman" w:cs="Times New Roman"/>
                <w:sz w:val="24"/>
                <w:szCs w:val="24"/>
              </w:rPr>
              <w:t>0.86</w:t>
            </w:r>
            <w:r w:rsidR="005E169A">
              <w:rPr>
                <w:rFonts w:ascii="Times New Roman" w:hAnsi="Times New Roman" w:cs="Times New Roman"/>
                <w:sz w:val="24"/>
                <w:szCs w:val="24"/>
              </w:rPr>
              <w:t>±0.23</w:t>
            </w:r>
          </w:p>
        </w:tc>
      </w:tr>
    </w:tbl>
    <w:p w14:paraId="7EFA9F61" w14:textId="77777777" w:rsidR="00D003E1" w:rsidRPr="00304FC1" w:rsidRDefault="00D003E1" w:rsidP="00304FC1">
      <w:pPr>
        <w:spacing w:after="0" w:line="480" w:lineRule="auto"/>
        <w:rPr>
          <w:rFonts w:ascii="Times New Roman" w:eastAsia="SimSun" w:hAnsi="Times New Roman" w:cs="Times New Roman"/>
          <w:sz w:val="24"/>
          <w:lang w:val="en-GB"/>
        </w:rPr>
      </w:pPr>
    </w:p>
    <w:p w14:paraId="6FC13D74" w14:textId="4BC5EF3C" w:rsidR="00D003E1" w:rsidRPr="00D003E1" w:rsidRDefault="007454C7" w:rsidP="00D003E1">
      <w:pPr>
        <w:keepNext/>
        <w:keepLines/>
        <w:spacing w:after="0" w:line="480" w:lineRule="auto"/>
        <w:jc w:val="both"/>
        <w:outlineLvl w:val="1"/>
        <w:rPr>
          <w:rFonts w:ascii="Times New Roman" w:eastAsia="SimSun" w:hAnsi="Times New Roman" w:cs="Times New Roman"/>
          <w:b/>
          <w:bCs/>
          <w:color w:val="000000"/>
          <w:sz w:val="24"/>
          <w:szCs w:val="26"/>
          <w:lang w:val="en-GB"/>
        </w:rPr>
      </w:pPr>
      <w:bookmarkStart w:id="106" w:name="_Toc518823277"/>
      <w:r>
        <w:rPr>
          <w:rFonts w:ascii="Times New Roman" w:eastAsia="SimSun" w:hAnsi="Times New Roman" w:cs="Times New Roman" w:hint="eastAsia"/>
          <w:b/>
          <w:bCs/>
          <w:color w:val="000000"/>
          <w:sz w:val="24"/>
          <w:szCs w:val="26"/>
          <w:lang w:val="en-GB"/>
        </w:rPr>
        <w:t>3</w:t>
      </w:r>
      <w:r w:rsidR="007A5F08">
        <w:rPr>
          <w:rFonts w:ascii="Times New Roman" w:eastAsia="SimSun" w:hAnsi="Times New Roman" w:cs="Times New Roman" w:hint="eastAsia"/>
          <w:b/>
          <w:bCs/>
          <w:color w:val="000000"/>
          <w:sz w:val="24"/>
          <w:szCs w:val="26"/>
          <w:lang w:val="en-GB"/>
        </w:rPr>
        <w:t>.</w:t>
      </w:r>
      <w:r w:rsidR="000C127D">
        <w:rPr>
          <w:rFonts w:ascii="Times New Roman" w:eastAsia="SimSun" w:hAnsi="Times New Roman" w:cs="Times New Roman"/>
          <w:b/>
          <w:bCs/>
          <w:color w:val="000000"/>
          <w:sz w:val="24"/>
          <w:szCs w:val="26"/>
          <w:lang w:val="en-GB"/>
        </w:rPr>
        <w:t>3</w:t>
      </w:r>
      <w:r w:rsidR="00D003E1" w:rsidRPr="00D003E1">
        <w:rPr>
          <w:rFonts w:ascii="Times New Roman" w:eastAsia="SimSun" w:hAnsi="Times New Roman" w:cs="Times New Roman"/>
          <w:b/>
          <w:bCs/>
          <w:color w:val="000000"/>
          <w:sz w:val="24"/>
          <w:szCs w:val="26"/>
          <w:lang w:val="en-GB"/>
        </w:rPr>
        <w:t>.</w:t>
      </w:r>
      <w:r w:rsidR="00D003E1" w:rsidRPr="00D003E1">
        <w:rPr>
          <w:rFonts w:ascii="Times New Roman" w:eastAsia="SimSun" w:hAnsi="Times New Roman" w:cs="Times New Roman" w:hint="eastAsia"/>
          <w:b/>
          <w:bCs/>
          <w:color w:val="000000"/>
          <w:sz w:val="24"/>
          <w:szCs w:val="26"/>
          <w:lang w:val="en-GB"/>
        </w:rPr>
        <w:t>7</w:t>
      </w:r>
      <w:r w:rsidR="00D003E1" w:rsidRPr="00D003E1">
        <w:rPr>
          <w:rFonts w:ascii="Times New Roman" w:eastAsia="SimSun" w:hAnsi="Times New Roman" w:cs="Times New Roman"/>
          <w:b/>
          <w:bCs/>
          <w:color w:val="000000"/>
          <w:sz w:val="24"/>
          <w:szCs w:val="26"/>
          <w:lang w:val="en-GB"/>
        </w:rPr>
        <w:t>. The effect of GO on the curing process of UPR</w:t>
      </w:r>
      <w:bookmarkEnd w:id="106"/>
    </w:p>
    <w:p w14:paraId="635F76A9" w14:textId="28C6D638"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The curing mechanism of UPR-styrene system is a free radical chain growth polymerization between UPR and styrene (inter</w:t>
      </w:r>
      <w:r w:rsidR="007E33D9">
        <w:rPr>
          <w:rFonts w:ascii="Times New Roman" w:eastAsia="SimSun" w:hAnsi="Times New Roman" w:cs="Times New Roman"/>
          <w:sz w:val="24"/>
          <w:lang w:val="en-GB"/>
        </w:rPr>
        <w:t xml:space="preserve"> </w:t>
      </w:r>
      <w:r w:rsidRPr="00D003E1">
        <w:rPr>
          <w:rFonts w:ascii="Times New Roman" w:eastAsia="SimSun" w:hAnsi="Times New Roman" w:cs="Times New Roman"/>
          <w:sz w:val="24"/>
          <w:lang w:val="en-GB"/>
        </w:rPr>
        <w:t xml:space="preserve">polymerization), as well as UPR and UPR (intrapolymerization). Methyl ethyl ketone peroxide (MEKP) is used as an initiator, which decomposes into free radicals by the promoter (cobalt salt)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"10.1002/pen.760330102", "ISSN" : "0032-3888", "abstract" : "The effects of pressure ranging from 0.1 to 6.21 MPa (0-900 psi@ on\\nthe curing of unsaturated polyester resins at 110\u00b0C were invtstigated\\nby an approach of integrated reaction kinetics-rheology-morphology\\nmeasurements using a pressure differential scanning calorimeter (DSC),\\nan infrared spectrophotometer (IR), a Haake rheometer, and by using\\nscanning electron microscopy (SEM). Increasing pressure was found\\nto delay the gel effect, and a previously unknown plateau of kinetic-controlled\\nregion in the initial portion of the DSC rate profile was observed.\\nThe plateau region was mainly attributed to the crosslinking of C=\\nC double bonds inside the microgel particles, as revealed by the\\nconversions of styrene and polyester C = C bonds measured by IR,\\ngel conversion data and SEM micrographs. The mechanisms of reaction\\nkinetics both at atmospheric pressure and under pressures have also\\nbeen elucidated by the progress of buildup of microgel structures.", "author" : [ { "dropping-particle" : "", "family" : "Huang", "given" : "Yan-JyiI", "non-dropping-particle" : "", "parse-names" : false, "suffix" : "" }, { "dropping-particle" : "", "family" : "Lu", "given" : "Tian-Jyh", "non-dropping-particle" : "", "parse-names" : false, "suffix" : "" }, { "dropping-particle" : "", "family" : "Hwu", "given" : "Wei", "non-dropping-particle" : "", "parse-names" : false, "suffix" : "" } ], "container-title" : "Polymer Engineering &amp; Science", "id" : "ITEM-1", "issue" : "1", "issued" : { "date-parts" : [ [ "1993" ] ] }, "page" : "295-304", "title" : "Curing of Unsaturated Polyester Resins.Effects of temperature and initiator:1.low temperature reactions", "type" : "article-journal", "volume" : "34" }, "uris" : [ "http://www.mendeley.com/documents/?uuid=e823f799-ce9a-4ca5-b1b6-0b40e7445fe7", "http://www.mendeley.com/documents/?uuid=8503fcfc-3b7d-4ab9-988e-21505800ff4e" ] }, { "id" : "ITEM-2", "itemData" : { "abstract" : "In this paper the curing behaviour of unsaturated polyester containing different concentration of styrene monomer has been investigated via measuring viscosity, gel time, and maximum exotherm temperature. In addition the effect of styrene concentrations on the tensile and modulus properties of unsaturated polyester is studied. The MEKP with different concentrations was used as initiator for curing the unsaturated polyester and DMA curing accelerator with different ratios started with 0.1, 0.2 and 0.3. The effect of varying the level of water content on the exotherm behaviour was investigated. The results show that the water affects the action of initiator and accelerator system. The results also show that the density and viscosity of unsaturated polyester decline with the increase of styrene concentration. The viscosity is 219.3 cP at 26 \u00baC for the (60%up-40%st), 98.4 cP at 26 \u00baC for the (50%up-50%st), and 39 cP at 26 \u00baC for the (40%up-60%st). The increasing styrene concentration for certain concentration of MEKP decreases the maximum tensile strength and tensile modulus. Besides, variation of MEKP and DMA ratio does not have any significant effect on the mechanical properties of the material such as, maximum strength and tensile modulus. Maximum strength and tensile modulus have the same trend for various concentration ratios of styrene.", "author" : [ { "dropping-particle" : "", "family" : "A", "given" : "Osman E", "non-dropping-particle" : "", "parse-names" : false, "suffix" : "" } ], "container-title" : "Malaysian Polymer Journal", "id" : "ITEM-2", "issue" : "2", "issued" : { "date-parts" : [ [ "2012" ] ] }, "page" : "46-55", "title" : "Curing Behaviour and Tensile Properties of Unsaturated Polyester Containing Various Styrene Concentrations", "type" : "article-journal", "volume" : "7" }, "uris" : [ "http://www.mendeley.com/documents/?uuid=a42081ae-7654-456b-8a58-855c254a4b24" ] }, { "id" : "ITEM-3", "itemData" : { "ISSN" : "09714588", "abstract" : "Fiber reinforced plastics (FRP) products being strong and light in weight, find extensive applications in automobiles, marine, structural and household components. Unsaturated polyester (UP) resin is a principle binder material used in FRP products. Curing of UP resin is a key for successful FRP processing. Gel time (t gel) and peak exothermic temperature (\u03b8 peak) are critical measures of curing of resin. t gel indicates commencement of polymer cross-linking (setting) while \u03b8 peak controls shrinkage and cracking of polymer. This paper aims to predict the t gel and \u03b8 peak during cure of UP resin. The weight percent of methyl ethyl ketone peroxide (MEKP) as catalyst, cobalt octoate (C oct) as an accelerator, calcium carbonate (CaCO 3) as filler and glass fibers as reinforcements are used as process variables. The variations in t gel and \u03b8 peak are approximated by regression equations. Strong interactions are found between the process variables. The process optimization is made to achieve a desired combination of t gel and \u03b8 peak within the regime of experimentation. Confirmatory experiments are performed to validate the predicted results. Unsaturated polyesters (UP) are the macromolecules with a polyester backbone and belong to category of the thermo-set resin. These are step-growth products of saturated acids (such as phthalic or isophthalic acid) and unsaturated acids (such as maleic or fumaric acid), condensed with a dihydric alcohols. The UP resins can be easily handled in processes like hand lay up, filament winding, resin transfer moulding in the liquid form. They can also be used in moulding compounds. Moreover, they possess good mechanical and service properties; have excellent thermal stability and weather resistance. Hence, these resins are used in a number of applications like insulation coatings, fiber reinforced plastics (FRP) products, sandwich panels, sheet moulding compounds (SMC), bulk moulding compounds (BMC), pultrusion components etc. The curing of UP resin occurs as a combination of chemical kinetics and control by diffusion. The curing reaction between the styrene monomer and UP involves a free radical chain growth polymerization. During the curing process at room temperature, generally the organic peroxides (like methyl ethyl ketone peroxide (MEKP)) are mostly used as catalysts (initiators) while cobalt salt is frequently used as an accelerator. The inhibitors such as quniones and phenol are added to react with the initiating or pro\u2026", "author" : [ { "dropping-particle" : "", "family" : "Waigaonkar", "given" : "Sachin", "non-dropping-particle" : "", "parse-names" : false, "suffix" : "" }, { "dropping-particle" : "", "family" : "Babu", "given" : "B. J.C.", "non-dropping-particle" : "", "parse-names" : false, "suffix" : "" }, { "dropping-particle" : "", "family" : "Rajput", "given" : "Amit", "non-dropping-particle" : "", "parse-names" : false, "suffix" : "" } ], "container-title" : "Indian Journal of Engineering and Materials Sciences", "id" : "ITEM-3", "issue" : "1", "issued" : { "date-parts" : [ [ "2011" ] ] }, "page" : "31-39", "title" : "Curing studies of unsaturated polyester resin used in FRP products", "type" : "article-journal", "volume" : "18" }, "uris" : [ "http://www.mendeley.com/documents/?uuid=3fc3e4b5-b4a8-4aea-8e13-a38f8ea796c8" ] } ], "mendeley" : { "formattedCitation" : "[66,174,175]", "plainTextFormattedCitation" : "[66,174,175]", "previouslyFormattedCitation" : "[66,174,175]"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[66,174,175]</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xml:space="preserve">. Owing to its importance on the final properties of UPR, the study of curing kinetics and curing process is essential. There are several parameters that define the curing process of UPR, including curing temperature, curing time, styrene concentration, initiator concentration, and promoter concentration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"10.5755/j01.ms.18.3.2435", "ISSN" : "1392-1320", "abstract" : "This study examines the effect of different post cure parameters to a polymer matrix particulate reinforced composite material. The goal is to evaluate the importance of different factors and to suggest a well-balanced post cure mode that supports the application of the material. Polymer matrix composites are post cured at elevated temperature to increase the amount of cross linking to achieve better chemical and heat resistance and mechanical properties. Every material has an individual post cure process that depends from the raw materials. Post curing variables include temperature, duration of cure, the time between initial curing and post curing and temperature profile gradient. There are several ways to determine the cure state of a polymer. It can be evaluated based on the mechanical and physical properties, residual styrene content, glass transition temperature, residual exotherm or solvent swelling test. For the determination of the suitable post cure parameters test slabs were casted and post cured with varying time and temperature. Glass transition temperature, residual exotherm, softening in ethanol, surface hardness, flexural strength and flexural modulus were determined. It is shown that the material should be cured at 60 \u00b0C \u2013 80 \u00b0C. With higher temperature and extended time of cure the glass transition temperature raises but the material becomes too brittle. DOI: http://dx.doi.org/10.5755/j01.ms.18.3.2435", "author" : [ { "dropping-particle" : "", "family" : "ARUNIIT", "given" : "Aare", "non-dropping-particle" : "", "parse-names" : false, "suffix" : "" }, { "dropping-particle" : "", "family" : "KERS", "given" : "Jaan", "non-dropping-particle" : "", "parse-names" : false, "suffix" : "" }, { "dropping-particle" : "", "family" : "KRUMME", "given" : "Andres", "non-dropping-particle" : "", "parse-names" : false, "suffix" : "" }, { "dropping-particle" : "", "family" : "POLTIM\u00c4E", "given" : "Triinu", "non-dropping-particle" : "", "parse-names" : false, "suffix" : "" }, { "dropping-particle" : "", "family" : "TALL", "given" : "Kaspar", "non-dropping-particle" : "", "parse-names" : false, "suffix" : "" } ], "container-title" : "Materials Science", "id" : "ITEM-1", "issue" : "3", "issued" : { "date-parts" : [ [ "2012" ] ] }, "page" : "256-261", "title" : "Preliminary Study of the Influence of Post Curing Parameters to the Particle Reinforced Composite's Mechanical and Physical Properties", "type" : "article-journal", "volume" : "18" }, "uris" : [ "http://www.mendeley.com/documents/?uuid=c4d76855-eaa7-408a-90b5-b47ba2e92ce0" ] }, { "id" : "ITEM-2", "itemData" : { "DOI" : "10.1088/1757-899X/75/1/012012", "ISBN" : "1757-899X", "ISSN" : "1757899X", "abstract" : "Curing cycle has a strong impact on the thermal and mechanical behavior of thermosetting polymers. The extent of cross-linking which is a strong function of curing temperature and time is directly linked to the glass transition temperature (Tg) of the thermosetting polymer. This transition temperature speaks about the transformation of the polymer from glassy state to rubbery state, hence decides the applicability of the material at certain temperature with certain degree of safety and reliability. Hence assessment of Tg and its possible improvement is quite essential from material point of view. The present study is emphasized on the impact of post curing parameters on thermal as well as mechanical behavior of glass fiber reinforced polymer (GFRP) composite. Post curing was carried out at 3 different temperatures (80\u00b0C, 110\u00b0C and 140\u00b0C) for different time periods (2h, 4h, 6h, 8h and 12h). Short beam Shear (SBS) test was performed on each of the post cured samples to determine the apparent Interlaminar Shear Strength (ILSS) and the corresponding Tg was also evaluated using differential scanning calorimetry (DSC) analysis. The results revealed that the ILSS and Tg are significantly affected with post curing parameters. No significant change in ILSS was obtained at 80\u00b0C over the entire curing time. In case of 110\u00b0C a smooth increment in ILSS was observed with time (even till 12 hrs). For samples post cured at 140\u00b0C a rapid improvement in ILSS takes place with time followed by saturation. With all the possible combinations of curing temperature and time, optimum values are noticed at 140\u00b0C for 6 hrs.", "author" : [ { "dropping-particle" : "", "family" : "Kumar", "given" : "D. S.", "non-dropping-particle" : "", "parse-names" : false, "suffix" : "" }, { "dropping-particle" : "", "family" : "Shukla", "given" : "M. J.", "non-dropping-particle" : "", "parse-names" : false, "suffix" : "" }, { "dropping-particle" : "", "family" : "Mahato", "given" : "K. K.", "non-dropping-particle" : "", "parse-names" : false, "suffix" : "" }, { "dropping-particle" : "", "family" : "Rathore", "given" : "D. K.", "non-dropping-particle" : "", "parse-names" : false, "suffix" : "" }, { "dropping-particle" : "", "family" : "Prusty", "given" : "R. K.", "non-dropping-particle" : "", "parse-names" : false, "suffix" : "" }, { "dropping-particle" : "", "family" : "Ray", "given" : "B. C.", "non-dropping-particle" : "", "parse-names" : false, "suffix" : "" } ], "container-title" : "IOP Conference Series: Materials Science and Engineering", "id" : "ITEM-2", "issue" : "1", "issued" : { "date-parts" : [ [ "2015" ] ] }, "title" : "Effect of post-curing on thermal and mechanical behavior of GFRP composites", "type" : "article-journal", "volume" : "75" }, "uris" : [ "http://www.mendeley.com/documents/?uuid=d58f3fc2-3af3-4ec1-a042-896178b2560a" ] }, { "id" : "ITEM-3", "itemData" : { "author" : [ { "dropping-particle" : "", "family" : "Li", "given" : "W", "non-dropping-particle" : "", "parse-names" : false, "suffix" : "" }, { "dropping-particle" : "", "family" : "Lee", "given" : "L J", "non-dropping-particle" : "", "parse-names" : false, "suffix" : "" } ], "container-title" : "Polymer", "id" : "ITEM-3", "issued" : { "date-parts" : [ [ "2000" ] ] }, "page" : "685-696", "title" : "Low temperature cure of unsaturated polyester resins with thermoplastic additives I . Dilatometry and morphology study", "type" : "article-journal", "volume" : "41" }, "uris" : [ "http://www.mendeley.com/documents/?uuid=0add1756-7664-41a6-9336-bb28b0151731" ] }, { "id" : "ITEM-4", "itemData" : { "DOI" : "10.1016/0032-3861(93)90080-T", "ISSN" : "00323861", "author" : [ { "dropping-particle" : "", "family" : "Huang", "given" : "Yan-Jyi", "non-dropping-particle" : "", "parse-names" : false, "suffix" : "" }, { "dropping-particle" : "", "family" : "Leu", "given" : "Jiing-Shing", "non-dropping-particle" : "", "parse-names" : false, "suffix" : "" } ], "container-title" : "Polymer", "id" : "ITEM-4", "issued" : { "date-parts" : [ [ "1993", "1" ] ] }, "page" : "295-304", "title" : "Curing of unsaturated polyester resins. Effects of temperature and initiator: 1. Low temperature reactions", "type" : "article-journal", "volume" : "34" }, "uris" : [ "http://www.mendeley.com/documents/?uuid=4d1a94e8-64dc-4bc3-8d12-697ff349205c" ] } ], "mendeley" : { "formattedCitation" : "[163\u2013165,176]", "manualFormatting" : "[36\u201338, 49]", "plainTextFormattedCitation" : "[163\u2013165,176]", "previouslyFormattedCitation" : "[163\u2013165,176]"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Pr="00D003E1">
        <w:rPr>
          <w:rFonts w:ascii="Times New Roman" w:eastAsia="SimSun" w:hAnsi="Times New Roman" w:cs="Times New Roman"/>
          <w:noProof/>
          <w:sz w:val="24"/>
          <w:lang w:val="en-GB"/>
        </w:rPr>
        <w:t>[36–38, 49]</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In order to investigate the effects of GO, styrene, MEKP and cobalt on the curing process of UPR, control samples of GO-MEKP, and GO-cobalt hybrids are prepared under the same process as UPR/GO composites. FTIR and TGA are employed on GO-MEKP, GO-cobalt hybrids, and GO powder which is treated at 80 ºC for 3 h. Initiator MEKP is Methyl ethyl ketone peroxide (30 –37%) in solvent Diisohonyl phthalate (DINP, 45 – 65%), promoter Cobalt salt is 1% tin(II)</w:t>
      </w:r>
      <w:r w:rsidRPr="00D003E1">
        <w:rPr>
          <w:rFonts w:ascii="Times New Roman" w:eastAsia="SimSun" w:hAnsi="Times New Roman" w:cs="Times New Roman" w:hint="eastAsia"/>
          <w:sz w:val="24"/>
          <w:lang w:val="en-GB"/>
        </w:rPr>
        <w:t xml:space="preserve"> </w:t>
      </w:r>
      <w:r w:rsidRPr="00D003E1">
        <w:rPr>
          <w:rFonts w:ascii="Times New Roman" w:eastAsia="SimSun" w:hAnsi="Times New Roman" w:cs="Times New Roman"/>
          <w:sz w:val="24"/>
          <w:lang w:val="en-GB"/>
        </w:rPr>
        <w:t>octoate/ tin(II)2-ethylhexanoate in styrene solvent, and the chemical struct</w:t>
      </w:r>
      <w:r w:rsidR="007454C7">
        <w:rPr>
          <w:rFonts w:ascii="Times New Roman" w:eastAsia="SimSun" w:hAnsi="Times New Roman" w:cs="Times New Roman"/>
          <w:sz w:val="24"/>
          <w:lang w:val="en-GB"/>
        </w:rPr>
        <w:t>ures are represented in Scheme 3</w:t>
      </w:r>
      <w:r w:rsidRPr="00D003E1">
        <w:rPr>
          <w:rFonts w:ascii="Times New Roman" w:eastAsia="SimSun" w:hAnsi="Times New Roman" w:cs="Times New Roman"/>
          <w:sz w:val="24"/>
          <w:lang w:val="en-GB"/>
        </w:rPr>
        <w:t>.1.</w:t>
      </w:r>
    </w:p>
    <w:p w14:paraId="60582468" w14:textId="77777777" w:rsidR="00D003E1" w:rsidRPr="00D003E1" w:rsidRDefault="00D003E1" w:rsidP="00D003E1">
      <w:pPr>
        <w:spacing w:after="0" w:line="480" w:lineRule="auto"/>
        <w:ind w:firstLine="270"/>
        <w:jc w:val="both"/>
        <w:rPr>
          <w:rFonts w:ascii="Times New Roman" w:eastAsia="SimSun" w:hAnsi="Times New Roman" w:cs="Times New Roman"/>
          <w:sz w:val="24"/>
          <w:lang w:val="en-GB"/>
        </w:rPr>
      </w:pPr>
    </w:p>
    <w:p w14:paraId="3079A304" w14:textId="77777777" w:rsidR="00D003E1" w:rsidRPr="00D003E1" w:rsidRDefault="00D003E1" w:rsidP="00D003E1">
      <w:pPr>
        <w:spacing w:after="0" w:line="480" w:lineRule="auto"/>
        <w:ind w:firstLine="284"/>
        <w:jc w:val="center"/>
        <w:rPr>
          <w:rFonts w:ascii="Times New Roman" w:eastAsia="SimSun" w:hAnsi="Times New Roman" w:cs="Times New Roman"/>
          <w:sz w:val="24"/>
          <w:lang w:val="en-GB"/>
        </w:rPr>
      </w:pPr>
      <w:r w:rsidRPr="00D003E1">
        <w:rPr>
          <w:rFonts w:ascii="Times New Roman" w:eastAsia="SimSun" w:hAnsi="Times New Roman" w:cs="Times New Roman"/>
          <w:noProof/>
          <w:sz w:val="24"/>
          <w:lang w:val="en-GB"/>
        </w:rPr>
        <w:drawing>
          <wp:inline distT="0" distB="0" distL="0" distR="0" wp14:anchorId="7773FAC6" wp14:editId="37687345">
            <wp:extent cx="4173583" cy="3023834"/>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79425" cy="3028067"/>
                    </a:xfrm>
                    <a:prstGeom prst="rect">
                      <a:avLst/>
                    </a:prstGeom>
                    <a:noFill/>
                  </pic:spPr>
                </pic:pic>
              </a:graphicData>
            </a:graphic>
          </wp:inline>
        </w:drawing>
      </w:r>
    </w:p>
    <w:p w14:paraId="456FA63F" w14:textId="609B6CB8" w:rsidR="00D003E1" w:rsidRPr="00237210" w:rsidRDefault="007454C7" w:rsidP="00D003E1">
      <w:pPr>
        <w:spacing w:after="0" w:line="480" w:lineRule="auto"/>
        <w:ind w:firstLine="284"/>
        <w:jc w:val="center"/>
        <w:rPr>
          <w:rFonts w:ascii="Times New Roman" w:eastAsia="SimSun" w:hAnsi="Times New Roman" w:cs="Times New Roman"/>
          <w:b/>
          <w:sz w:val="24"/>
          <w:lang w:val="en-GB"/>
        </w:rPr>
      </w:pPr>
      <w:r>
        <w:rPr>
          <w:rFonts w:ascii="Times New Roman" w:eastAsia="SimSun" w:hAnsi="Times New Roman" w:cs="Times New Roman"/>
          <w:b/>
          <w:sz w:val="24"/>
          <w:lang w:val="en-GB"/>
        </w:rPr>
        <w:t>Scheme 3</w:t>
      </w:r>
      <w:r w:rsidR="00D003E1" w:rsidRPr="00237210">
        <w:rPr>
          <w:rFonts w:ascii="Times New Roman" w:eastAsia="SimSun" w:hAnsi="Times New Roman" w:cs="Times New Roman"/>
          <w:b/>
          <w:sz w:val="24"/>
          <w:lang w:val="en-GB"/>
        </w:rPr>
        <w:t>.1. The representation of chemical structures of initiator and promoter.</w:t>
      </w:r>
    </w:p>
    <w:p w14:paraId="674997E6" w14:textId="77777777" w:rsidR="00D003E1" w:rsidRPr="00D003E1" w:rsidRDefault="00D003E1" w:rsidP="00D003E1">
      <w:pPr>
        <w:spacing w:after="0" w:line="480" w:lineRule="auto"/>
        <w:ind w:firstLine="284"/>
        <w:jc w:val="center"/>
        <w:rPr>
          <w:rFonts w:ascii="Times New Roman" w:eastAsia="SimSun" w:hAnsi="Times New Roman" w:cs="Times New Roman"/>
          <w:sz w:val="24"/>
          <w:lang w:val="en-GB"/>
        </w:rPr>
      </w:pPr>
    </w:p>
    <w:p w14:paraId="0D554AAB" w14:textId="1592C1C6" w:rsidR="00D003E1" w:rsidRPr="00D003E1" w:rsidRDefault="007454C7" w:rsidP="00D003E1">
      <w:pPr>
        <w:spacing w:after="0" w:line="480" w:lineRule="auto"/>
        <w:rPr>
          <w:rFonts w:ascii="Times New Roman" w:eastAsia="SimSun" w:hAnsi="Times New Roman" w:cs="Times New Roman"/>
          <w:sz w:val="24"/>
          <w:lang w:val="en-GB"/>
        </w:rPr>
      </w:pPr>
      <w:r>
        <w:rPr>
          <w:rFonts w:ascii="Times New Roman" w:eastAsia="SimSun" w:hAnsi="Times New Roman" w:cs="Times New Roman" w:hint="eastAsia"/>
          <w:sz w:val="24"/>
          <w:lang w:val="en-GB"/>
        </w:rPr>
        <w:t>3</w:t>
      </w:r>
      <w:r w:rsidR="007A5F08">
        <w:rPr>
          <w:rFonts w:ascii="Times New Roman" w:eastAsia="SimSun" w:hAnsi="Times New Roman" w:cs="Times New Roman" w:hint="eastAsia"/>
          <w:sz w:val="24"/>
          <w:lang w:val="en-GB"/>
        </w:rPr>
        <w:t>.</w:t>
      </w:r>
      <w:r w:rsidR="000C127D">
        <w:rPr>
          <w:rFonts w:ascii="Times New Roman" w:eastAsia="SimSun" w:hAnsi="Times New Roman" w:cs="Times New Roman"/>
          <w:sz w:val="24"/>
          <w:lang w:val="en-GB"/>
        </w:rPr>
        <w:t>3</w:t>
      </w:r>
      <w:r w:rsidR="00D003E1" w:rsidRPr="00D003E1">
        <w:rPr>
          <w:rFonts w:ascii="Times New Roman" w:eastAsia="SimSun" w:hAnsi="Times New Roman" w:cs="Times New Roman"/>
          <w:sz w:val="24"/>
          <w:lang w:val="en-GB"/>
        </w:rPr>
        <w:t>.</w:t>
      </w:r>
      <w:r w:rsidR="00D003E1" w:rsidRPr="00D003E1">
        <w:rPr>
          <w:rFonts w:ascii="Times New Roman" w:eastAsia="SimSun" w:hAnsi="Times New Roman" w:cs="Times New Roman" w:hint="eastAsia"/>
          <w:sz w:val="24"/>
          <w:lang w:val="en-GB"/>
        </w:rPr>
        <w:t>7</w:t>
      </w:r>
      <w:r w:rsidR="00D003E1" w:rsidRPr="00D003E1">
        <w:rPr>
          <w:rFonts w:ascii="Times New Roman" w:eastAsia="SimSun" w:hAnsi="Times New Roman" w:cs="Times New Roman"/>
          <w:sz w:val="24"/>
          <w:lang w:val="en-GB"/>
        </w:rPr>
        <w:t xml:space="preserve">.1. FTIR </w:t>
      </w:r>
    </w:p>
    <w:p w14:paraId="1C1E3C1E" w14:textId="17DFE920" w:rsidR="00D003E1" w:rsidRPr="00D003E1" w:rsidRDefault="007454C7" w:rsidP="00D003E1">
      <w:pPr>
        <w:spacing w:after="0" w:line="480" w:lineRule="auto"/>
        <w:jc w:val="both"/>
        <w:rPr>
          <w:rFonts w:ascii="Times New Roman" w:eastAsia="SimSun" w:hAnsi="Times New Roman" w:cs="Times New Roman"/>
          <w:sz w:val="24"/>
          <w:lang w:val="en-GB"/>
        </w:rPr>
      </w:pPr>
      <w:r>
        <w:rPr>
          <w:rFonts w:ascii="Times New Roman" w:eastAsia="SimSun" w:hAnsi="Times New Roman" w:cs="Times New Roman"/>
          <w:sz w:val="24"/>
          <w:lang w:val="en-GB"/>
        </w:rPr>
        <w:t>Figure 3.9</w:t>
      </w:r>
      <w:r w:rsidR="00D003E1" w:rsidRPr="00D003E1">
        <w:rPr>
          <w:rFonts w:ascii="Times New Roman" w:eastAsia="SimSun" w:hAnsi="Times New Roman" w:cs="Times New Roman"/>
          <w:sz w:val="24"/>
          <w:lang w:val="en-GB"/>
        </w:rPr>
        <w:t xml:space="preserve"> shows the FTIR spectrum of GO (heated under 80 °C for 3 h), GO-MEKP, and   GO-cobalt</w:t>
      </w:r>
      <w:r w:rsidR="00D003E1" w:rsidRPr="00D003E1">
        <w:rPr>
          <w:rFonts w:ascii="Times New Roman" w:eastAsia="SimSun" w:hAnsi="Times New Roman" w:cs="Times New Roman" w:hint="eastAsia"/>
          <w:sz w:val="24"/>
          <w:lang w:val="en-GB"/>
        </w:rPr>
        <w:t xml:space="preserve"> hybrids. </w:t>
      </w:r>
      <w:r w:rsidR="00D003E1" w:rsidRPr="00D003E1">
        <w:rPr>
          <w:rFonts w:ascii="Times New Roman" w:eastAsia="SimSun" w:hAnsi="Times New Roman" w:cs="Times New Roman"/>
          <w:sz w:val="24"/>
          <w:lang w:val="en-GB"/>
        </w:rPr>
        <w:t xml:space="preserve">From </w:t>
      </w:r>
      <w:r>
        <w:rPr>
          <w:rFonts w:ascii="Times New Roman" w:eastAsia="SimSun" w:hAnsi="Times New Roman" w:cs="Times New Roman"/>
          <w:sz w:val="24"/>
          <w:lang w:val="en-GB"/>
        </w:rPr>
        <w:t>Figure 3.9</w:t>
      </w:r>
      <w:r w:rsidR="00D003E1" w:rsidRPr="00D003E1">
        <w:rPr>
          <w:rFonts w:ascii="Times New Roman" w:eastAsia="SimSun" w:hAnsi="Times New Roman" w:cs="Times New Roman"/>
          <w:sz w:val="24"/>
          <w:lang w:val="en-GB"/>
        </w:rPr>
        <w:t>(a), the typical peaks of Cobalt salt are observed at 1752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1684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and 1629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which are corresponded to C=O stretch from tin(II)</w:t>
      </w:r>
      <w:r w:rsidR="00D003E1" w:rsidRPr="00D003E1">
        <w:rPr>
          <w:rFonts w:ascii="Times New Roman" w:eastAsia="SimSun" w:hAnsi="Times New Roman" w:cs="Times New Roman" w:hint="eastAsia"/>
          <w:sz w:val="24"/>
          <w:lang w:val="en-GB"/>
        </w:rPr>
        <w:t xml:space="preserve"> </w:t>
      </w:r>
      <w:r w:rsidR="00D003E1" w:rsidRPr="00D003E1">
        <w:rPr>
          <w:rFonts w:ascii="Times New Roman" w:eastAsia="SimSun" w:hAnsi="Times New Roman" w:cs="Times New Roman"/>
          <w:sz w:val="24"/>
          <w:lang w:val="en-GB"/>
        </w:rPr>
        <w:t>octoate, alkane C=C stretch, and aromatic C=C stretch from the solvent styrene, respectively. The Peak at 1082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xml:space="preserve"> is assigned to C-O stretch from COOH group in cobalt. Peaks at 990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xml:space="preserve"> and 905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xml:space="preserve"> are related to =C-H bending from solvent styrene. Moreover, there are various weak peaks from 1400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xml:space="preserve"> to 1300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which are related to alkane C-H stretch. Compared to FTIR spectrum of GO-cobalt hybrid, there are some changes observed in the FTIR spectrum of treated GO (80 ºC, 3 h). In detail, the peak of aromatic C=C is shifted from 1625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xml:space="preserve"> (treated GO) to 1623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xml:space="preserve"> (GO-cobalt hybrid). Moreover, a new peak is observed at 1684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which is the alkane C=C from solvent styrene. This implies that styrene is physically adsorbed on GO surface by π-π interaction due to the fact that both styrene and GO have aromatic ring structure. In addition, the peak of C-O from hydroxyl group is shifted from 1076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xml:space="preserve"> (treated GO) to 1068 cm</w:t>
      </w:r>
      <w:r w:rsidR="00D003E1" w:rsidRPr="00D003E1">
        <w:rPr>
          <w:rFonts w:ascii="Times New Roman" w:eastAsia="SimSun" w:hAnsi="Times New Roman" w:cs="Times New Roman"/>
          <w:sz w:val="24"/>
          <w:vertAlign w:val="superscript"/>
          <w:lang w:val="en-GB"/>
        </w:rPr>
        <w:t>-1</w:t>
      </w:r>
      <w:r w:rsidR="00D003E1" w:rsidRPr="00D003E1">
        <w:rPr>
          <w:rFonts w:ascii="Times New Roman" w:eastAsia="SimSun" w:hAnsi="Times New Roman" w:cs="Times New Roman"/>
          <w:sz w:val="24"/>
          <w:lang w:val="en-GB"/>
        </w:rPr>
        <w:t xml:space="preserve"> (GO-cobalt hybrid), presumably due to the formation of hydrogen bonding between tin(II)</w:t>
      </w:r>
      <w:r w:rsidR="00D003E1" w:rsidRPr="00D003E1">
        <w:rPr>
          <w:rFonts w:ascii="Times New Roman" w:eastAsia="SimSun" w:hAnsi="Times New Roman" w:cs="Times New Roman" w:hint="eastAsia"/>
          <w:sz w:val="24"/>
          <w:lang w:val="en-GB"/>
        </w:rPr>
        <w:t xml:space="preserve"> </w:t>
      </w:r>
      <w:r w:rsidR="00D003E1" w:rsidRPr="00D003E1">
        <w:rPr>
          <w:rFonts w:ascii="Times New Roman" w:eastAsia="SimSun" w:hAnsi="Times New Roman" w:cs="Times New Roman"/>
          <w:sz w:val="24"/>
          <w:lang w:val="en-GB"/>
        </w:rPr>
        <w:t xml:space="preserve">octoate and GO. </w:t>
      </w:r>
    </w:p>
    <w:p w14:paraId="74AE113A" w14:textId="3D615320" w:rsidR="00D003E1" w:rsidRPr="00D003E1" w:rsidRDefault="00D003E1" w:rsidP="0068275D">
      <w:pPr>
        <w:spacing w:after="0" w:line="480" w:lineRule="auto"/>
        <w:ind w:firstLine="360"/>
        <w:jc w:val="both"/>
        <w:rPr>
          <w:rFonts w:ascii="Times New Roman" w:eastAsia="SimSun" w:hAnsi="Times New Roman" w:cs="Times New Roman"/>
          <w:sz w:val="24"/>
          <w:lang w:val="en-GB"/>
        </w:rPr>
      </w:pPr>
      <w:r w:rsidRPr="00D003E1">
        <w:rPr>
          <w:rFonts w:ascii="Times New Roman" w:eastAsia="SimSun" w:hAnsi="Times New Roman" w:cs="Times New Roman" w:hint="eastAsia"/>
          <w:sz w:val="24"/>
          <w:lang w:val="en-GB"/>
        </w:rPr>
        <w:t>A</w:t>
      </w:r>
      <w:r w:rsidR="007454C7">
        <w:rPr>
          <w:rFonts w:ascii="Times New Roman" w:eastAsia="SimSun" w:hAnsi="Times New Roman" w:cs="Times New Roman"/>
          <w:sz w:val="24"/>
          <w:lang w:val="en-GB"/>
        </w:rPr>
        <w:t>s shown in Figure 3.9</w:t>
      </w:r>
      <w:r w:rsidRPr="00D003E1">
        <w:rPr>
          <w:rFonts w:ascii="Times New Roman" w:eastAsia="SimSun" w:hAnsi="Times New Roman" w:cs="Times New Roman"/>
          <w:sz w:val="24"/>
          <w:lang w:val="en-GB"/>
        </w:rPr>
        <w:t>(b), the typical peaks of MEKP seen at 3415, 1724, and 1274 unit are attributed to O-H stretch from MEKP, C=O stretch from DINP, and C-O stretch from DINP, respectively. Peaks at 1600, 1580, and 1462 unit are related to the aromatic C=C stretch from DINP. Peaks at 1123 and 1074 unit (and for the following wave numbers) are assigned to ether O-O stretch from MEKP. In comparison with treated GO, GO-MEKP shows a shift of aromatic C=C group from 1624 (treated GO) to 1628 (GO-MEKP hybrid), indicating the physical adsorption of DINP by π-π interaction. Moreover, the peak of treated GO at 1067 (epoxy group) shifts to 1077, presumably due to the reaction between hydroxyl groups from MEKP and epoxy group from GO. It is concluded that both MEPK and cobalt can incorporate with GO sheets by chemical reaction and formation of hydrogen bonding. As discussed above, the solvent styrene in cobalt salt can be physically adsorbed on GO surface by π-π interaction. In other words, the styrene monomer in UPR resin has the tendency to be physically adsorbed on the GO surface as well, which in turn affects the crosslinking density of UPR due to the less amount of active free styrene monomers that copolymerize with UPR chains</w:t>
      </w:r>
      <w:r w:rsidR="0068275D">
        <w:rPr>
          <w:rFonts w:ascii="Times New Roman" w:eastAsia="SimSun" w:hAnsi="Times New Roman" w:cs="Times New Roman"/>
          <w:sz w:val="24"/>
          <w:lang w:val="en-GB"/>
        </w:rPr>
        <w:t>.</w:t>
      </w:r>
    </w:p>
    <w:p w14:paraId="54D7D0B6" w14:textId="77777777" w:rsidR="00D003E1" w:rsidRPr="00D003E1" w:rsidRDefault="00D003E1" w:rsidP="00D003E1">
      <w:pPr>
        <w:keepNext/>
        <w:spacing w:after="0" w:line="480" w:lineRule="auto"/>
        <w:ind w:firstLine="284"/>
        <w:jc w:val="center"/>
        <w:rPr>
          <w:rFonts w:ascii="Times New Roman" w:eastAsia="SimSun" w:hAnsi="Times New Roman" w:cs="Times New Roman"/>
          <w:sz w:val="24"/>
          <w:lang w:val="en-GB"/>
        </w:rPr>
      </w:pPr>
      <w:r w:rsidRPr="00D003E1">
        <w:rPr>
          <w:rFonts w:ascii="Times New Roman" w:eastAsia="SimSun" w:hAnsi="Times New Roman" w:cs="Times New Roman"/>
          <w:noProof/>
          <w:sz w:val="24"/>
          <w:lang w:val="en-GB"/>
        </w:rPr>
        <w:drawing>
          <wp:inline distT="0" distB="0" distL="0" distR="0" wp14:anchorId="3D1AE2ED" wp14:editId="570BF8C2">
            <wp:extent cx="4924425" cy="647224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41291" cy="6494416"/>
                    </a:xfrm>
                    <a:prstGeom prst="rect">
                      <a:avLst/>
                    </a:prstGeom>
                    <a:noFill/>
                  </pic:spPr>
                </pic:pic>
              </a:graphicData>
            </a:graphic>
          </wp:inline>
        </w:drawing>
      </w:r>
    </w:p>
    <w:p w14:paraId="766EACA8" w14:textId="558F0359" w:rsidR="00D003E1" w:rsidRPr="00D003E1" w:rsidRDefault="007454C7" w:rsidP="008A66C3">
      <w:pPr>
        <w:pStyle w:val="Caption"/>
        <w:ind w:firstLine="0"/>
        <w:jc w:val="both"/>
        <w:rPr>
          <w:rFonts w:eastAsia="SimSun" w:cs="Times New Roman"/>
          <w:bCs/>
          <w:lang w:val="en-GB"/>
        </w:rPr>
      </w:pPr>
      <w:bookmarkStart w:id="107" w:name="_Toc502661663"/>
      <w:r>
        <w:t>Figure 3</w:t>
      </w:r>
      <w:r w:rsidR="00EF086B">
        <w:t>.</w:t>
      </w:r>
      <w:r w:rsidR="003D1E0D">
        <w:t>9</w:t>
      </w:r>
      <w:r w:rsidR="00D003E1" w:rsidRPr="00D003E1">
        <w:rPr>
          <w:rFonts w:eastAsia="SimSun" w:cs="Times New Roman"/>
          <w:b w:val="0"/>
          <w:bCs/>
          <w:lang w:val="en-GB"/>
        </w:rPr>
        <w:t>.</w:t>
      </w:r>
      <w:r w:rsidR="00D003E1" w:rsidRPr="00D003E1">
        <w:rPr>
          <w:rFonts w:eastAsia="SimSun" w:cs="Times New Roman"/>
          <w:bCs/>
          <w:lang w:val="en-GB"/>
        </w:rPr>
        <w:t xml:space="preserve"> </w:t>
      </w:r>
      <w:r w:rsidR="00D003E1" w:rsidRPr="00D003E1">
        <w:rPr>
          <w:rFonts w:eastAsia="SimSun" w:cs="Times New Roman" w:hint="eastAsia"/>
          <w:bCs/>
          <w:lang w:val="en-GB"/>
        </w:rPr>
        <w:t xml:space="preserve">FTIR spectra of GO (80 </w:t>
      </w:r>
      <w:r w:rsidR="00D003E1" w:rsidRPr="00D003E1">
        <w:rPr>
          <w:rFonts w:eastAsia="SimSun" w:cs="Times New Roman"/>
          <w:bCs/>
          <w:lang w:val="en-GB"/>
        </w:rPr>
        <w:t>º</w:t>
      </w:r>
      <w:r w:rsidR="00D003E1" w:rsidRPr="00D003E1">
        <w:rPr>
          <w:rFonts w:eastAsia="SimSun" w:cs="Times New Roman" w:hint="eastAsia"/>
          <w:bCs/>
          <w:lang w:val="en-GB"/>
        </w:rPr>
        <w:t>C</w:t>
      </w:r>
      <w:r w:rsidR="00D003E1" w:rsidRPr="00D003E1">
        <w:rPr>
          <w:rFonts w:eastAsia="SimSun" w:cs="Times New Roman"/>
          <w:bCs/>
          <w:lang w:val="en-GB"/>
        </w:rPr>
        <w:t>, 3 h</w:t>
      </w:r>
      <w:r w:rsidR="00D003E1" w:rsidRPr="00D003E1">
        <w:rPr>
          <w:rFonts w:eastAsia="SimSun" w:cs="Times New Roman" w:hint="eastAsia"/>
          <w:bCs/>
          <w:lang w:val="en-GB"/>
        </w:rPr>
        <w:t>), GO</w:t>
      </w:r>
      <w:r w:rsidR="00D003E1" w:rsidRPr="00D003E1">
        <w:rPr>
          <w:rFonts w:eastAsia="SimSun" w:cs="Times New Roman"/>
          <w:bCs/>
          <w:lang w:val="en-GB"/>
        </w:rPr>
        <w:t>–</w:t>
      </w:r>
      <w:r w:rsidR="00D003E1" w:rsidRPr="00D003E1">
        <w:rPr>
          <w:rFonts w:eastAsia="SimSun" w:cs="Times New Roman" w:hint="eastAsia"/>
          <w:bCs/>
          <w:lang w:val="en-GB"/>
        </w:rPr>
        <w:t xml:space="preserve">MEKP, </w:t>
      </w:r>
      <w:r w:rsidR="00D003E1" w:rsidRPr="00D003E1">
        <w:rPr>
          <w:rFonts w:eastAsia="SimSun" w:cs="Times New Roman"/>
          <w:bCs/>
          <w:lang w:val="en-GB"/>
        </w:rPr>
        <w:t xml:space="preserve">and </w:t>
      </w:r>
      <w:r w:rsidR="00D003E1" w:rsidRPr="00D003E1">
        <w:rPr>
          <w:rFonts w:eastAsia="SimSun" w:cs="Times New Roman" w:hint="eastAsia"/>
          <w:bCs/>
          <w:lang w:val="en-GB"/>
        </w:rPr>
        <w:t>GO</w:t>
      </w:r>
      <w:r w:rsidR="00D003E1" w:rsidRPr="00D003E1">
        <w:rPr>
          <w:rFonts w:eastAsia="SimSun" w:cs="Times New Roman"/>
          <w:bCs/>
          <w:lang w:val="en-GB"/>
        </w:rPr>
        <w:t>–</w:t>
      </w:r>
      <w:r w:rsidR="00D003E1" w:rsidRPr="00D003E1">
        <w:rPr>
          <w:rFonts w:eastAsia="SimSun" w:cs="Times New Roman" w:hint="eastAsia"/>
          <w:bCs/>
          <w:lang w:val="en-GB"/>
        </w:rPr>
        <w:t>Cobalt hybrids</w:t>
      </w:r>
      <w:r w:rsidR="0068275D">
        <w:rPr>
          <w:rFonts w:eastAsia="SimSun" w:cs="Times New Roman"/>
          <w:bCs/>
          <w:lang w:val="en-GB"/>
        </w:rPr>
        <w:t xml:space="preserve">: (a) </w:t>
      </w:r>
      <w:r w:rsidR="00D003E1" w:rsidRPr="00D003E1">
        <w:rPr>
          <w:rFonts w:eastAsia="SimSun" w:cs="Times New Roman"/>
          <w:bCs/>
          <w:lang w:val="en-GB"/>
        </w:rPr>
        <w:t>GO-cobalt, and (b) GO-MEKP.</w:t>
      </w:r>
      <w:bookmarkEnd w:id="107"/>
    </w:p>
    <w:p w14:paraId="03855844" w14:textId="6C28C32D" w:rsidR="00D003E1" w:rsidRPr="00D003E1" w:rsidRDefault="007454C7" w:rsidP="00D003E1">
      <w:pPr>
        <w:spacing w:after="0" w:line="480" w:lineRule="auto"/>
        <w:rPr>
          <w:rFonts w:ascii="Times New Roman" w:eastAsia="SimSun" w:hAnsi="Times New Roman" w:cs="Times New Roman"/>
          <w:sz w:val="24"/>
          <w:lang w:val="en-GB"/>
        </w:rPr>
      </w:pPr>
      <w:r>
        <w:rPr>
          <w:rFonts w:ascii="Times New Roman" w:eastAsia="SimSun" w:hAnsi="Times New Roman" w:cs="Times New Roman" w:hint="eastAsia"/>
          <w:sz w:val="24"/>
          <w:lang w:val="en-GB"/>
        </w:rPr>
        <w:t>3</w:t>
      </w:r>
      <w:r w:rsidR="007A5F08">
        <w:rPr>
          <w:rFonts w:ascii="Times New Roman" w:eastAsia="SimSun" w:hAnsi="Times New Roman" w:cs="Times New Roman" w:hint="eastAsia"/>
          <w:sz w:val="24"/>
          <w:lang w:val="en-GB"/>
        </w:rPr>
        <w:t>.</w:t>
      </w:r>
      <w:r w:rsidR="000C127D">
        <w:rPr>
          <w:rFonts w:ascii="Times New Roman" w:eastAsia="SimSun" w:hAnsi="Times New Roman" w:cs="Times New Roman" w:hint="eastAsia"/>
          <w:sz w:val="24"/>
          <w:lang w:val="en-GB"/>
        </w:rPr>
        <w:t>3</w:t>
      </w:r>
      <w:r w:rsidR="00D003E1" w:rsidRPr="00D003E1">
        <w:rPr>
          <w:rFonts w:ascii="Times New Roman" w:eastAsia="SimSun" w:hAnsi="Times New Roman" w:cs="Times New Roman" w:hint="eastAsia"/>
          <w:sz w:val="24"/>
          <w:lang w:val="en-GB"/>
        </w:rPr>
        <w:t>.7.2</w:t>
      </w:r>
      <w:r w:rsidR="00D003E1" w:rsidRPr="00D003E1">
        <w:rPr>
          <w:rFonts w:ascii="Times New Roman" w:eastAsia="SimSun" w:hAnsi="Times New Roman" w:cs="Times New Roman"/>
          <w:sz w:val="24"/>
          <w:lang w:val="en-GB"/>
        </w:rPr>
        <w:t>.</w:t>
      </w:r>
      <w:r w:rsidR="00D003E1" w:rsidRPr="00D003E1">
        <w:rPr>
          <w:rFonts w:ascii="Times New Roman" w:eastAsia="SimSun" w:hAnsi="Times New Roman" w:cs="Times New Roman" w:hint="eastAsia"/>
          <w:sz w:val="24"/>
          <w:lang w:val="en-GB"/>
        </w:rPr>
        <w:t xml:space="preserve"> TGA of GO, GO</w:t>
      </w:r>
      <w:r w:rsidR="00D003E1" w:rsidRPr="00D003E1">
        <w:rPr>
          <w:rFonts w:ascii="Times New Roman" w:eastAsia="SimSun" w:hAnsi="Times New Roman" w:cs="Times New Roman"/>
          <w:sz w:val="24"/>
          <w:lang w:val="en-GB"/>
        </w:rPr>
        <w:t>–</w:t>
      </w:r>
      <w:r w:rsidR="00D003E1" w:rsidRPr="00D003E1">
        <w:rPr>
          <w:rFonts w:ascii="Times New Roman" w:eastAsia="SimSun" w:hAnsi="Times New Roman" w:cs="Times New Roman" w:hint="eastAsia"/>
          <w:sz w:val="24"/>
          <w:lang w:val="en-GB"/>
        </w:rPr>
        <w:t xml:space="preserve">MEKP, </w:t>
      </w:r>
      <w:r w:rsidR="00D003E1" w:rsidRPr="00D003E1">
        <w:rPr>
          <w:rFonts w:ascii="Times New Roman" w:eastAsia="SimSun" w:hAnsi="Times New Roman" w:cs="Times New Roman"/>
          <w:sz w:val="24"/>
          <w:lang w:val="en-GB"/>
        </w:rPr>
        <w:t xml:space="preserve">and </w:t>
      </w:r>
      <w:r w:rsidR="00D003E1" w:rsidRPr="00D003E1">
        <w:rPr>
          <w:rFonts w:ascii="Times New Roman" w:eastAsia="SimSun" w:hAnsi="Times New Roman" w:cs="Times New Roman" w:hint="eastAsia"/>
          <w:sz w:val="24"/>
          <w:lang w:val="en-GB"/>
        </w:rPr>
        <w:t>GO</w:t>
      </w:r>
      <w:r w:rsidR="00D003E1" w:rsidRPr="00D003E1">
        <w:rPr>
          <w:rFonts w:ascii="Times New Roman" w:eastAsia="SimSun" w:hAnsi="Times New Roman" w:cs="Times New Roman"/>
          <w:sz w:val="24"/>
          <w:lang w:val="en-GB"/>
        </w:rPr>
        <w:t>–C</w:t>
      </w:r>
      <w:r w:rsidR="00D003E1" w:rsidRPr="00D003E1">
        <w:rPr>
          <w:rFonts w:ascii="Times New Roman" w:eastAsia="SimSun" w:hAnsi="Times New Roman" w:cs="Times New Roman" w:hint="eastAsia"/>
          <w:sz w:val="24"/>
          <w:lang w:val="en-GB"/>
        </w:rPr>
        <w:t xml:space="preserve">obalt </w:t>
      </w:r>
      <w:r w:rsidR="00D003E1" w:rsidRPr="00D003E1">
        <w:rPr>
          <w:rFonts w:ascii="Times New Roman" w:eastAsia="SimSun" w:hAnsi="Times New Roman" w:cs="Times New Roman"/>
          <w:sz w:val="24"/>
          <w:lang w:val="en-GB"/>
        </w:rPr>
        <w:t>hybrids</w:t>
      </w:r>
    </w:p>
    <w:p w14:paraId="2D97E758" w14:textId="3A9C2F22"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 xml:space="preserve">TGA is employed to further study the effect of GO on the curing process of UPR, </w:t>
      </w:r>
      <w:r w:rsidR="00664632">
        <w:rPr>
          <w:rFonts w:ascii="Times New Roman" w:eastAsia="SimSun" w:hAnsi="Times New Roman" w:cs="Times New Roman"/>
          <w:sz w:val="24"/>
          <w:lang w:val="en-GB"/>
        </w:rPr>
        <w:t>as shown in</w:t>
      </w:r>
      <w:r w:rsidR="00336FE3">
        <w:rPr>
          <w:rFonts w:ascii="Times New Roman" w:eastAsia="SimSun" w:hAnsi="Times New Roman" w:cs="Times New Roman"/>
          <w:sz w:val="24"/>
          <w:lang w:val="en-GB"/>
        </w:rPr>
        <w:t xml:space="preserve"> Figure 3.10</w:t>
      </w:r>
      <w:r w:rsidRPr="00D003E1">
        <w:rPr>
          <w:rFonts w:ascii="Times New Roman" w:eastAsia="SimSun" w:hAnsi="Times New Roman" w:cs="Times New Roman"/>
          <w:sz w:val="24"/>
          <w:lang w:val="en-GB"/>
        </w:rPr>
        <w:t xml:space="preserve">. According to Lala, and Montoro’s work </w:t>
      </w:r>
      <w:r w:rsidRPr="00D003E1">
        <w:rPr>
          <w:rFonts w:ascii="Times New Roman" w:eastAsia="SimSun" w:hAnsi="Times New Roman" w:cs="Times New Roman"/>
          <w:sz w:val="24"/>
          <w:lang w:val="en-GB"/>
        </w:rPr>
        <w:fldChar w:fldCharType="begin" w:fldLock="1"/>
      </w:r>
      <w:r w:rsidR="00D14688">
        <w:rPr>
          <w:rFonts w:ascii="Times New Roman" w:eastAsia="SimSun" w:hAnsi="Times New Roman" w:cs="Times New Roman"/>
          <w:sz w:val="24"/>
          <w:lang w:val="en-GB"/>
        </w:rPr>
        <w:instrText>ADDIN CSL_CITATION { "citationItems" : [ { "id" : "ITEM-1", "itemData" : { "DOI" : "10.1016/S0378-7753(02)00590-6", "ISBN" : "5516602378", "ISSN" : "0378-7753", "abstract" : "We have studied the preparation of LiCoO2 powder using the metallo-organic decomposition (MOD) route in air. Cobalt and lithium 2-ethylhexanoate were obtained from hydroxides and 2-ethylhexanoic acid. TG/DTA and XRD techniques were used to study the steps of formation of well-organized LiCoO2 (R-3m). The MOD route produced LiCoO2 (R-3m) at 700 \u00b0C with specific surface area 1.7 m2 g\u22121 and grain size distribution d50=24 \u03bcm. The electrochemical response of MOD LiCoO2 powder was tested by cyclic voltammetry and discharge/charge cycles in a composite electrode. The MOD method yields LiCoO2 agglomerated particles with size distribution and porosity that facilitate lithium diffusion in the composite electrode.", "author" : [ { "dropping-particle" : "", "family" : "Lala", "given" : "S M", "non-dropping-particle" : "", "parse-names" : false, "suffix" : "" }, { "dropping-particle" : "", "family" : "Montoro", "given" : "L A", "non-dropping-particle" : "", "parse-names" : false, "suffix" : "" }, { "dropping-particle" : "", "family" : "Donato", "given" : "E", "non-dropping-particle" : "di", "parse-names" : false, "suffix" : "" }, { "dropping-particle" : "", "family" : "Rosolen", "given" : "J M", "non-dropping-particle" : "", "parse-names" : false, "suffix" : "" } ], "container-title" : "Journal of Power Sources", "id" : "ITEM-1", "issued" : { "date-parts" : [ [ "2003" ] ] }, "page" : "127-132", "title" : "Synthesis of LiCoO2 by metallo-organic decomposition-MOD", "type" : "article-journal", "volume" : "114" }, "uris" : [ "http://www.mendeley.com/documents/?uuid=d007b0f3-9a1c-409c-b0a8-48842dcf8dbb" ] } ], "mendeley" : { "formattedCitation" : "[177]", "plainTextFormattedCitation" : "[177]", "previouslyFormattedCitation" : "[177]" }, "properties" : {  }, "schema" : "https://github.com/citation-style-language/schema/raw/master/csl-citation.json" }</w:instrText>
      </w:r>
      <w:r w:rsidRPr="00D003E1">
        <w:rPr>
          <w:rFonts w:ascii="Times New Roman" w:eastAsia="SimSun" w:hAnsi="Times New Roman" w:cs="Times New Roman"/>
          <w:sz w:val="24"/>
          <w:lang w:val="en-GB"/>
        </w:rPr>
        <w:fldChar w:fldCharType="separate"/>
      </w:r>
      <w:r w:rsidR="00D973A8" w:rsidRPr="00D973A8">
        <w:rPr>
          <w:rFonts w:ascii="Times New Roman" w:eastAsia="SimSun" w:hAnsi="Times New Roman" w:cs="Times New Roman"/>
          <w:noProof/>
          <w:sz w:val="24"/>
          <w:lang w:val="en-GB"/>
        </w:rPr>
        <w:t>[177]</w:t>
      </w:r>
      <w:r w:rsidRPr="00D003E1">
        <w:rPr>
          <w:rFonts w:ascii="Times New Roman" w:eastAsia="SimSun" w:hAnsi="Times New Roman" w:cs="Times New Roman"/>
          <w:sz w:val="24"/>
          <w:lang w:val="en-GB"/>
        </w:rPr>
        <w:fldChar w:fldCharType="end"/>
      </w:r>
      <w:r w:rsidRPr="00D003E1">
        <w:rPr>
          <w:rFonts w:ascii="Times New Roman" w:eastAsia="SimSun" w:hAnsi="Times New Roman" w:cs="Times New Roman"/>
          <w:sz w:val="24"/>
          <w:lang w:val="en-GB"/>
        </w:rPr>
        <w:t>, TGA of cobalt salt shows three weight loss steps. the first major weight loss of 15 wt.% happened under the temperature range from ambient to 183 °C which relates to the conversion of Co into producing CO</w:t>
      </w:r>
      <w:r w:rsidRPr="00D003E1">
        <w:rPr>
          <w:rFonts w:ascii="Times New Roman" w:eastAsia="SimSun" w:hAnsi="Times New Roman" w:cs="Times New Roman"/>
          <w:sz w:val="24"/>
          <w:vertAlign w:val="subscript"/>
          <w:lang w:val="en-GB"/>
        </w:rPr>
        <w:t>2</w:t>
      </w:r>
      <w:r w:rsidRPr="00D003E1">
        <w:rPr>
          <w:rFonts w:ascii="Times New Roman" w:eastAsia="SimSun" w:hAnsi="Times New Roman" w:cs="Times New Roman"/>
          <w:sz w:val="24"/>
          <w:lang w:val="en-GB"/>
        </w:rPr>
        <w:t>, Co</w:t>
      </w:r>
      <w:r w:rsidRPr="00D003E1">
        <w:rPr>
          <w:rFonts w:ascii="Times New Roman" w:eastAsia="SimSun" w:hAnsi="Times New Roman" w:cs="Times New Roman"/>
          <w:sz w:val="24"/>
          <w:vertAlign w:val="subscript"/>
          <w:lang w:val="en-GB"/>
        </w:rPr>
        <w:t>3</w:t>
      </w:r>
      <w:r w:rsidRPr="00D003E1">
        <w:rPr>
          <w:rFonts w:ascii="Times New Roman" w:eastAsia="SimSun" w:hAnsi="Times New Roman" w:cs="Times New Roman"/>
          <w:sz w:val="24"/>
          <w:lang w:val="en-GB"/>
        </w:rPr>
        <w:t>O</w:t>
      </w:r>
      <w:r w:rsidRPr="00D003E1">
        <w:rPr>
          <w:rFonts w:ascii="Times New Roman" w:eastAsia="SimSun" w:hAnsi="Times New Roman" w:cs="Times New Roman"/>
          <w:sz w:val="24"/>
          <w:vertAlign w:val="subscript"/>
          <w:lang w:val="en-GB"/>
        </w:rPr>
        <w:t>4</w:t>
      </w:r>
      <w:r w:rsidRPr="00D003E1">
        <w:rPr>
          <w:rFonts w:ascii="Times New Roman" w:eastAsia="SimSun" w:hAnsi="Times New Roman" w:cs="Times New Roman"/>
          <w:sz w:val="24"/>
          <w:lang w:val="en-GB"/>
        </w:rPr>
        <w:t xml:space="preserve">, and CoO. The second biggest weight loss </w:t>
      </w:r>
      <w:r w:rsidR="00664632" w:rsidRPr="00D003E1">
        <w:rPr>
          <w:rFonts w:ascii="Times New Roman" w:eastAsia="SimSun" w:hAnsi="Times New Roman" w:cs="Times New Roman"/>
          <w:sz w:val="24"/>
          <w:lang w:val="en-GB"/>
        </w:rPr>
        <w:t>of cobalt</w:t>
      </w:r>
      <w:r w:rsidRPr="00D003E1">
        <w:rPr>
          <w:rFonts w:ascii="Times New Roman" w:eastAsia="SimSun" w:hAnsi="Times New Roman" w:cs="Times New Roman"/>
          <w:sz w:val="24"/>
          <w:lang w:val="en-GB"/>
        </w:rPr>
        <w:t xml:space="preserve"> salt (40 wt.%) occurred from 245 °C to 330 °C which is the decomposition of organic chains. Compared to GO, treated GO (80 ºC) exhibits a very similar TGA curve except the char yield, which is 39.4 % for GO, and 42 % for treated GO (80 ºC). This implies that GO loses a tiny amount of oxygen functional groups during the heating under 80 °C. There is no significant difference of TGA curves of treated GO (80 ºC), and GO-MEKP hybrid, indicating that only a tiny amount of initiator has incorporated with GO, which is negligible. However, TGA curve of GO-cobalt hybrid exhibits a significant difference, compared to treated GO. Briefly, there are three steps in TGA curve of GO-cobalt hybrid. In the first step (25 ºC to 100 ºC), there is a 10% weight loss due to the moisture.  In the second step (100 ºC to 160 ºC), 11% weight loss occurs, which is related to the styrene physically adsorbed on GO sheet. In the third step (160 ºC-250 ºC), the majority of weight loss of 26.3% occurs that is related to the pyrolysis of oxygen functional groups of GO, yielding CO, CO</w:t>
      </w:r>
      <w:r w:rsidRPr="00D003E1">
        <w:rPr>
          <w:rFonts w:ascii="Times New Roman" w:eastAsia="SimSun" w:hAnsi="Times New Roman" w:cs="Times New Roman"/>
          <w:sz w:val="24"/>
          <w:vertAlign w:val="subscript"/>
          <w:lang w:val="en-GB"/>
        </w:rPr>
        <w:t>2</w:t>
      </w:r>
      <w:r w:rsidRPr="00D003E1">
        <w:rPr>
          <w:rFonts w:ascii="Times New Roman" w:eastAsia="SimSun" w:hAnsi="Times New Roman" w:cs="Times New Roman"/>
          <w:sz w:val="24"/>
          <w:lang w:val="en-GB"/>
        </w:rPr>
        <w:t xml:space="preserve"> and steam. Moreover, the char yield of GO-cobalt is 25%, which is lower than that of treated GO (80 ºC). This implies that the weight loss between 250 ºC to 800 ºC is related to the weight loss of decomposition of the organic chains of cobalt salt and the organic carbon-carbon bonds. This further confirms that cobalt is incorporated on GO surface. </w:t>
      </w:r>
    </w:p>
    <w:p w14:paraId="3792EF1D" w14:textId="77777777" w:rsidR="00D003E1" w:rsidRPr="00D003E1" w:rsidRDefault="00D003E1" w:rsidP="00D003E1">
      <w:pPr>
        <w:spacing w:after="0" w:line="480" w:lineRule="auto"/>
        <w:ind w:firstLine="360"/>
        <w:jc w:val="both"/>
        <w:rPr>
          <w:rFonts w:ascii="Times New Roman" w:eastAsia="SimSun" w:hAnsi="Times New Roman" w:cs="Times New Roman"/>
          <w:sz w:val="24"/>
          <w:lang w:val="en-GB"/>
        </w:rPr>
      </w:pPr>
      <w:r w:rsidRPr="00D003E1">
        <w:rPr>
          <w:rFonts w:ascii="Times New Roman" w:eastAsia="SimSun" w:hAnsi="Times New Roman" w:cs="Times New Roman"/>
          <w:sz w:val="24"/>
          <w:lang w:val="en-GB"/>
        </w:rPr>
        <w:t xml:space="preserve">The FTIR and TGA results confirm that during the curing process of UPR, some catalyst (cobalt) and the tiny amount of initiator (MEKP) can also interact with GO by formation of hydrogen bond and chemical reaction. Therefore, the amount of free cobalt is reduced, resulting in a longer curing time. Meanwhile, some styrene monomers from UPR-styrene system can be physically adsorbed on the GO surface by π-π interaction, resulting in less free reactive styrene for copolymerization with UPR. Therefore, the influence of GO on the mechanical, thermal properties, and </w:t>
      </w:r>
      <w:r w:rsidRPr="00D003E1">
        <w:rPr>
          <w:rFonts w:ascii="Times New Roman" w:eastAsia="SimSun" w:hAnsi="Times New Roman" w:cs="Times New Roman"/>
          <w:i/>
          <w:sz w:val="24"/>
          <w:lang w:val="en-GB"/>
        </w:rPr>
        <w:t>T</w:t>
      </w:r>
      <w:r w:rsidRPr="00D003E1">
        <w:rPr>
          <w:rFonts w:ascii="Times New Roman" w:eastAsia="SimSun" w:hAnsi="Times New Roman" w:cs="Times New Roman"/>
          <w:i/>
          <w:sz w:val="24"/>
          <w:vertAlign w:val="subscript"/>
          <w:lang w:val="en-GB"/>
        </w:rPr>
        <w:t>g</w:t>
      </w:r>
      <w:r w:rsidRPr="00D003E1">
        <w:rPr>
          <w:rFonts w:ascii="Times New Roman" w:eastAsia="SimSun" w:hAnsi="Times New Roman" w:cs="Times New Roman"/>
          <w:sz w:val="24"/>
          <w:lang w:val="en-GB"/>
        </w:rPr>
        <w:t xml:space="preserve"> is not significant.</w:t>
      </w:r>
    </w:p>
    <w:p w14:paraId="1AEC04B4" w14:textId="77777777" w:rsidR="00D003E1" w:rsidRPr="00D003E1" w:rsidRDefault="00D003E1" w:rsidP="00D003E1">
      <w:pPr>
        <w:spacing w:after="0" w:line="480" w:lineRule="auto"/>
        <w:ind w:firstLine="284"/>
        <w:jc w:val="center"/>
        <w:rPr>
          <w:rFonts w:ascii="Times New Roman" w:eastAsia="SimSun" w:hAnsi="Times New Roman" w:cs="Times New Roman"/>
          <w:sz w:val="24"/>
          <w:lang w:val="en-GB"/>
        </w:rPr>
      </w:pPr>
      <w:bookmarkStart w:id="108" w:name="_Ref440739272"/>
      <w:r w:rsidRPr="00D003E1">
        <w:rPr>
          <w:rFonts w:ascii="Times New Roman" w:eastAsia="SimSun" w:hAnsi="Times New Roman" w:cs="Times New Roman"/>
          <w:noProof/>
          <w:sz w:val="24"/>
          <w:lang w:val="en-GB"/>
        </w:rPr>
        <w:drawing>
          <wp:inline distT="0" distB="0" distL="0" distR="0" wp14:anchorId="1A1BA8A6" wp14:editId="5D048CD7">
            <wp:extent cx="4572000" cy="31957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000" cy="3195785"/>
                    </a:xfrm>
                    <a:prstGeom prst="rect">
                      <a:avLst/>
                    </a:prstGeom>
                    <a:noFill/>
                  </pic:spPr>
                </pic:pic>
              </a:graphicData>
            </a:graphic>
          </wp:inline>
        </w:drawing>
      </w:r>
    </w:p>
    <w:bookmarkEnd w:id="108"/>
    <w:p w14:paraId="6B7D26B5" w14:textId="2CE4E5F2" w:rsidR="00D003E1" w:rsidRPr="00D003E1" w:rsidRDefault="007454C7" w:rsidP="00D003E1">
      <w:pPr>
        <w:spacing w:after="0" w:line="480" w:lineRule="auto"/>
        <w:ind w:firstLine="284"/>
        <w:jc w:val="center"/>
        <w:rPr>
          <w:rFonts w:ascii="Times New Roman" w:eastAsia="SimSun" w:hAnsi="Times New Roman" w:cs="Times New Roman"/>
          <w:bCs/>
          <w:sz w:val="24"/>
          <w:szCs w:val="24"/>
        </w:rPr>
      </w:pPr>
      <w:r>
        <w:rPr>
          <w:rFonts w:ascii="Times New Roman" w:eastAsia="SimSun" w:hAnsi="Times New Roman" w:cs="Times New Roman"/>
          <w:b/>
          <w:bCs/>
          <w:sz w:val="24"/>
          <w:szCs w:val="18"/>
          <w:lang w:val="en-GB"/>
        </w:rPr>
        <w:t>Figure 3</w:t>
      </w:r>
      <w:r w:rsidR="003D1E0D">
        <w:rPr>
          <w:rFonts w:ascii="Times New Roman" w:eastAsia="SimSun" w:hAnsi="Times New Roman" w:cs="Times New Roman"/>
          <w:b/>
          <w:bCs/>
          <w:sz w:val="24"/>
          <w:szCs w:val="18"/>
          <w:lang w:val="en-GB"/>
        </w:rPr>
        <w:t>.10</w:t>
      </w:r>
      <w:r w:rsidR="00D003E1" w:rsidRPr="00D003E1">
        <w:rPr>
          <w:rFonts w:ascii="Times New Roman" w:eastAsia="SimSun" w:hAnsi="Times New Roman" w:cs="Times New Roman"/>
          <w:b/>
          <w:bCs/>
          <w:sz w:val="24"/>
          <w:szCs w:val="18"/>
          <w:lang w:val="en-GB"/>
        </w:rPr>
        <w:t>.</w:t>
      </w:r>
      <w:r w:rsidR="00D003E1" w:rsidRPr="00D003E1">
        <w:rPr>
          <w:rFonts w:ascii="Times New Roman" w:eastAsia="SimSun" w:hAnsi="Times New Roman" w:cs="Times New Roman"/>
          <w:bCs/>
          <w:sz w:val="24"/>
          <w:szCs w:val="18"/>
          <w:lang w:val="en-GB"/>
        </w:rPr>
        <w:t xml:space="preserve"> </w:t>
      </w:r>
      <w:r w:rsidR="00D003E1" w:rsidRPr="00D003E1">
        <w:rPr>
          <w:rFonts w:ascii="Times New Roman" w:eastAsia="SimSun" w:hAnsi="Times New Roman" w:cs="Times New Roman"/>
          <w:bCs/>
          <w:sz w:val="24"/>
          <w:szCs w:val="24"/>
        </w:rPr>
        <w:t>TGA of GO (80 ºC, 3 h), GO-MEKP, and GO–Cobalt hybrids.</w:t>
      </w:r>
    </w:p>
    <w:p w14:paraId="3B42EC3C" w14:textId="77777777" w:rsidR="00D003E1" w:rsidRPr="00D003E1" w:rsidRDefault="00D003E1" w:rsidP="00D003E1">
      <w:pPr>
        <w:spacing w:after="0" w:line="480" w:lineRule="auto"/>
        <w:ind w:firstLine="284"/>
        <w:rPr>
          <w:rFonts w:ascii="Times New Roman" w:eastAsia="SimSun" w:hAnsi="Times New Roman" w:cs="Times New Roman"/>
          <w:sz w:val="24"/>
        </w:rPr>
      </w:pPr>
    </w:p>
    <w:p w14:paraId="116D84A7" w14:textId="7D10D440" w:rsidR="00D003E1" w:rsidRPr="00D003E1" w:rsidRDefault="001B3FB7" w:rsidP="00D003E1">
      <w:pPr>
        <w:keepNext/>
        <w:keepLines/>
        <w:spacing w:after="0" w:line="480" w:lineRule="auto"/>
        <w:jc w:val="both"/>
        <w:outlineLvl w:val="0"/>
        <w:rPr>
          <w:rFonts w:ascii="Times New Roman" w:eastAsia="SimSun" w:hAnsi="Times New Roman" w:cs="Times New Roman"/>
          <w:b/>
          <w:bCs/>
          <w:color w:val="000000"/>
          <w:sz w:val="40"/>
          <w:szCs w:val="28"/>
          <w:lang w:val="en-GB"/>
        </w:rPr>
      </w:pPr>
      <w:bookmarkStart w:id="109" w:name="_Toc518823278"/>
      <w:r>
        <w:rPr>
          <w:rFonts w:ascii="Times New Roman" w:eastAsia="SimSun" w:hAnsi="Times New Roman" w:cs="Times New Roman"/>
          <w:b/>
          <w:bCs/>
          <w:color w:val="000000"/>
          <w:sz w:val="40"/>
          <w:szCs w:val="28"/>
          <w:lang w:val="en-GB"/>
        </w:rPr>
        <w:t>3</w:t>
      </w:r>
      <w:r w:rsidR="007A5F08">
        <w:rPr>
          <w:rFonts w:ascii="Times New Roman" w:eastAsia="SimSun" w:hAnsi="Times New Roman" w:cs="Times New Roman" w:hint="eastAsia"/>
          <w:b/>
          <w:bCs/>
          <w:color w:val="000000"/>
          <w:sz w:val="40"/>
          <w:szCs w:val="28"/>
          <w:lang w:val="en-GB"/>
        </w:rPr>
        <w:t>.</w:t>
      </w:r>
      <w:r w:rsidR="000C127D">
        <w:rPr>
          <w:rFonts w:ascii="Times New Roman" w:eastAsia="SimSun" w:hAnsi="Times New Roman" w:cs="Times New Roman"/>
          <w:b/>
          <w:bCs/>
          <w:color w:val="000000"/>
          <w:sz w:val="40"/>
          <w:szCs w:val="28"/>
          <w:lang w:val="en-GB"/>
        </w:rPr>
        <w:t>4</w:t>
      </w:r>
      <w:r w:rsidR="00D003E1" w:rsidRPr="00D003E1">
        <w:rPr>
          <w:rFonts w:ascii="Times New Roman" w:eastAsia="SimSun" w:hAnsi="Times New Roman" w:cs="Times New Roman"/>
          <w:b/>
          <w:bCs/>
          <w:color w:val="000000"/>
          <w:sz w:val="40"/>
          <w:szCs w:val="28"/>
          <w:lang w:val="en-GB"/>
        </w:rPr>
        <w:t>. Conclusion</w:t>
      </w:r>
      <w:bookmarkEnd w:id="109"/>
      <w:r w:rsidR="00D003E1" w:rsidRPr="00D003E1">
        <w:rPr>
          <w:rFonts w:ascii="Times New Roman" w:eastAsia="SimSun" w:hAnsi="Times New Roman" w:cs="Times New Roman"/>
          <w:b/>
          <w:bCs/>
          <w:color w:val="000000"/>
          <w:sz w:val="40"/>
          <w:szCs w:val="28"/>
          <w:lang w:val="en-GB"/>
        </w:rPr>
        <w:t xml:space="preserve"> </w:t>
      </w:r>
    </w:p>
    <w:p w14:paraId="3186BFC1" w14:textId="6098E74C" w:rsidR="00D003E1" w:rsidRPr="00D003E1" w:rsidRDefault="00D003E1" w:rsidP="00D003E1">
      <w:pPr>
        <w:spacing w:after="0" w:line="480" w:lineRule="auto"/>
        <w:jc w:val="both"/>
        <w:rPr>
          <w:rFonts w:ascii="Times New Roman" w:eastAsia="SimSun" w:hAnsi="Times New Roman" w:cs="Times New Roman"/>
          <w:sz w:val="24"/>
          <w:lang w:val="en-GB"/>
        </w:rPr>
      </w:pPr>
      <w:r w:rsidRPr="00D003E1">
        <w:rPr>
          <w:rFonts w:ascii="Times New Roman" w:eastAsia="SimSun" w:hAnsi="Times New Roman" w:cs="Times New Roman" w:hint="eastAsia"/>
          <w:sz w:val="24"/>
          <w:lang w:val="en-GB"/>
        </w:rPr>
        <w:t>In this work, GO was prepared by Hummer</w:t>
      </w:r>
      <w:r w:rsidR="0033210F">
        <w:rPr>
          <w:rFonts w:ascii="Times New Roman" w:eastAsia="SimSun" w:hAnsi="Times New Roman" w:cs="Times New Roman"/>
          <w:sz w:val="24"/>
          <w:lang w:val="en-GB"/>
        </w:rPr>
        <w:t>s</w:t>
      </w:r>
      <w:r w:rsidRPr="00D003E1">
        <w:rPr>
          <w:rFonts w:ascii="Times New Roman" w:eastAsia="SimSun" w:hAnsi="Times New Roman" w:cs="Times New Roman" w:hint="eastAsia"/>
          <w:sz w:val="24"/>
          <w:lang w:val="en-GB"/>
        </w:rPr>
        <w:t xml:space="preserve"> method and UPR/GO </w:t>
      </w:r>
      <w:r w:rsidRPr="00D003E1">
        <w:rPr>
          <w:rFonts w:ascii="Times New Roman" w:eastAsia="SimSun" w:hAnsi="Times New Roman" w:cs="Times New Roman"/>
          <w:sz w:val="24"/>
          <w:lang w:val="en-GB"/>
        </w:rPr>
        <w:t xml:space="preserve">composite </w:t>
      </w:r>
      <w:r w:rsidRPr="00D003E1">
        <w:rPr>
          <w:rFonts w:ascii="Times New Roman" w:eastAsia="SimSun" w:hAnsi="Times New Roman" w:cs="Times New Roman" w:hint="eastAsia"/>
          <w:sz w:val="24"/>
          <w:lang w:val="en-GB"/>
        </w:rPr>
        <w:t xml:space="preserve">with different GO contents were synthesised by crosslinking at the presence of GO powder. AFM images confirm that single layer GO would be obtained by </w:t>
      </w:r>
      <w:r w:rsidR="0033210F">
        <w:rPr>
          <w:rFonts w:ascii="Times New Roman" w:eastAsia="SimSun" w:hAnsi="Times New Roman" w:cs="Times New Roman" w:hint="eastAsia"/>
          <w:sz w:val="24"/>
          <w:lang w:val="en-GB"/>
        </w:rPr>
        <w:t>Hummers</w:t>
      </w:r>
      <w:r w:rsidRPr="00D003E1">
        <w:rPr>
          <w:rFonts w:ascii="Times New Roman" w:eastAsia="SimSun" w:hAnsi="Times New Roman" w:cs="Times New Roman" w:hint="eastAsia"/>
          <w:sz w:val="24"/>
          <w:lang w:val="en-GB"/>
        </w:rPr>
        <w:t xml:space="preserve"> method with mild </w:t>
      </w:r>
      <w:r w:rsidRPr="00D003E1">
        <w:rPr>
          <w:rFonts w:ascii="Times New Roman" w:eastAsia="SimSun" w:hAnsi="Times New Roman" w:cs="Times New Roman"/>
          <w:sz w:val="24"/>
          <w:lang w:val="en-GB"/>
        </w:rPr>
        <w:t>sonication</w:t>
      </w:r>
      <w:r w:rsidRPr="00D003E1">
        <w:rPr>
          <w:rFonts w:ascii="Times New Roman" w:eastAsia="SimSun" w:hAnsi="Times New Roman" w:cs="Times New Roman" w:hint="eastAsia"/>
          <w:sz w:val="24"/>
          <w:lang w:val="en-GB"/>
        </w:rPr>
        <w:t xml:space="preserve"> treatment</w:t>
      </w:r>
      <w:r w:rsidRPr="00D003E1">
        <w:rPr>
          <w:rFonts w:ascii="Times New Roman" w:eastAsia="SimSun" w:hAnsi="Times New Roman" w:cs="Times New Roman"/>
          <w:sz w:val="24"/>
          <w:lang w:val="en-GB"/>
        </w:rPr>
        <w:t xml:space="preserve">. The dispersion quality of GO in UPR matrix is good at 0.01 wt.%, but starts to aggregate from 0.05 wt.%, which can further explain the properties of UPR/GO composites. </w:t>
      </w:r>
      <w:r w:rsidRPr="00D003E1">
        <w:rPr>
          <w:rFonts w:ascii="Times New Roman" w:eastAsia="SimSun" w:hAnsi="Times New Roman" w:cs="Times New Roman" w:hint="eastAsia"/>
          <w:sz w:val="24"/>
          <w:lang w:val="en-GB"/>
        </w:rPr>
        <w:t xml:space="preserve">The successful </w:t>
      </w:r>
      <w:r w:rsidRPr="00D003E1">
        <w:rPr>
          <w:rFonts w:ascii="Times New Roman" w:eastAsia="SimSun" w:hAnsi="Times New Roman" w:cs="Times New Roman"/>
          <w:sz w:val="24"/>
          <w:lang w:val="en-GB"/>
        </w:rPr>
        <w:t>interaction</w:t>
      </w:r>
      <w:r w:rsidRPr="00D003E1">
        <w:rPr>
          <w:rFonts w:ascii="Times New Roman" w:eastAsia="SimSun" w:hAnsi="Times New Roman" w:cs="Times New Roman" w:hint="eastAsia"/>
          <w:sz w:val="24"/>
          <w:lang w:val="en-GB"/>
        </w:rPr>
        <w:t xml:space="preserve"> of GO sheets and UPR polymer chains</w:t>
      </w:r>
      <w:r w:rsidRPr="00D003E1">
        <w:rPr>
          <w:rFonts w:ascii="Times New Roman" w:eastAsia="SimSun" w:hAnsi="Times New Roman" w:cs="Times New Roman"/>
          <w:sz w:val="24"/>
          <w:lang w:val="en-GB"/>
        </w:rPr>
        <w:t xml:space="preserve"> is verified</w:t>
      </w:r>
      <w:r w:rsidRPr="00D003E1">
        <w:rPr>
          <w:rFonts w:ascii="Times New Roman" w:eastAsia="SimSun" w:hAnsi="Times New Roman" w:cs="Times New Roman" w:hint="eastAsia"/>
          <w:sz w:val="24"/>
          <w:lang w:val="en-GB"/>
        </w:rPr>
        <w:t xml:space="preserve">. </w:t>
      </w:r>
      <w:r w:rsidRPr="00D003E1">
        <w:rPr>
          <w:rFonts w:ascii="Times New Roman" w:eastAsia="SimSun" w:hAnsi="Times New Roman" w:cs="Times New Roman"/>
          <w:sz w:val="24"/>
          <w:lang w:val="en-GB"/>
        </w:rPr>
        <w:t>For non-post cured UPR/GO bars, Young’s modulus and tensile strength are improved by addition of GO, and 0.01 wt.</w:t>
      </w:r>
      <w:r w:rsidRPr="00D003E1">
        <w:rPr>
          <w:rFonts w:ascii="Times New Roman" w:eastAsia="SimSun" w:hAnsi="Times New Roman" w:cs="Times New Roman" w:hint="eastAsia"/>
          <w:sz w:val="24"/>
          <w:lang w:val="en-GB"/>
        </w:rPr>
        <w:t>%</w:t>
      </w:r>
      <w:r w:rsidRPr="00D003E1">
        <w:rPr>
          <w:rFonts w:ascii="Times New Roman" w:eastAsia="SimSun" w:hAnsi="Times New Roman" w:cs="Times New Roman"/>
          <w:sz w:val="24"/>
          <w:lang w:val="en-GB"/>
        </w:rPr>
        <w:t xml:space="preserve"> </w:t>
      </w:r>
      <w:r w:rsidRPr="00D003E1">
        <w:rPr>
          <w:rFonts w:ascii="Times New Roman" w:eastAsia="SimSun" w:hAnsi="Times New Roman" w:cs="Times New Roman" w:hint="eastAsia"/>
          <w:sz w:val="24"/>
          <w:lang w:val="en-GB"/>
        </w:rPr>
        <w:t>comp</w:t>
      </w:r>
      <w:r w:rsidRPr="00D003E1">
        <w:rPr>
          <w:rFonts w:ascii="Times New Roman" w:eastAsia="SimSun" w:hAnsi="Times New Roman" w:cs="Times New Roman"/>
          <w:sz w:val="24"/>
          <w:lang w:val="en-GB"/>
        </w:rPr>
        <w:t xml:space="preserve">osite shows improvements of  27.5%, and 4% over neat UPR, respectively. For post cured UPR/GO bars, 0.01 wt.% composite exhibits enhancement of 10.7% on Young’s modulus, and 10% on tensile strength over neat UPR, respectively. </w:t>
      </w:r>
      <w:r w:rsidR="00E761F6" w:rsidRPr="00336FE3">
        <w:rPr>
          <w:rFonts w:ascii="Times New Roman" w:eastAsia="SimSun" w:hAnsi="Times New Roman" w:cs="Times New Roman"/>
          <w:sz w:val="24"/>
          <w:lang w:val="en-GB"/>
        </w:rPr>
        <w:t>The improvement of post cured UPR/GO on Young’s modulus is lower than that of non-post cured UPR/GO composite</w:t>
      </w:r>
      <w:r w:rsidR="00AC3FFC" w:rsidRPr="00336FE3">
        <w:rPr>
          <w:rFonts w:ascii="Times New Roman" w:eastAsia="SimSun" w:hAnsi="Times New Roman" w:cs="Times New Roman"/>
          <w:sz w:val="24"/>
          <w:lang w:val="en-GB"/>
        </w:rPr>
        <w:t>. This is</w:t>
      </w:r>
      <w:r w:rsidR="00E761F6" w:rsidRPr="00336FE3">
        <w:rPr>
          <w:rFonts w:ascii="Times New Roman" w:eastAsia="SimSun" w:hAnsi="Times New Roman" w:cs="Times New Roman"/>
          <w:sz w:val="24"/>
          <w:lang w:val="en-GB"/>
        </w:rPr>
        <w:t xml:space="preserve"> presumably because that the non-post cured sample possesses  more flexibility w</w:t>
      </w:r>
      <w:r w:rsidR="00AC3FFC" w:rsidRPr="00336FE3">
        <w:rPr>
          <w:rFonts w:ascii="Times New Roman" w:eastAsia="SimSun" w:hAnsi="Times New Roman" w:cs="Times New Roman"/>
          <w:sz w:val="24"/>
          <w:lang w:val="en-GB"/>
        </w:rPr>
        <w:t xml:space="preserve">ith lower crosslinking density, which return shows more significant effect by the introduction of GO. </w:t>
      </w:r>
      <w:r w:rsidRPr="00D003E1">
        <w:rPr>
          <w:rFonts w:ascii="Times New Roman" w:eastAsia="SimSun" w:hAnsi="Times New Roman" w:cs="Times New Roman"/>
          <w:sz w:val="24"/>
          <w:lang w:val="en-GB"/>
        </w:rPr>
        <w:t>The elongation at break are reduced by addition of GO for both non-post cured and post cured composites. Moreover, flexural modulus is improved more than 400% over neat UPR, but no significant improvement on flexural strength. All these mechanical properties indicates that the interfacial interaction of GO with UPR is strong at 0.01 wt.%, which can  restrict the mobility of polymer chains, resulting in a stiffer material with higher modulus and lower elongation at break. Meanwhile, the external force can be transferred from polymeric matrix to the strong nanofillers. From the tensile properties of non-post cured UPR and post cured UPR, the post cured process is essential for a higher mechanical performance due to the higher crosslinking density for UPR. The thermal properties is enhanced by interaction of GO with UPR with a gradually increased onset decomposition temperature and increased char yield. However, the glass transition temperature (</w:t>
      </w:r>
      <w:r w:rsidRPr="00D003E1">
        <w:rPr>
          <w:rFonts w:ascii="Times New Roman" w:eastAsia="SimSun" w:hAnsi="Times New Roman" w:cs="Times New Roman"/>
          <w:i/>
          <w:sz w:val="24"/>
          <w:lang w:val="en-GB"/>
        </w:rPr>
        <w:t>T</w:t>
      </w:r>
      <w:r w:rsidRPr="00D003E1">
        <w:rPr>
          <w:rFonts w:ascii="Times New Roman" w:eastAsia="SimSun" w:hAnsi="Times New Roman" w:cs="Times New Roman"/>
          <w:i/>
          <w:sz w:val="24"/>
          <w:vertAlign w:val="subscript"/>
          <w:lang w:val="en-GB"/>
        </w:rPr>
        <w:t>g</w:t>
      </w:r>
      <w:r w:rsidRPr="00D003E1">
        <w:rPr>
          <w:rFonts w:ascii="Times New Roman" w:eastAsia="SimSun" w:hAnsi="Times New Roman" w:cs="Times New Roman"/>
          <w:sz w:val="24"/>
          <w:lang w:val="en-GB"/>
        </w:rPr>
        <w:t>) is not significantly influenced, which is a slight improvement observed at 0.1 w</w:t>
      </w:r>
      <w:r w:rsidRPr="00D003E1">
        <w:rPr>
          <w:rFonts w:ascii="Times New Roman" w:eastAsia="SimSun" w:hAnsi="Times New Roman" w:cs="Times New Roman" w:hint="eastAsia"/>
          <w:sz w:val="24"/>
          <w:lang w:val="en-GB"/>
        </w:rPr>
        <w:t>t</w:t>
      </w:r>
      <w:r w:rsidRPr="00D003E1">
        <w:rPr>
          <w:rFonts w:ascii="Times New Roman" w:eastAsia="SimSun" w:hAnsi="Times New Roman" w:cs="Times New Roman"/>
          <w:sz w:val="24"/>
          <w:lang w:val="en-GB"/>
        </w:rPr>
        <w:t xml:space="preserve">.% over neat UPR. It is concluded that 0.01 wt.% is the optimum GO content for the performance of UPR/GO composites. However, the improvement on mechanical properties of UPR is not significant as some results from other GO based thermosetting polymers reported. FTIR and TGA of control samples of GO-MEKP and GO-cobalt hybrids confirms that some cobalt and styrene monomers can be adsorbed on GO surface by chemical reaction and п-п interaction. Therefore, the curing time is </w:t>
      </w:r>
      <w:r w:rsidRPr="00D003E1">
        <w:rPr>
          <w:rFonts w:ascii="Times New Roman" w:eastAsia="SimSun" w:hAnsi="Times New Roman" w:cs="Times New Roman" w:hint="eastAsia"/>
          <w:sz w:val="24"/>
          <w:lang w:val="en-GB"/>
        </w:rPr>
        <w:t>prolonged</w:t>
      </w:r>
      <w:r w:rsidRPr="00D003E1">
        <w:rPr>
          <w:rFonts w:ascii="Times New Roman" w:eastAsia="SimSun" w:hAnsi="Times New Roman" w:cs="Times New Roman"/>
          <w:sz w:val="24"/>
          <w:lang w:val="en-GB"/>
        </w:rPr>
        <w:t xml:space="preserve"> due to the less catalyst and the crosslinking density is reduced due to the less amount of free reactive styrene monomers. Hence, the addition of GO doesn’t significantly improve the mechanical properties and </w:t>
      </w:r>
      <w:r w:rsidRPr="00D003E1">
        <w:rPr>
          <w:rFonts w:ascii="Times New Roman" w:eastAsia="SimSun" w:hAnsi="Times New Roman" w:cs="Times New Roman"/>
          <w:i/>
          <w:sz w:val="24"/>
          <w:lang w:val="en-GB"/>
        </w:rPr>
        <w:t>T</w:t>
      </w:r>
      <w:r w:rsidRPr="00D003E1">
        <w:rPr>
          <w:rFonts w:ascii="Times New Roman" w:eastAsia="SimSun" w:hAnsi="Times New Roman" w:cs="Times New Roman"/>
          <w:i/>
          <w:sz w:val="24"/>
          <w:vertAlign w:val="subscript"/>
          <w:lang w:val="en-GB"/>
        </w:rPr>
        <w:t>g</w:t>
      </w:r>
      <w:r w:rsidRPr="00D003E1">
        <w:rPr>
          <w:rFonts w:ascii="Times New Roman" w:eastAsia="SimSun" w:hAnsi="Times New Roman" w:cs="Times New Roman"/>
          <w:sz w:val="24"/>
          <w:lang w:val="en-GB"/>
        </w:rPr>
        <w:t xml:space="preserve"> of UPR.</w:t>
      </w:r>
    </w:p>
    <w:p w14:paraId="74EFDE68" w14:textId="77777777" w:rsidR="00D003E1" w:rsidRPr="00D003E1" w:rsidRDefault="00D003E1" w:rsidP="000A1297">
      <w:pPr>
        <w:pStyle w:val="Title"/>
        <w:spacing w:line="360" w:lineRule="auto"/>
        <w:jc w:val="both"/>
        <w:rPr>
          <w:rFonts w:cs="Times New Roman"/>
          <w:sz w:val="50"/>
          <w:szCs w:val="50"/>
          <w:lang w:val="en-GB"/>
        </w:rPr>
      </w:pPr>
    </w:p>
    <w:p w14:paraId="07560DBC" w14:textId="77777777" w:rsidR="00D003E1" w:rsidRDefault="00D003E1" w:rsidP="000A1297">
      <w:pPr>
        <w:pStyle w:val="Title"/>
        <w:spacing w:line="360" w:lineRule="auto"/>
        <w:jc w:val="both"/>
        <w:rPr>
          <w:rFonts w:cs="Times New Roman"/>
          <w:sz w:val="50"/>
          <w:szCs w:val="50"/>
        </w:rPr>
      </w:pPr>
    </w:p>
    <w:p w14:paraId="006B1222" w14:textId="77777777" w:rsidR="00D003E1" w:rsidRDefault="00D003E1" w:rsidP="000A1297">
      <w:pPr>
        <w:pStyle w:val="Title"/>
        <w:spacing w:line="360" w:lineRule="auto"/>
        <w:jc w:val="both"/>
        <w:rPr>
          <w:rFonts w:cs="Times New Roman"/>
          <w:sz w:val="50"/>
          <w:szCs w:val="50"/>
        </w:rPr>
      </w:pPr>
    </w:p>
    <w:p w14:paraId="63750CA8" w14:textId="77777777" w:rsidR="00D003E1" w:rsidRDefault="00D003E1" w:rsidP="000A1297">
      <w:pPr>
        <w:pStyle w:val="Title"/>
        <w:spacing w:line="360" w:lineRule="auto"/>
        <w:jc w:val="both"/>
        <w:rPr>
          <w:rFonts w:cs="Times New Roman"/>
          <w:sz w:val="50"/>
          <w:szCs w:val="50"/>
        </w:rPr>
      </w:pPr>
    </w:p>
    <w:p w14:paraId="336871BD" w14:textId="77777777" w:rsidR="00D003E1" w:rsidRDefault="00D003E1" w:rsidP="000A1297">
      <w:pPr>
        <w:pStyle w:val="Title"/>
        <w:spacing w:line="360" w:lineRule="auto"/>
        <w:jc w:val="both"/>
        <w:rPr>
          <w:rFonts w:cs="Times New Roman"/>
          <w:sz w:val="50"/>
          <w:szCs w:val="50"/>
        </w:rPr>
      </w:pPr>
    </w:p>
    <w:p w14:paraId="76FE3CDF" w14:textId="77777777" w:rsidR="00D003E1" w:rsidRDefault="00D003E1" w:rsidP="000A1297">
      <w:pPr>
        <w:pStyle w:val="Title"/>
        <w:spacing w:line="360" w:lineRule="auto"/>
        <w:jc w:val="both"/>
        <w:rPr>
          <w:rFonts w:cs="Times New Roman"/>
          <w:sz w:val="50"/>
          <w:szCs w:val="50"/>
        </w:rPr>
      </w:pPr>
    </w:p>
    <w:p w14:paraId="1FE2935E" w14:textId="77777777" w:rsidR="00D003E1" w:rsidRDefault="00D003E1" w:rsidP="000A1297">
      <w:pPr>
        <w:pStyle w:val="Title"/>
        <w:spacing w:line="360" w:lineRule="auto"/>
        <w:jc w:val="both"/>
        <w:rPr>
          <w:rFonts w:cs="Times New Roman"/>
          <w:sz w:val="50"/>
          <w:szCs w:val="50"/>
        </w:rPr>
      </w:pPr>
    </w:p>
    <w:p w14:paraId="3381233E" w14:textId="77777777" w:rsidR="00D003E1" w:rsidRDefault="00D003E1" w:rsidP="000A1297">
      <w:pPr>
        <w:pStyle w:val="Title"/>
        <w:spacing w:line="360" w:lineRule="auto"/>
        <w:jc w:val="both"/>
        <w:rPr>
          <w:rFonts w:cs="Times New Roman"/>
          <w:sz w:val="50"/>
          <w:szCs w:val="50"/>
        </w:rPr>
      </w:pPr>
    </w:p>
    <w:p w14:paraId="72E35677" w14:textId="77777777" w:rsidR="00D003E1" w:rsidRDefault="00D003E1" w:rsidP="000A1297">
      <w:pPr>
        <w:pStyle w:val="Title"/>
        <w:spacing w:line="360" w:lineRule="auto"/>
        <w:jc w:val="both"/>
        <w:rPr>
          <w:rFonts w:cs="Times New Roman"/>
          <w:sz w:val="50"/>
          <w:szCs w:val="50"/>
        </w:rPr>
      </w:pPr>
    </w:p>
    <w:p w14:paraId="0FBC16DE" w14:textId="77777777" w:rsidR="00D003E1" w:rsidRDefault="00D003E1" w:rsidP="000A1297">
      <w:pPr>
        <w:pStyle w:val="Title"/>
        <w:spacing w:line="360" w:lineRule="auto"/>
        <w:jc w:val="both"/>
        <w:rPr>
          <w:rFonts w:cs="Times New Roman"/>
          <w:sz w:val="50"/>
          <w:szCs w:val="50"/>
        </w:rPr>
      </w:pPr>
    </w:p>
    <w:p w14:paraId="6326D1F4" w14:textId="77777777" w:rsidR="00D003E1" w:rsidRDefault="00D003E1" w:rsidP="000A1297">
      <w:pPr>
        <w:pStyle w:val="Title"/>
        <w:spacing w:line="360" w:lineRule="auto"/>
        <w:jc w:val="both"/>
        <w:rPr>
          <w:rFonts w:cs="Times New Roman"/>
          <w:sz w:val="50"/>
          <w:szCs w:val="50"/>
        </w:rPr>
      </w:pPr>
    </w:p>
    <w:p w14:paraId="04857AB0" w14:textId="70680E1F" w:rsidR="00D003E1" w:rsidRDefault="00D003E1" w:rsidP="000A1297">
      <w:pPr>
        <w:pStyle w:val="Title"/>
        <w:spacing w:line="360" w:lineRule="auto"/>
        <w:jc w:val="both"/>
        <w:rPr>
          <w:rFonts w:cs="Times New Roman"/>
          <w:sz w:val="50"/>
          <w:szCs w:val="50"/>
        </w:rPr>
      </w:pPr>
    </w:p>
    <w:p w14:paraId="7B0197CF" w14:textId="676F5B29" w:rsidR="007E4AF6" w:rsidRPr="00E709EE" w:rsidRDefault="002147D3" w:rsidP="00E709EE">
      <w:pPr>
        <w:pStyle w:val="Heading1"/>
        <w:rPr>
          <w:sz w:val="40"/>
          <w:szCs w:val="40"/>
        </w:rPr>
      </w:pPr>
      <w:bookmarkStart w:id="110" w:name="_Toc518823279"/>
      <w:r>
        <w:rPr>
          <w:sz w:val="40"/>
          <w:szCs w:val="40"/>
        </w:rPr>
        <w:t>Chapter 4</w:t>
      </w:r>
      <w:r w:rsidR="00D5587C" w:rsidRPr="00E709EE">
        <w:rPr>
          <w:sz w:val="40"/>
          <w:szCs w:val="40"/>
        </w:rPr>
        <w:t xml:space="preserve">: </w:t>
      </w:r>
      <w:r w:rsidR="007E4AF6" w:rsidRPr="00E709EE">
        <w:rPr>
          <w:sz w:val="40"/>
          <w:szCs w:val="40"/>
        </w:rPr>
        <w:t xml:space="preserve">Synthesis and characterization of unsaturated </w:t>
      </w:r>
      <w:r w:rsidR="000A1297" w:rsidRPr="00E709EE">
        <w:rPr>
          <w:rFonts w:hint="eastAsia"/>
          <w:sz w:val="40"/>
          <w:szCs w:val="40"/>
        </w:rPr>
        <w:t>p</w:t>
      </w:r>
      <w:r w:rsidR="007E4AF6" w:rsidRPr="00E709EE">
        <w:rPr>
          <w:sz w:val="40"/>
          <w:szCs w:val="40"/>
        </w:rPr>
        <w:t>olyester composites incorporated with vitamin C-reduced graphene oxide</w:t>
      </w:r>
      <w:bookmarkEnd w:id="110"/>
    </w:p>
    <w:p w14:paraId="0729D697" w14:textId="71D23421" w:rsidR="007E4AF6" w:rsidRDefault="007E4AF6" w:rsidP="007E4AF6">
      <w:pPr>
        <w:pStyle w:val="Title"/>
        <w:rPr>
          <w:rFonts w:cs="Times New Roman"/>
          <w:b w:val="0"/>
        </w:rPr>
      </w:pPr>
    </w:p>
    <w:p w14:paraId="2826D213" w14:textId="77777777" w:rsidR="00D973A8" w:rsidRPr="00D973A8" w:rsidRDefault="00D973A8" w:rsidP="00D973A8"/>
    <w:p w14:paraId="6B1A1207" w14:textId="77777777" w:rsidR="007E4AF6" w:rsidRPr="001A5452" w:rsidRDefault="007E4AF6" w:rsidP="007E4AF6">
      <w:pPr>
        <w:spacing w:after="0"/>
        <w:rPr>
          <w:rFonts w:ascii="Times New Roman" w:hAnsi="Times New Roman" w:cs="Times New Roman"/>
          <w:b/>
          <w:sz w:val="24"/>
          <w:szCs w:val="24"/>
        </w:rPr>
      </w:pPr>
    </w:p>
    <w:p w14:paraId="62329911" w14:textId="215DABBD" w:rsidR="007E4AF6" w:rsidRPr="001A5452" w:rsidRDefault="002147D3" w:rsidP="007E4AF6">
      <w:pPr>
        <w:pStyle w:val="Heading1"/>
        <w:spacing w:before="0"/>
        <w:rPr>
          <w:rFonts w:cs="Times New Roman"/>
        </w:rPr>
      </w:pPr>
      <w:bookmarkStart w:id="111" w:name="_Toc518823280"/>
      <w:r>
        <w:rPr>
          <w:rFonts w:cs="Times New Roman"/>
          <w:b w:val="0"/>
        </w:rPr>
        <w:t>4</w:t>
      </w:r>
      <w:r w:rsidR="004D0F8E">
        <w:rPr>
          <w:rFonts w:cs="Times New Roman"/>
          <w:b w:val="0"/>
        </w:rPr>
        <w:t>.</w:t>
      </w:r>
      <w:r w:rsidR="007E4AF6" w:rsidRPr="00314423">
        <w:rPr>
          <w:rFonts w:cs="Times New Roman"/>
          <w:b w:val="0"/>
        </w:rPr>
        <w:t xml:space="preserve">1. </w:t>
      </w:r>
      <w:r w:rsidR="007E4AF6" w:rsidRPr="00314423">
        <w:rPr>
          <w:rFonts w:cs="Times New Roman"/>
        </w:rPr>
        <w:t>Introduction</w:t>
      </w:r>
      <w:bookmarkEnd w:id="111"/>
    </w:p>
    <w:p w14:paraId="56E57E31" w14:textId="59456F81" w:rsidR="007E4AF6" w:rsidRPr="001A5452" w:rsidRDefault="007E4AF6" w:rsidP="002F042C">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Vitamin C, a natural antioxidant for many metabolic functions in living organisms and food additives, is found to be a great alternative to hydrazine for reducing GO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"10.1021/jp100603h", "ISBN" : "1463-9262", "ISSN" : "1932-7447", "PMID" : "24732631", "abstract" : "The preparation of solution-processable graphene from graphite oxide typically involves a hydrazine reduction step, but the use of such a reagent in the large-scale implementation of this approach is not desirable due to its high toxicity. Here, we compare the deoxygenation efficiency of graphene oxide suspensions by different reductants (sodium borohydride, pyrogallol, and vitamin C, in addition to hydrazine), as well as by heating the suspensions under alkaline conditions. In almost all cases, the degree of reduction attainable and the subsequent restoration of relevant properties (e.g., electrical conductivity) lag significantly behind those achieved with hydrazine. Only vitamin C is found to yield highly reduced suspensions in a way comparable to those provided by hydrazine. Stable suspensions of vitamin C-reduced graphene oxide can be prepared not only in water but also in common organic solvents, such as N,N-dimethylformamide (DMF) or N-methyl-2-pyrrolidone (NMP). These results open the perspective of replacing hydrazine in the reduction of graphene oxide suspensions by an innocuous and safe reductant of similar efficacy, thus facilitating the use of graphene-based materials for large-scale applications.", "author" : [ { "dropping-particle" : "", "family" : "M.J.Fernandez-Merino", "given" : "", "non-dropping-particle" : "", "parse-names" : false, "suffix" : "" }, { "dropping-particle" : "", "family" : "L.Guardia", "given" : "", "non-dropping-particle" : "", "parse-names" : false, "suffix" : "" }, { "dropping-particle" : "", "family" : "J.I.Paredes", "given" : "", "non-dropping-particle" : "", "parse-names" : false, "suffix" : "" }, { "dropping-particle" : "", "family" : "S.Villar-Rodil", "given" : "", "non-dropping-particle" : "", "parse-names" : false, "suffix" : "" }, { "dropping-particle" : "", "family" : "P.Solis-Fernandez", "given" : "", "non-dropping-particle" : "", "parse-names" : false, "suffix" : "" }, { "dropping-particle" : "", "family" : "A.Martinez-Alonso", "given" : "", "non-dropping-particle" : "", "parse-names" : false, "suffix" : "" }, { "dropping-particle" : "", "family" : "J.M.D.Tascon", "given" : "", "non-dropping-particle" : "", "parse-names" : false, "suffix" : "" } ], "container-title" : "The Journal of Physical Chemistry C", "id" : "ITEM-1", "issued" : { "date-parts" : [ [ "2010" ] ] }, "page" : "6426-6432", "title" : "Vitamin C Is an Ideal Substitute for Hydrazine in the Reduction of Graphene Oxide Suspensions", "type" : "article-journal", "volume" : "114" }, "uris" : [ "http://www.mendeley.com/documents/?uuid=9b928ee3-7e2e-4923-8c55-9bf27d7b848d" ] } ], "mendeley" : { "formattedCitation" : "[178]", "plainTextFormattedCitation" : "[178]", "previouslyFormattedCitation" : "[178]"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[178]</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The reduction efficiency and average conductivity of rGO reduced by vitamin C is comparable with rGO reduced with hydrazine </w:t>
      </w:r>
      <w:r w:rsidRPr="001A5452">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"10.1021/jp100603h", "ISBN" : "1463-9262", "ISSN" : "1932-7447", "PMID" : "24732631", "abstract" : "The preparation of solution-processable graphene from graphite oxide typically involves a hydrazine reduction step, but the use of such a reagent in the large-scale implementation of this approach is not desirable due to its high toxicity. Here, we compare the deoxygenation efficiency of graphene oxide suspensions by different reductants (sodium borohydride, pyrogallol, and vitamin C, in addition to hydrazine), as well as by heating the suspensions under alkaline conditions. In almost all cases, the degree of reduction attainable and the subsequent restoration of relevant properties (e.g., electrical conductivity) lag significantly behind those achieved with hydrazine. Only vitamin C is found to yield highly reduced suspensions in a way comparable to those provided by hydrazine. Stable suspensions of vitamin C-reduced graphene oxide can be prepared not only in water but also in common organic solvents, such as N,N-dimethylformamide (DMF) or N-methyl-2-pyrrolidone (NMP). These results open the perspective of replacing hydrazine in the reduction of graphene oxide suspensions by an innocuous and safe reductant of similar efficacy, thus facilitating the use of graphene-based materials for large-scale applications.", "author" : [ { "dropping-particle" : "", "family" : "M. J. Fernandez-Merino, J.Guardia, J.I.Paredes, S.Villar-Rodil, P.Solis-Fernandez, A.Martinez-Alonso", "given" : "and J.M.D.Tascon", "non-dropping-particle" : "", "parse-names" : false, "suffix" : "" } ], "container-title" : "The Journal of Physical Chemistry C", "id" : "ITEM-1", "issued" : { "date-parts" : [ [ "2010" ] ] }, "page" : "6426-6432", "title" : "Vitamin C is an ideal substitute for hydrazine in the reduction of graphene oxide suspensions", "type" : "article-journal", "volume" : "114" }, "uris" : [ "http://www.mendeley.com/documents/?uuid=8ee8dab4-3520-4e5d-9832-c259bc0b4028" ] }, { "id" : "ITEM-2", "itemData" : { "DOI" : "http://dx.doi.org/10.1016/j.tsf.2015.02.038", "ISBN" : "0040-6090", "ISSN" : "0040-6090", "abstract" : "Abstract Graphene has been used to enhance conversion efficiency in dye-sensitized solar cell (DSSC) through increased electronic transportation. Introduction of graphene into DSSC is realized through reduction of graphene oxide (GO) to reduced graphene or RGO in TiO2 nanoparticles in solution. Chemical and hydrothermal reactions are two commonly used avenues. In the chemical route, toxic hydrazine and its derivatives are the typical reducing agent. Hydrothermal process is not toxic but requires prolonged heating. In this study, we mix flakes of GO with TiO2 nanoparticles and use vitamin C to realize the reduction at room temperature. The RGO\u2013TiO2 composite films are then used as photoanode in DSSC. A conversion efficiency of 30% increase (to 7.89%) is obtained as compared to that of the pure TiO2 photoanode.", "author" : [ { "dropping-particle" : "", "family" : "Ding", "given" : "Hui", "non-dropping-particle" : "", "parse-names" : false, "suffix" : "" }, { "dropping-particle" : "", "family" : "Zhang", "given" : "Sam", "non-dropping-particle" : "", "parse-names" : false, "suffix" : "" }, { "dropping-particle" : "", "family" : "Chen", "given" : "Ji-Tao", "non-dropping-particle" : "", "parse-names" : false, "suffix" : "" }, { "dropping-particle" : "", "family" : "Hu", "given" : "Xiao-Ping", "non-dropping-particle" : "", "parse-names" : false, "suffix" : "" }, { "dropping-particle" : "", "family" : "Du", "given" : "Zhao-Fu", "non-dropping-particle" : "", "parse-names" : false, "suffix" : "" }, { "dropping-particle" : "", "family" : "Qiu", "given" : "Yue-Xiu", "non-dropping-particle" : "", "parse-names" : false, "suffix" : "" }, { "dropping-particle" : "", "family" : "Zhao", "given" : "Dong-Liang", "non-dropping-particle" : "", "parse-names" : false, "suffix" : "" } ], "container-title" : "Thin Solid Films", "id" : "ITEM-2", "issued" : { "date-parts" : [ [ "2015" ] ] }, "page" : "29-36", "publisher" : "Elsevier B.V.", "title" : "Reduction of graphene oxide at room temperature with vitamin C for RGO\u2013TiO2 photoanodes in dye-sensitized solar cell", "type" : "article-journal", "volume" : "584" }, "uris" : [ "http://www.mendeley.com/documents/?uuid=696cde52-9659-409b-a1ac-8a77c10296ea" ] } ], "mendeley" : { "formattedCitation" : "[38,39]", "plainTextFormattedCitation" : "[38,39]", "previouslyFormattedCitation" : "[38,39]" }, "properties" : {  }, "schema" : "https://github.com/citation-style-language/schema/raw/master/csl-citation.json" }</w:instrText>
      </w:r>
      <w:r w:rsidRPr="001A5452">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[38,39]</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To date, the mechanism of the reduction of GO by vitamin C is still in question, but it can be roughly speculated as a three-step reaction, as represented in Scheme </w:t>
      </w:r>
      <w:r w:rsidR="002147D3">
        <w:rPr>
          <w:rFonts w:ascii="Times New Roman" w:hAnsi="Times New Roman" w:cs="Times New Roman"/>
          <w:sz w:val="24"/>
          <w:szCs w:val="24"/>
        </w:rPr>
        <w:t>4</w:t>
      </w:r>
      <w:r w:rsidR="004D0F8E">
        <w:rPr>
          <w:rFonts w:ascii="Times New Roman" w:hAnsi="Times New Roman" w:cs="Times New Roman"/>
          <w:sz w:val="24"/>
          <w:szCs w:val="24"/>
        </w:rPr>
        <w:t>.</w:t>
      </w:r>
      <w:r w:rsidRPr="001A5452">
        <w:rPr>
          <w:rFonts w:ascii="Times New Roman" w:hAnsi="Times New Roman" w:cs="Times New Roman"/>
          <w:sz w:val="24"/>
          <w:szCs w:val="24"/>
        </w:rPr>
        <w:t>1. At the first step, vitamin C</w:t>
      </w:r>
      <w:r w:rsidRPr="001A5452" w:rsidDel="004038B5">
        <w:rPr>
          <w:rFonts w:ascii="Times New Roman" w:hAnsi="Times New Roman" w:cs="Times New Roman"/>
          <w:sz w:val="24"/>
          <w:szCs w:val="24"/>
        </w:rPr>
        <w:t xml:space="preserve"> </w:t>
      </w:r>
      <w:r w:rsidRPr="001A5452">
        <w:rPr>
          <w:rFonts w:ascii="Times New Roman" w:hAnsi="Times New Roman" w:cs="Times New Roman"/>
          <w:sz w:val="24"/>
          <w:szCs w:val="24"/>
        </w:rPr>
        <w:t>dissociates protons (H</w:t>
      </w:r>
      <w:r w:rsidRPr="001A5452">
        <w:rPr>
          <w:rFonts w:ascii="Times New Roman" w:hAnsi="Times New Roman" w:cs="Times New Roman"/>
          <w:sz w:val="24"/>
          <w:szCs w:val="24"/>
          <w:vertAlign w:val="superscript"/>
        </w:rPr>
        <w:t>+</w:t>
      </w:r>
      <w:r w:rsidRPr="001A5452">
        <w:rPr>
          <w:rFonts w:ascii="Times New Roman" w:hAnsi="Times New Roman" w:cs="Times New Roman"/>
          <w:sz w:val="24"/>
          <w:szCs w:val="24"/>
        </w:rPr>
        <w:t>) to form an oxygen anion of L-ascorbic acid (HOAO</w:t>
      </w:r>
      <w:r w:rsidRPr="001A5452">
        <w:rPr>
          <w:rFonts w:ascii="Times New Roman" w:hAnsi="Times New Roman" w:cs="Times New Roman"/>
          <w:sz w:val="24"/>
          <w:szCs w:val="24"/>
          <w:vertAlign w:val="superscript"/>
        </w:rPr>
        <w:t>-</w:t>
      </w:r>
      <w:r w:rsidRPr="001A5452">
        <w:rPr>
          <w:rFonts w:ascii="Times New Roman" w:hAnsi="Times New Roman" w:cs="Times New Roman"/>
          <w:sz w:val="24"/>
          <w:szCs w:val="24"/>
        </w:rPr>
        <w:t>). At the second step, both epoxide groups and hydroxide groups on GO sheets can be attacked by nucleophilic anion of L-ascorbic acid (HOAO</w:t>
      </w:r>
      <w:r w:rsidRPr="001A5452">
        <w:rPr>
          <w:rFonts w:ascii="Times New Roman" w:hAnsi="Times New Roman" w:cs="Times New Roman"/>
          <w:sz w:val="24"/>
          <w:szCs w:val="24"/>
          <w:vertAlign w:val="superscript"/>
        </w:rPr>
        <w:t>-</w:t>
      </w:r>
      <w:r w:rsidRPr="001A5452">
        <w:rPr>
          <w:rFonts w:ascii="Times New Roman" w:hAnsi="Times New Roman" w:cs="Times New Roman"/>
          <w:sz w:val="24"/>
          <w:szCs w:val="24"/>
        </w:rPr>
        <w:t>) and releases H</w:t>
      </w:r>
      <w:r w:rsidRPr="001A5452">
        <w:rPr>
          <w:rFonts w:ascii="Times New Roman" w:hAnsi="Times New Roman" w:cs="Times New Roman"/>
          <w:sz w:val="24"/>
          <w:szCs w:val="24"/>
          <w:vertAlign w:val="subscript"/>
        </w:rPr>
        <w:t>2</w:t>
      </w:r>
      <w:r w:rsidRPr="001A5452">
        <w:rPr>
          <w:rFonts w:ascii="Times New Roman" w:hAnsi="Times New Roman" w:cs="Times New Roman"/>
          <w:sz w:val="24"/>
          <w:szCs w:val="24"/>
        </w:rPr>
        <w:t xml:space="preserve">O. For the last step, GO are further reduced by thermal elimination, </w:t>
      </w:r>
      <w:r w:rsidR="00314423">
        <w:rPr>
          <w:rFonts w:ascii="Times New Roman" w:hAnsi="Times New Roman" w:cs="Times New Roman"/>
          <w:sz w:val="24"/>
          <w:szCs w:val="24"/>
        </w:rPr>
        <w:t>resulting</w:t>
      </w:r>
      <w:r w:rsidR="00314423" w:rsidRPr="001A5452">
        <w:rPr>
          <w:rFonts w:ascii="Times New Roman" w:hAnsi="Times New Roman" w:cs="Times New Roman"/>
          <w:sz w:val="24"/>
          <w:szCs w:val="24"/>
        </w:rPr>
        <w:t xml:space="preserve"> </w:t>
      </w:r>
      <w:r w:rsidRPr="001A5452">
        <w:rPr>
          <w:rFonts w:ascii="Times New Roman" w:hAnsi="Times New Roman" w:cs="Times New Roman"/>
          <w:sz w:val="24"/>
          <w:szCs w:val="24"/>
        </w:rPr>
        <w:t xml:space="preserve">in a plain graphene sheets theoretically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"10.1039/C3CS60303B", "ISBN" : "0306-0012", "ISSN" : "0306-0012", "PMID" : "24121318", "abstract" : "The chemical reduction of graphene oxide is a promising route towards the large scale production of graphene for commercial applications. The current state-of-the-art in graphene oxide reduction, consisting of more than 50 types of reducing agent, will be reviewed from a synthetic chemistry point of view. Emphasis is placed on the techniques, reaction mechanisms and the quality of the produced graphene. The reducing agents are reviewed under two major categories: (i) those which function according to well-supported mechanisms and (ii) those which function according to proposed mechanisms based on knowledge of organic chemistry. This review will serve as a valuable platform to understand the efficiency of these reducing agents for the reduction of graphene oxide.", "author" : [ { "dropping-particle" : "", "family" : "Chua", "given" : "Chun Kiang", "non-dropping-particle" : "", "parse-names" : false, "suffix" : "" }, { "dropping-particle" : "", "family" : "Pumera", "given" : "Martin", "non-dropping-particle" : "", "parse-names" : false, "suffix" : "" } ], "container-title" : "Chem. Soc. Rev.", "id" : "ITEM-1", "issue" : "1", "issued" : { "date-parts" : [ [ "2014" ] ] }, "page" : "291-312", "title" : "Chemical reduction of graphene oxide: a synthetic chemistry viewpoint", "type" : "article-journal", "volume" : "43" }, "uris" : [ "http://www.mendeley.com/documents/?uuid=30c1ef6a-f51b-4241-81f4-d3f7f0466401" ] }, { "id" : "ITEM-2", "itemData" : { "DOI" : "10.1021/cm902635j", "ISBN" : "0897-4756", "ISSN" : "08974756", "abstract" : "Graphene sheets are of significance in fundamental and applied science for their exceptional electronic, mechanical, and thermal properties. Among the different methods for producing graphene sheets, chemical reduction is favorable, because it can be scalable in production and versatile in realizing abundant chemical functionalization. Here, we report an environment-friendly method to produce graphene that employs Vitamin C as the reductant and amino acid as the stabilizer. This study is the first example of the use of biocompounds for nontoxic and scalable production of graphene. The graphene produced in this way has unique electrical properties that are the same as those produced via other methods. Because this reduction method avoids the use of toxic reagents, it may allow the application of graphene not only for electronic devices but also for biocompatible materials.", "author" : [ { "dropping-particle" : "", "family" : "Gao", "given" : "Jian", "non-dropping-particle" : "", "parse-names" : false, "suffix" : "" }, { "dropping-particle" : "", "family" : "Liu", "given" : "Fang", "non-dropping-particle" : "", "parse-names" : false, "suffix" : "" }, { "dropping-particle" : "", "family" : "Liu", "given" : "Yiliu", "non-dropping-particle" : "", "parse-names" : false, "suffix" : "" }, { "dropping-particle" : "", "family" : "Ma", "given" : "Ning", "non-dropping-particle" : "", "parse-names" : false, "suffix" : "" }, { "dropping-particle" : "", "family" : "Wang", "given" : "Zhiqiang", "non-dropping-particle" : "", "parse-names" : false, "suffix" : "" }, { "dropping-particle" : "", "family" : "Zhang", "given" : "Xi", "non-dropping-particle" : "", "parse-names" : false, "suffix" : "" } ], "container-title" : "Chemistry of Materials", "id" : "ITEM-2", "issued" : { "date-parts" : [ [ "2010" ] ] }, "page" : "2213-2218", "title" : "Environment-friendly method to produce graphene that employs vitamin C and amino acid", "type" : "article-journal", "volume" : "22" }, "uris" : [ "http://www.mendeley.com/documents/?uuid=76fd67a3-2419-4257-9b88-b55d29d51255" ] } ], "mendeley" : { "formattedCitation" : "[179,180]", "plainTextFormattedCitation" : "[179,180]", "previouslyFormattedCitation" : "[179,180]"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[179,180]</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w:t>
      </w:r>
    </w:p>
    <w:p w14:paraId="3D26EF66" w14:textId="77777777" w:rsidR="007E4AF6" w:rsidRPr="001A5452" w:rsidRDefault="007E4AF6" w:rsidP="007E4AF6">
      <w:pPr>
        <w:spacing w:after="0" w:line="480" w:lineRule="auto"/>
        <w:ind w:firstLine="284"/>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6B768DBE" wp14:editId="3E289514">
            <wp:extent cx="4368800" cy="2108278"/>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99810" cy="2123243"/>
                    </a:xfrm>
                    <a:prstGeom prst="rect">
                      <a:avLst/>
                    </a:prstGeom>
                    <a:noFill/>
                  </pic:spPr>
                </pic:pic>
              </a:graphicData>
            </a:graphic>
          </wp:inline>
        </w:drawing>
      </w:r>
    </w:p>
    <w:p w14:paraId="19BAEE7A" w14:textId="11F80FAC" w:rsidR="007E4AF6" w:rsidRPr="00237210" w:rsidRDefault="007E4AF6" w:rsidP="007E4AF6">
      <w:pPr>
        <w:spacing w:after="0"/>
        <w:jc w:val="center"/>
        <w:rPr>
          <w:rFonts w:ascii="Times New Roman" w:hAnsi="Times New Roman" w:cs="Times New Roman"/>
          <w:b/>
          <w:sz w:val="24"/>
          <w:szCs w:val="24"/>
        </w:rPr>
      </w:pPr>
      <w:r w:rsidRPr="00237210">
        <w:rPr>
          <w:rFonts w:ascii="Times New Roman" w:hAnsi="Times New Roman" w:cs="Times New Roman"/>
          <w:b/>
          <w:sz w:val="24"/>
          <w:szCs w:val="24"/>
        </w:rPr>
        <w:t xml:space="preserve">Scheme </w:t>
      </w:r>
      <w:r w:rsidR="002147D3">
        <w:rPr>
          <w:rFonts w:ascii="Times New Roman" w:hAnsi="Times New Roman" w:cs="Times New Roman" w:hint="eastAsia"/>
          <w:b/>
          <w:sz w:val="24"/>
          <w:szCs w:val="24"/>
        </w:rPr>
        <w:t>4</w:t>
      </w:r>
      <w:r w:rsidR="00D81155" w:rsidRPr="00237210">
        <w:rPr>
          <w:rFonts w:ascii="Times New Roman" w:hAnsi="Times New Roman" w:cs="Times New Roman" w:hint="eastAsia"/>
          <w:b/>
          <w:sz w:val="24"/>
          <w:szCs w:val="24"/>
        </w:rPr>
        <w:t>.</w:t>
      </w:r>
      <w:r w:rsidRPr="00237210">
        <w:rPr>
          <w:rFonts w:ascii="Times New Roman" w:hAnsi="Times New Roman" w:cs="Times New Roman"/>
          <w:b/>
          <w:sz w:val="24"/>
          <w:szCs w:val="24"/>
        </w:rPr>
        <w:t xml:space="preserve">1. Proposed mechanism for the reduction of graphene oxide by L-ascorbic acid (vitamin C) </w:t>
      </w:r>
      <w:r w:rsidRPr="00237210">
        <w:rPr>
          <w:rFonts w:ascii="Times New Roman" w:hAnsi="Times New Roman" w:cs="Times New Roman"/>
          <w:b/>
          <w:sz w:val="24"/>
          <w:szCs w:val="24"/>
        </w:rPr>
        <w:fldChar w:fldCharType="begin" w:fldLock="1"/>
      </w:r>
      <w:r w:rsidR="0076089E">
        <w:rPr>
          <w:rFonts w:ascii="Times New Roman" w:hAnsi="Times New Roman" w:cs="Times New Roman"/>
          <w:b/>
          <w:sz w:val="24"/>
          <w:szCs w:val="24"/>
        </w:rPr>
        <w:instrText>ADDIN CSL_CITATION { "citationItems" : [ { "id" : "ITEM-1", "itemData" : { "DOI" : "10.1039/C3CS60303B", "ISBN" : "0306-0012", "ISSN" : "0306-0012", "PMID" : "24121318", "abstract" : "The chemical reduction of graphene oxide is a promising route towards the large scale production of graphene for commercial applications. The current state-of-the-art in graphene oxide reduction, consisting of more than 50 types of reducing agent, will be reviewed from a synthetic chemistry point of view. Emphasis is placed on the techniques, reaction mechanisms and the quality of the produced graphene. The reducing agents are reviewed under two major categories: (i) those which function according to well-supported mechanisms and (ii) those which function according to proposed mechanisms based on knowledge of organic chemistry. This review will serve as a valuable platform to understand the efficiency of these reducing agents for the reduction of graphene oxide.", "author" : [ { "dropping-particle" : "", "family" : "Chua", "given" : "Chun Kiang", "non-dropping-particle" : "", "parse-names" : false, "suffix" : "" }, { "dropping-particle" : "", "family" : "Pumera", "given" : "Martin", "non-dropping-particle" : "", "parse-names" : false, "suffix" : "" } ], "container-title" : "Chem. Soc. Rev.", "id" : "ITEM-1", "issue" : "1", "issued" : { "date-parts" : [ [ "2014" ] ] }, "page" : "291-312", "title" : "Chemical reduction of graphene oxide: a synthetic chemistry viewpoint", "type" : "article-journal", "volume" : "43" }, "uris" : [ "http://www.mendeley.com/documents/?uuid=30c1ef6a-f51b-4241-81f4-d3f7f0466401" ] }, { "id" : "ITEM-2", "itemData" : { "DOI" : "10.1021/cm902635j", "ISBN" : "0897-4756", "ISSN" : "08974756", "abstract" : "Graphene sheets are of significance in fundamental and applied science for their exceptional electronic, mechanical, and thermal properties. Among the different methods for producing graphene sheets, chemical reduction is favorable, because it can be scalable in production and versatile in realizing abundant chemical functionalization. Here, we report an environment-friendly method to produce graphene that employs Vitamin C as the reductant and amino acid as the stabilizer. This study is the first example of the use of biocompounds for nontoxic and scalable production of graphene. The graphene produced in this way has unique electrical properties that are the same as those produced via other methods. Because this reduction method avoids the use of toxic reagents, it may allow the application of graphene not only for electronic devices but also for biocompatible materials.", "author" : [ { "dropping-particle" : "", "family" : "Gao", "given" : "Jian", "non-dropping-particle" : "", "parse-names" : false, "suffix" : "" }, { "dropping-particle" : "", "family" : "Liu", "given" : "Fang", "non-dropping-particle" : "", "parse-names" : false, "suffix" : "" }, { "dropping-particle" : "", "family" : "Liu", "given" : "Yiliu", "non-dropping-particle" : "", "parse-names" : false, "suffix" : "" }, { "dropping-particle" : "", "family" : "Ma", "given" : "Ning", "non-dropping-particle" : "", "parse-names" : false, "suffix" : "" }, { "dropping-particle" : "", "family" : "Wang", "given" : "Zhiqiang", "non-dropping-particle" : "", "parse-names" : false, "suffix" : "" }, { "dropping-particle" : "", "family" : "Zhang", "given" : "Xi", "non-dropping-particle" : "", "parse-names" : false, "suffix" : "" } ], "container-title" : "Chemistry of Materials", "id" : "ITEM-2", "issued" : { "date-parts" : [ [ "2010" ] ] }, "page" : "2213-2218", "title" : "Environment-friendly method to produce graphene that employs vitamin C and amino acid", "type" : "article-journal", "volume" : "22" }, "uris" : [ "http://www.mendeley.com/documents/?uuid=76fd67a3-2419-4257-9b88-b55d29d51255" ] } ], "mendeley" : { "formattedCitation" : "[179,180]", "plainTextFormattedCitation" : "[179,180]", "previouslyFormattedCitation" : "[179,180]" }, "properties" : {  }, "schema" : "https://github.com/citation-style-language/schema/raw/master/csl-citation.json" }</w:instrText>
      </w:r>
      <w:r w:rsidRPr="00237210">
        <w:rPr>
          <w:rFonts w:ascii="Times New Roman" w:hAnsi="Times New Roman" w:cs="Times New Roman"/>
          <w:b/>
          <w:sz w:val="24"/>
          <w:szCs w:val="24"/>
        </w:rPr>
        <w:fldChar w:fldCharType="separate"/>
      </w:r>
      <w:r w:rsidR="0076089E" w:rsidRPr="0076089E">
        <w:rPr>
          <w:rFonts w:ascii="Times New Roman" w:hAnsi="Times New Roman" w:cs="Times New Roman"/>
          <w:noProof/>
          <w:sz w:val="24"/>
          <w:szCs w:val="24"/>
        </w:rPr>
        <w:t>[179,180]</w:t>
      </w:r>
      <w:r w:rsidRPr="00237210">
        <w:rPr>
          <w:rFonts w:ascii="Times New Roman" w:hAnsi="Times New Roman" w:cs="Times New Roman"/>
          <w:b/>
          <w:sz w:val="24"/>
          <w:szCs w:val="24"/>
        </w:rPr>
        <w:fldChar w:fldCharType="end"/>
      </w:r>
      <w:r w:rsidRPr="00237210">
        <w:rPr>
          <w:rFonts w:ascii="Times New Roman" w:hAnsi="Times New Roman" w:cs="Times New Roman"/>
          <w:b/>
          <w:sz w:val="24"/>
          <w:szCs w:val="24"/>
        </w:rPr>
        <w:t>.</w:t>
      </w:r>
    </w:p>
    <w:p w14:paraId="335B90AB" w14:textId="77777777" w:rsidR="007E4AF6" w:rsidRPr="001A5452" w:rsidRDefault="007E4AF6" w:rsidP="007E4AF6">
      <w:pPr>
        <w:spacing w:after="0" w:line="480" w:lineRule="auto"/>
        <w:ind w:firstLine="284"/>
        <w:jc w:val="both"/>
        <w:rPr>
          <w:rFonts w:ascii="Times New Roman" w:hAnsi="Times New Roman" w:cs="Times New Roman"/>
          <w:sz w:val="24"/>
          <w:szCs w:val="24"/>
        </w:rPr>
      </w:pPr>
    </w:p>
    <w:p w14:paraId="5AC9BB7F" w14:textId="66378872" w:rsidR="007E4AF6" w:rsidRPr="001A5452" w:rsidRDefault="007E4AF6" w:rsidP="00D5587C">
      <w:pPr>
        <w:spacing w:after="0" w:line="480" w:lineRule="auto"/>
        <w:ind w:firstLine="360"/>
        <w:jc w:val="both"/>
        <w:rPr>
          <w:rFonts w:ascii="Times New Roman" w:hAnsi="Times New Roman" w:cs="Times New Roman"/>
          <w:sz w:val="24"/>
          <w:szCs w:val="24"/>
        </w:rPr>
      </w:pPr>
      <w:r w:rsidRPr="001A5452">
        <w:rPr>
          <w:rFonts w:ascii="Times New Roman" w:hAnsi="Times New Roman" w:cs="Times New Roman"/>
          <w:sz w:val="24"/>
          <w:szCs w:val="24"/>
        </w:rPr>
        <w:t xml:space="preserve">Many thermosetting polymers, such as unsaturated polyester resin (UPR), are electrically insulating, which limits some of their applications. </w:t>
      </w:r>
      <w:r w:rsidR="00314423">
        <w:rPr>
          <w:rFonts w:ascii="Times New Roman" w:hAnsi="Times New Roman" w:cs="Times New Roman"/>
          <w:sz w:val="24"/>
          <w:szCs w:val="24"/>
        </w:rPr>
        <w:t>T</w:t>
      </w:r>
      <w:r w:rsidRPr="001A5452">
        <w:rPr>
          <w:rFonts w:ascii="Times New Roman" w:hAnsi="Times New Roman" w:cs="Times New Roman"/>
          <w:sz w:val="24"/>
          <w:szCs w:val="24"/>
        </w:rPr>
        <w:t xml:space="preserve">he addition of graphene can enable them </w:t>
      </w:r>
      <w:r w:rsidR="00314423">
        <w:rPr>
          <w:rFonts w:ascii="Times New Roman" w:hAnsi="Times New Roman" w:cs="Times New Roman"/>
          <w:sz w:val="24"/>
          <w:szCs w:val="24"/>
        </w:rPr>
        <w:t>to become</w:t>
      </w:r>
      <w:r w:rsidR="00314423" w:rsidRPr="001A5452">
        <w:rPr>
          <w:rFonts w:ascii="Times New Roman" w:hAnsi="Times New Roman" w:cs="Times New Roman"/>
          <w:sz w:val="24"/>
          <w:szCs w:val="24"/>
        </w:rPr>
        <w:t xml:space="preserve"> </w:t>
      </w:r>
      <w:r w:rsidRPr="001A5452">
        <w:rPr>
          <w:rFonts w:ascii="Times New Roman" w:hAnsi="Times New Roman" w:cs="Times New Roman"/>
          <w:sz w:val="24"/>
          <w:szCs w:val="24"/>
        </w:rPr>
        <w:t xml:space="preserve">electrical conductors at </w:t>
      </w:r>
      <w:r w:rsidR="00314423">
        <w:rPr>
          <w:rFonts w:ascii="Times New Roman" w:hAnsi="Times New Roman" w:cs="Times New Roman"/>
          <w:sz w:val="24"/>
          <w:szCs w:val="24"/>
        </w:rPr>
        <w:t>relatively</w:t>
      </w:r>
      <w:r w:rsidR="00314423" w:rsidRPr="001A5452">
        <w:rPr>
          <w:rFonts w:ascii="Times New Roman" w:hAnsi="Times New Roman" w:cs="Times New Roman"/>
          <w:sz w:val="24"/>
          <w:szCs w:val="24"/>
        </w:rPr>
        <w:t xml:space="preserve"> </w:t>
      </w:r>
      <w:r w:rsidRPr="001A5452">
        <w:rPr>
          <w:rFonts w:ascii="Times New Roman" w:hAnsi="Times New Roman" w:cs="Times New Roman"/>
          <w:sz w:val="24"/>
          <w:szCs w:val="24"/>
        </w:rPr>
        <w:t>low graphene loading</w:t>
      </w:r>
      <w:r w:rsidR="00314423">
        <w:rPr>
          <w:rFonts w:ascii="Times New Roman" w:hAnsi="Times New Roman" w:cs="Times New Roman"/>
          <w:sz w:val="24"/>
          <w:szCs w:val="24"/>
        </w:rPr>
        <w:t>s</w:t>
      </w:r>
      <w:r w:rsidRPr="001A5452">
        <w:rPr>
          <w:rFonts w:ascii="Times New Roman" w:hAnsi="Times New Roman" w:cs="Times New Roman"/>
          <w:sz w:val="24"/>
          <w:szCs w:val="24"/>
        </w:rPr>
        <w:t xml:space="preserve"> by forming percolated pathways due to its high specific surface area (2600 m</w:t>
      </w:r>
      <w:r w:rsidRPr="001A5452">
        <w:rPr>
          <w:rFonts w:ascii="Times New Roman" w:hAnsi="Times New Roman" w:cs="Times New Roman"/>
          <w:sz w:val="24"/>
          <w:szCs w:val="24"/>
          <w:vertAlign w:val="superscript"/>
        </w:rPr>
        <w:t>2</w:t>
      </w:r>
      <w:r w:rsidRPr="001A5452">
        <w:rPr>
          <w:rFonts w:ascii="Times New Roman" w:hAnsi="Times New Roman" w:cs="Times New Roman"/>
          <w:sz w:val="24"/>
          <w:szCs w:val="24"/>
        </w:rPr>
        <w:t xml:space="preserve"> g</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"10.1007/978-3-319-13875-6", "ISBN" : "9783319138756", "ISSN" : "9783319138756", "abstract" : "Fuel cells have long been considered as highly efficient devices for energy conversion which transform chemical energy directly into electricity, without any venomous pollutants emitted into ambient environment. In recent years, graphene-polymer nanocomposites have attracted intense interest as functional components in fuel cells. This chapter focuses on the potential applications of graphene-polymer composites in fuel cells. Recent advancement in the synthesis of graphene, polymer, graphene-polymer composites will be presented. Then, latest explorations of graphene-polymer composites applied as membranes, anode and cathode materials will be summarized. Furthermore, the vital roles of graphene- polymer to support noble metal catalysts will be illustrated. Finally, prospects of graphene-polymer composites for fuel cells will be outlined for further development.", "author" : [ { "dropping-particle" : "", "family" : "Khanam", "given" : "P.Noorunnisa", "non-dropping-particle" : "", "parse-names" : false, "suffix" : "" }, { "dropping-particle" : "", "family" : "Ponnamma", "given" : "Deepalekshmi", "non-dropping-particle" : "", "parse-names" : false, "suffix" : "" }, { "dropping-particle" : "", "family" : "M.A.AL-Madeed", "given" : "", "non-dropping-particle" : "", "parse-names" : false, "suffix" : "" } ], "id" : "ITEM-1", "issued" : { "date-parts" : [ [ "2015" ] ] }, "number-of-pages" : "25-47", "publisher" : "Springer", "title" : "Graphene-Based Polymer Nanocomposites in Electronics", "type" : "book" }, "uris" : [ "http://www.mendeley.com/documents/?uuid=5d1e9246-536d-4de8-9201-cd467c83d124" ] } ], "mendeley" : { "formattedCitation" : "[181]", "plainTextFormattedCitation" : "[181]", "previouslyFormattedCitation" : "[181]"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[181]</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w:t>
      </w:r>
      <w:r w:rsidR="00F85694">
        <w:rPr>
          <w:rFonts w:ascii="Times New Roman" w:hAnsi="Times New Roman" w:cs="Times New Roman"/>
          <w:sz w:val="24"/>
          <w:szCs w:val="24"/>
        </w:rPr>
        <w:t>To date</w:t>
      </w:r>
      <w:r w:rsidRPr="001A5452">
        <w:rPr>
          <w:rFonts w:ascii="Times New Roman" w:hAnsi="Times New Roman" w:cs="Times New Roman"/>
          <w:sz w:val="24"/>
          <w:szCs w:val="24"/>
        </w:rPr>
        <w:t>, many works have been done on polymer/graphene composites. For example, Wang et al. reduced GO-</w:t>
      </w:r>
      <w:r w:rsidRPr="00CC25B1">
        <w:rPr>
          <w:rFonts w:ascii="Times New Roman" w:hAnsi="Times New Roman" w:cs="Times New Roman"/>
          <w:sz w:val="24"/>
          <w:szCs w:val="24"/>
        </w:rPr>
        <w:t>EO</w:t>
      </w:r>
      <w:r w:rsidRPr="00CC25B1">
        <w:rPr>
          <w:rFonts w:ascii="Times New Roman" w:hAnsi="Times New Roman" w:cs="Times New Roman"/>
          <w:sz w:val="24"/>
          <w:szCs w:val="24"/>
          <w:vertAlign w:val="subscript"/>
        </w:rPr>
        <w:t>133</w:t>
      </w:r>
      <w:r w:rsidRPr="00CC25B1">
        <w:rPr>
          <w:rFonts w:ascii="Times New Roman" w:hAnsi="Times New Roman" w:cs="Times New Roman"/>
          <w:sz w:val="24"/>
          <w:szCs w:val="24"/>
        </w:rPr>
        <w:t>PO</w:t>
      </w:r>
      <w:r w:rsidRPr="00CC25B1">
        <w:rPr>
          <w:rFonts w:ascii="Times New Roman" w:hAnsi="Times New Roman" w:cs="Times New Roman"/>
          <w:sz w:val="24"/>
          <w:szCs w:val="24"/>
          <w:vertAlign w:val="subscript"/>
        </w:rPr>
        <w:t>50</w:t>
      </w:r>
      <w:r w:rsidRPr="00CC25B1">
        <w:rPr>
          <w:rFonts w:ascii="Times New Roman" w:hAnsi="Times New Roman" w:cs="Times New Roman"/>
          <w:sz w:val="24"/>
          <w:szCs w:val="24"/>
        </w:rPr>
        <w:t>EO</w:t>
      </w:r>
      <w:r w:rsidRPr="00CC25B1">
        <w:rPr>
          <w:rFonts w:ascii="Times New Roman" w:hAnsi="Times New Roman" w:cs="Times New Roman"/>
          <w:sz w:val="24"/>
          <w:szCs w:val="24"/>
          <w:vertAlign w:val="subscript"/>
        </w:rPr>
        <w:t>133</w:t>
      </w:r>
      <w:r w:rsidRPr="001A5452">
        <w:rPr>
          <w:rFonts w:ascii="Times New Roman" w:hAnsi="Times New Roman" w:cs="Times New Roman"/>
          <w:sz w:val="24"/>
          <w:szCs w:val="24"/>
        </w:rPr>
        <w:t xml:space="preserve"> hybrid by hydrazine monohydrate, which can form a stable aqueous suspension. Chitosan/rGO composites show enhanced electrical conductivity and mechanical properties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"10.1039/c0jm01852j", "ISBN" : "0959-9428", "ISSN" : "0959-9428", "abstract" : "Composite films of chitosan and reduced graphene oxide (RGO) sheets with nacre-like layered structure have been prepared by vacuum filtration of the stable aqueous mixture of both components. The film containing 6 wt% RGO is electrically conductive with a conductivity of 1.2 S m\u22121. Furthermore, it is mechanically strong and ductile; its Young's modulus, tensile strength and elongation at break were measured to be 6.3 \u00b1 0.2 GPa, 206 \u00b1 6 MPa and 6.5 \u00b1 0.6%, respectively. These values partly exceed those of nacre. The high mechanical and electrical properties of chitosan/RGO composite films are mainly attributed to the uniform dispersion of RGO nanofillers in the polymer matrices to form a compact layered structure.", "author" : [ { "dropping-particle" : "", "family" : "Wang", "given" : "Xiluan", "non-dropping-particle" : "", "parse-names" : false, "suffix" : "" }, { "dropping-particle" : "", "family" : "Bai", "given" : "Hua", "non-dropping-particle" : "", "parse-names" : false, "suffix" : "" }, { "dropping-particle" : "", "family" : "Yao", "given" : "Zhiyi", "non-dropping-particle" : "", "parse-names" : false, "suffix" : "" }, { "dropping-particle" : "", "family" : "Liu", "given" : "Anran", "non-dropping-particle" : "", "parse-names" : false, "suffix" : "" }, { "dropping-particle" : "", "family" : "Shi", "given" : "Gaoquan", "non-dropping-particle" : "", "parse-names" : false, "suffix" : "" } ], "container-title" : "Journal of Materials Chemistry", "id" : "ITEM-1", "issue" : "41", "issued" : { "date-parts" : [ [ "2010" ] ] }, "page" : "9032-9036", "title" : "Electrically conductive and mechanically strong biomimetic chitosan/reduced graphene oxide composite films", "type" : "article-journal", "volume" : "20" }, "uris" : [ "http://www.mendeley.com/documents/?uuid=ebb09882-86b3-4b25-8554-920ac4c51689" ] } ], "mendeley" : { "formattedCitation" : "[182]", "plainTextFormattedCitation" : "[182]", "previouslyFormattedCitation" : "[182]"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[182]</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However, water was used as a solvent in this method, which is not common for most of polymers which are hydrophobic. Meanwhile, the addition of EO</w:t>
      </w:r>
      <w:r w:rsidRPr="001A5452">
        <w:rPr>
          <w:rFonts w:ascii="Times New Roman" w:hAnsi="Times New Roman" w:cs="Times New Roman"/>
          <w:sz w:val="24"/>
          <w:szCs w:val="24"/>
          <w:vertAlign w:val="subscript"/>
        </w:rPr>
        <w:t>133</w:t>
      </w:r>
      <w:r w:rsidRPr="001A5452">
        <w:rPr>
          <w:rFonts w:ascii="Times New Roman" w:hAnsi="Times New Roman" w:cs="Times New Roman"/>
          <w:sz w:val="24"/>
          <w:szCs w:val="24"/>
        </w:rPr>
        <w:t>PO</w:t>
      </w:r>
      <w:r w:rsidRPr="001A5452">
        <w:rPr>
          <w:rFonts w:ascii="Times New Roman" w:hAnsi="Times New Roman" w:cs="Times New Roman"/>
          <w:sz w:val="24"/>
          <w:szCs w:val="24"/>
          <w:vertAlign w:val="subscript"/>
        </w:rPr>
        <w:t>50</w:t>
      </w:r>
      <w:r w:rsidRPr="001A5452">
        <w:rPr>
          <w:rFonts w:ascii="Times New Roman" w:hAnsi="Times New Roman" w:cs="Times New Roman"/>
          <w:sz w:val="24"/>
          <w:szCs w:val="24"/>
        </w:rPr>
        <w:t>EO</w:t>
      </w:r>
      <w:r w:rsidRPr="001A5452">
        <w:rPr>
          <w:rFonts w:ascii="Times New Roman" w:hAnsi="Times New Roman" w:cs="Times New Roman"/>
          <w:sz w:val="24"/>
          <w:szCs w:val="24"/>
          <w:vertAlign w:val="subscript"/>
        </w:rPr>
        <w:t>133</w:t>
      </w:r>
      <w:r w:rsidRPr="001A5452">
        <w:rPr>
          <w:rFonts w:ascii="Times New Roman" w:hAnsi="Times New Roman" w:cs="Times New Roman"/>
          <w:sz w:val="24"/>
          <w:szCs w:val="24"/>
        </w:rPr>
        <w:t xml:space="preserve"> for the stability of rGO aqueous would also affect the properties of composites and make the process more complicated. Bora et al.</w:t>
      </w:r>
      <w:r w:rsidR="00314423">
        <w:rPr>
          <w:rFonts w:ascii="Times New Roman" w:hAnsi="Times New Roman" w:cs="Times New Roman"/>
          <w:sz w:val="24"/>
          <w:szCs w:val="24"/>
        </w:rPr>
        <w:t xml:space="preserve"> </w:t>
      </w:r>
      <w:r w:rsidRPr="001A5452">
        <w:rPr>
          <w:rFonts w:ascii="Times New Roman" w:hAnsi="Times New Roman" w:cs="Times New Roman"/>
          <w:sz w:val="24"/>
          <w:szCs w:val="24"/>
        </w:rPr>
        <w:t>reduced GO by hydrazine monohydrate prior to the pr</w:t>
      </w:r>
      <w:r w:rsidR="001D714A">
        <w:rPr>
          <w:rFonts w:ascii="Times New Roman" w:hAnsi="Times New Roman" w:cs="Times New Roman"/>
          <w:sz w:val="24"/>
          <w:szCs w:val="24"/>
        </w:rPr>
        <w:t>eparation of UPR/rGO composites, and t</w:t>
      </w:r>
      <w:r w:rsidRPr="001A5452">
        <w:rPr>
          <w:rFonts w:ascii="Times New Roman" w:hAnsi="Times New Roman" w:cs="Times New Roman"/>
          <w:sz w:val="24"/>
          <w:szCs w:val="24"/>
        </w:rPr>
        <w:t>he result shows the highest electrical conductivity of 3.7 × 10</w:t>
      </w:r>
      <w:r w:rsidRPr="001A5452">
        <w:rPr>
          <w:rFonts w:ascii="Times New Roman" w:hAnsi="Times New Roman" w:cs="Times New Roman"/>
          <w:sz w:val="24"/>
          <w:szCs w:val="24"/>
          <w:vertAlign w:val="superscript"/>
        </w:rPr>
        <w:t>-4</w:t>
      </w:r>
      <w:r w:rsidRPr="001A5452">
        <w:rPr>
          <w:rFonts w:ascii="Times New Roman" w:hAnsi="Times New Roman" w:cs="Times New Roman"/>
          <w:sz w:val="24"/>
          <w:szCs w:val="24"/>
        </w:rPr>
        <w:t xml:space="preserve"> S cm</w:t>
      </w:r>
      <w:r w:rsidRPr="001A5452">
        <w:rPr>
          <w:rFonts w:ascii="Times New Roman" w:hAnsi="Times New Roman" w:cs="Times New Roman"/>
          <w:sz w:val="24"/>
          <w:szCs w:val="24"/>
          <w:vertAlign w:val="superscript"/>
        </w:rPr>
        <w:t>-1</w:t>
      </w:r>
      <w:r w:rsidR="00F40584">
        <w:rPr>
          <w:rFonts w:ascii="Times New Roman" w:hAnsi="Times New Roman" w:cs="Times New Roman"/>
          <w:sz w:val="24"/>
          <w:szCs w:val="24"/>
          <w:vertAlign w:val="superscript"/>
        </w:rPr>
        <w:t xml:space="preserve"> </w:t>
      </w:r>
      <w:r w:rsidRPr="001A5452">
        <w:rPr>
          <w:rFonts w:ascii="Times New Roman" w:hAnsi="Times New Roman" w:cs="Times New Roman"/>
          <w:sz w:val="24"/>
          <w:szCs w:val="24"/>
        </w:rPr>
        <w:t xml:space="preserve">at 3 wt.% rGO loading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"10.1007/978-3-319-13875-6", "ISBN" : "9783319138756", "ISSN" : "9783319138756", "abstract" : "Fuel cells have long been considered as highly efficient devices for energy conversion which transform chemical energy directly into electricity, without any venomous pollutants emitted into ambient environment. In recent years, graphene-polymer nanocomposites have attracted intense interest as functional components in fuel cells. This chapter focuses on the potential applications of graphene-polymer composites in fuel cells. Recent advancement in the synthesis of graphene, polymer, graphene-polymer composites will be presented. Then, latest explorations of graphene-polymer composites applied as membranes, anode and cathode materials will be summarized. Furthermore, the vital roles of graphene- polymer to support noble metal catalysts will be illustrated. Finally, prospects of graphene-polymer composites for fuel cells will be outlined for further development.", "author" : [ { "dropping-particle" : "", "family" : "Khanam", "given" : "P.Noorunnisa", "non-dropping-particle" : "", "parse-names" : false, "suffix" : "" }, { "dropping-particle" : "", "family" : "Ponnamma", "given" : "Deepalekshmi", "non-dropping-particle" : "", "parse-names" : false, "suffix" : "" }, { "dropping-particle" : "", "family" : "M.A.AL-Madeed", "given" : "", "non-dropping-particle" : "", "parse-names" : false, "suffix" : "" } ], "id" : "ITEM-1", "issued" : { "date-parts" : [ [ "2015" ] ] }, "number-of-pages" : "25-47", "publisher" : "Springer", "title" : "Graphene-Based Polymer Nanocomposites in Electronics", "type" : "book" }, "uris" : [ "http://www.mendeley.com/documents/?uuid=5d1e9246-536d-4de8-9201-cd467c83d124" ] } ], "mendeley" : { "formattedCitation" : "[181]", "plainTextFormattedCitation" : "[181]", "previouslyFormattedCitation" : "[181]"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[181]</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One drawback of this method is the use of hydrazine for reduction of GO, which is highly toxic and explosive. Hence, nontoxic and eco-friendly reductants, such as chitosan and vitamin C, </w:t>
      </w:r>
      <w:r w:rsidR="00314423">
        <w:rPr>
          <w:rFonts w:ascii="Times New Roman" w:hAnsi="Times New Roman" w:cs="Times New Roman"/>
          <w:sz w:val="24"/>
          <w:szCs w:val="24"/>
        </w:rPr>
        <w:t>are</w:t>
      </w:r>
      <w:r w:rsidR="00314423" w:rsidRPr="001A5452">
        <w:rPr>
          <w:rFonts w:ascii="Times New Roman" w:hAnsi="Times New Roman" w:cs="Times New Roman"/>
          <w:sz w:val="24"/>
          <w:szCs w:val="24"/>
        </w:rPr>
        <w:t xml:space="preserve"> </w:t>
      </w:r>
      <w:r w:rsidRPr="001A5452">
        <w:rPr>
          <w:rFonts w:ascii="Times New Roman" w:hAnsi="Times New Roman" w:cs="Times New Roman"/>
          <w:sz w:val="24"/>
          <w:szCs w:val="24"/>
        </w:rPr>
        <w:t xml:space="preserve">considered as great candidates for GO reduction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"10.1016/j.carbon.2012.01.074", "ISBN" : "0008-6223", "ISSN" : "00086223", "PMID" : "820", "abstract" : "An environment-friendly approach to synthesizing reduced graphene oxide (RGO) was developed by using chitosan (CS) as both a reducing and a stabilizing agent. Factors that affect the reduction of graphene oxide (GO), such as the ratio of CS/GO, pH and temperature, were explored to obtain optimum reaction conditions. The RGO was characterized with UV visible absorption spectroscopy, Fourier transform infrared spectroscopy, Raman spectroscopy, X-ray diffraction spectroscopy, thermo-gravimetric analysis, and X-ray photoelectron spectroscopy and transmission electron microscopy. Analysis shows that CS macromolecules can efficiently reduce GO at a comparatively low temperature and their adsorption onto the RGO nanosheets allows a stable RGO aqueous dispersion to be formed. Since CS is a natural, nontoxic and biodegradable macromolecule, this approach provides a new green method for GO reduction that would facilitate the large scale production of RGO, which has great value for graphene applications. Moreover, CS can reduce GO and AgNO 3 (or HAuCl 4) in one pot to obtain Ag nanoparticle-RGO hybrids or Au nanoparticle-RGO hybrids that exhibit good electrochemical activity. ?? 2012 Elsevier Ltd. All rights reserved.", "author" : [ { "dropping-particle" : "", "family" : "Guo", "given" : "Yongqin", "non-dropping-particle" : "", "parse-names" : false, "suffix" : "" }, { "dropping-particle" : "", "family" : "Sun", "given" : "Xiying", "non-dropping-particle" : "", "parse-names" : false, "suffix" : "" }, { "dropping-particle" : "", "family" : "Liu", "given" : "Yu", "non-dropping-particle" : "", "parse-names" : false, "suffix" : "" }, { "dropping-particle" : "", "family" : "Wang", "given" : "Wei", "non-dropping-particle" : "", "parse-names" : false, "suffix" : "" }, { "dropping-particle" : "", "family" : "Qiu", "given" : "Haixia", "non-dropping-particle" : "", "parse-names" : false, "suffix" : "" }, { "dropping-particle" : "", "family" : "Gao", "given" : "Jianping", "non-dropping-particle" : "", "parse-names" : false, "suffix" : "" } ], "container-title" : "Carbon", "id" : "ITEM-1", "issue" : "7", "issued" : { "date-parts" : [ [ "2012" ] ] }, "page" : "2513-2523", "publisher" : "Elsevier Ltd", "title" : "One pot preparation of reduced graphene oxide (RGO) or Au (Ag) nanoparticle-RGO hybrids using chitosan as a reducing and stabilizing agent and their use in methanol electrooxidation", "type" : "article-journal", "volume" : "50" }, "uris" : [ "http://www.mendeley.com/documents/?uuid=796de02a-dd7e-4d5b-88b8-284516ce72b8" ] }, { "id" : "ITEM-2", "itemData" : { "DOI" : "10.1016/j.tifs.2006.10.022", "ISBN" : "0924-2244", "ISSN" : "09242244", "PMID" : "1000226174", "abstract" : "Use of natural biopolymers for diversified applications in life sciences has several advantages, such as availability from replenishable agricultural or marine food resources, biocompatibility, biodegradability, therefore leading to ecological safety and the possibility of preparing a variety of chemically or enzymatically modified derivatives for specific end uses. Polysaccharides, as a class of natural macromolecules, have the tendency to be extremely bioactive, and are generally derived from agricultural feedstock or crustacean shell wastes. Cellulose, starch, pectin, etc. are the biopolymers derived from the former while chitin and chitosan are obtained from the latter. In terms of availability, chitin is next to cellulose, available to the extent of over 10 gigatons annually. The application potential of chitosan, a deacetylated derivative of chitin, is multidimensional, such as in food and nutrition, biotechnology, material science, drugs and pharmaceuticals, agriculture and environmental protection, and recently in gene therapy too. The net cationicity as well as the presence of multiple reactive functional groups in the molecule make chitosan a sought-after biomolecule. The latter offers scope for manipulation for preparing a broad spectrum of derivatives for specific end use applications in diversified areas. The biomedical and therapeutic significance of chitin/chitosan derivatives is a subject of significant concern to many all over the world. An attempt is made in this overview to consolidate some of the recent findings on the biorelated application potential of chitosan and its derivatives. \u00a9 2006.", "author" : [ { "dropping-particle" : "V.", "family" : "Harish Prashanth", "given" : "K.", "non-dropping-particle" : "", "parse-names" : false, "suffix" : "" }, { "dropping-particle" : "", "family" : "Tharanathan", "given" : "R. N.", "non-dropping-particle" : "", "parse-names" : false, "suffix" : "" } ], "container-title" : "Trends in Food Science and Technology", "id" : "ITEM-2", "issued" : { "date-parts" : [ [ "2007" ] ] }, "page" : "117-131", "title" : "Chitin/chitosan: modifications and their unlimited application potential-an overview", "type" : "article-journal", "volume" : "18" }, "uris" : [ "http://www.mendeley.com/documents/?uuid=3714ac88-b3b8-47ae-94ef-25aac74c4205" ] }, { "id" : "ITEM-3", "itemData" : { "DOI" : "10.1021/am100222m", "ISBN" : "1944-8244", "ISSN" : "19448244", "PMID" : "20527778", "abstract" : "Nanocomposites of chitosan and graphene oxide are prepared by simple self-assembly of both components in aqueous media. It is observed that graphene oxide is dispersed on a molecular scale in the chitosan matrix and some interactions occur between chitosan matrix and graphene oxide sheets. These are responsible for efficient load transfer between the nanofiller graphene and chitosan matrix. Compared with the pure chitosan, the tensile strength, and Young\u2019s modulus of the graphene-based materials are significantly improved by about 122 and 64%, respectively, with incorporation of 1 wt % graphene oxide. At the same time, the elongation at the break point increases remarkably. The experimental results indicate that graphene oxide sheets prefer to disperse well within the nanocomposites.", "author" : [ { "dropping-particle" : "", "family" : "Yang", "given" : "Xiaoming", "non-dropping-particle" : "", "parse-names" : false, "suffix" : "" }, { "dropping-particle" : "", "family" : "Tu", "given" : "Yingfeng", "non-dropping-particle" : "", "parse-names" : false, "suffix" : "" }, { "dropping-particle" : "", "family" : "Li", "given" : "Liang", "non-dropping-particle" : "", "parse-names" : false, "suffix" : "" }, { "dropping-particle" : "", "family" : "Shang", "given" : "Songmin", "non-dropping-particle" : "", "parse-names" : false, "suffix" : "" }, { "dropping-particle" : "", "family" : "Tao", "given" : "Xiao Ming", "non-dropping-particle" : "", "parse-names" : false, "suffix" : "" } ], "container-title" : "ACS Applied Materials and Interfaces", "id" : "ITEM-3", "issue" : "6", "issued" : { "date-parts" : [ [ "2010" ] ] }, "page" : "1707-1713", "title" : "Well-dispersed chitosan/graphene oxide nanocomposites", "type" : "article-journal", "volume" : "2" }, "uris" : [ "http://www.mendeley.com/documents/?uuid=4334986c-4f41-417b-a1a1-14d89dd5386a" ] } ], "mendeley" : { "formattedCitation" : "[31,183,184]", "plainTextFormattedCitation" : "[31,183,184]", "previouslyFormattedCitation" : "[31,183,184]"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[31,183,184]</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w:t>
      </w:r>
    </w:p>
    <w:p w14:paraId="082AED01" w14:textId="6EA7117C" w:rsidR="007E4AF6" w:rsidRPr="001A5452" w:rsidRDefault="007E4AF6" w:rsidP="0080293D">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To our knowledge, </w:t>
      </w:r>
      <w:r w:rsidR="0080293D" w:rsidRPr="001A5452">
        <w:rPr>
          <w:rFonts w:ascii="Times New Roman" w:hAnsi="Times New Roman" w:cs="Times New Roman"/>
          <w:sz w:val="24"/>
          <w:szCs w:val="24"/>
        </w:rPr>
        <w:t xml:space="preserve">Graphene can be produced by micro-mechanical exfoliation, epitaxial growth, chemical vapor deposition, thermal reduction, and chemical reduction of graphene oxide (GO) </w:t>
      </w:r>
      <w:r w:rsidR="0080293D"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"10.1021/jp100603h", "ISBN" : "1463-9262", "ISSN" : "1932-7447", "PMID" : "24732631", "abstract" : "The preparation of solution-processable graphene from graphite oxide typically involves a hydrazine reduction step, but the use of such a reagent in the large-scale implementation of this approach is not desirable due to its high toxicity. Here, we compare the deoxygenation efficiency of graphene oxide suspensions by different reductants (sodium borohydride, pyrogallol, and vitamin C, in addition to hydrazine), as well as by heating the suspensions under alkaline conditions. In almost all cases, the degree of reduction attainable and the subsequent restoration of relevant properties (e.g., electrical conductivity) lag significantly behind those achieved with hydrazine. Only vitamin C is found to yield highly reduced suspensions in a way comparable to those provided by hydrazine. Stable suspensions of vitamin C-reduced graphene oxide can be prepared not only in water but also in common organic solvents, such as N,N-dimethylformamide (DMF) or N-methyl-2-pyrrolidone (NMP). These results open the perspective of replacing hydrazine in the reduction of graphene oxide suspensions by an innocuous and safe reductant of similar efficacy, thus facilitating the use of graphene-based materials for large-scale applications.", "author" : [ { "dropping-particle" : "", "family" : "M.J.Fernandez-Merino", "given" : "", "non-dropping-particle" : "", "parse-names" : false, "suffix" : "" }, { "dropping-particle" : "", "family" : "L.Guardia", "given" : "", "non-dropping-particle" : "", "parse-names" : false, "suffix" : "" }, { "dropping-particle" : "", "family" : "J.I.Paredes", "given" : "", "non-dropping-particle" : "", "parse-names" : false, "suffix" : "" }, { "dropping-particle" : "", "family" : "S.Villar-Rodil", "given" : "", "non-dropping-particle" : "", "parse-names" : false, "suffix" : "" }, { "dropping-particle" : "", "family" : "P.Solis-Fernandez", "given" : "", "non-dropping-particle" : "", "parse-names" : false, "suffix" : "" }, { "dropping-particle" : "", "family" : "A.Martinez-Alonso", "given" : "", "non-dropping-particle" : "", "parse-names" : false, "suffix" : "" }, { "dropping-particle" : "", "family" : "J.M.D.Tascon", "given" : "", "non-dropping-particle" : "", "parse-names" : false, "suffix" : "" } ], "container-title" : "The Journal of Physical Chemistry C", "id" : "ITEM-1", "issued" : { "date-parts" : [ [ "2010" ] ] }, "page" : "6426-6432", "title" : "Vitamin C Is an Ideal Substitute for Hydrazine in the Reduction of Graphene Oxide Suspensions", "type" : "article-journal", "volume" : "114" }, "uris" : [ "http://www.mendeley.com/documents/?uuid=9b928ee3-7e2e-4923-8c55-9bf27d7b848d" ] }, { "id" : "ITEM-2", "itemData" : { "DOI" : "10.1016/j.carbon.2012.01.074", "ISBN" : "0008-6223", "ISSN" : "00086223", "PMID" : "820", "abstract" : "An environment-friendly approach to synthesizing reduced graphene oxide (RGO) was developed by using chitosan (CS) as both a reducing and a stabilizing agent. Factors that affect the reduction of graphene oxide (GO), such as the ratio of CS/GO, pH and temperature, were explored to obtain optimum reaction conditions. The RGO was characterized with UV visible absorption spectroscopy, Fourier transform infrared spectroscopy, Raman spectroscopy, X-ray diffraction spectroscopy, thermo-gravimetric analysis, and X-ray photoelectron spectroscopy and transmission electron microscopy. Analysis shows that CS macromolecules can efficiently reduce GO at a comparatively low temperature and their adsorption onto the RGO nanosheets allows a stable RGO aqueous dispersion to be formed. Since CS is a natural, nontoxic and biodegradable macromolecule, this approach provides a new green method for GO reduction that would facilitate the large scale production of RGO, which has great value for graphene applications. Moreover, CS can reduce GO and AgNO 3 (or HAuCl 4) in one pot to obtain Ag nanoparticle-RGO hybrids or Au nanoparticle-RGO hybrids that exhibit good electrochemical activity. ?? 2012 Elsevier Ltd. All rights reserved.", "author" : [ { "dropping-particle" : "", "family" : "Guo", "given" : "Yongqin", "non-dropping-particle" : "", "parse-names" : false, "suffix" : "" }, { "dropping-particle" : "", "family" : "Sun", "given" : "Xiying", "non-dropping-particle" : "", "parse-names" : false, "suffix" : "" }, { "dropping-particle" : "", "family" : "Liu", "given" : "Yu", "non-dropping-particle" : "", "parse-names" : false, "suffix" : "" }, { "dropping-particle" : "", "family" : "Wang", "given" : "Wei", "non-dropping-particle" : "", "parse-names" : false, "suffix" : "" }, { "dropping-particle" : "", "family" : "Qiu", "given" : "Haixia", "non-dropping-particle" : "", "parse-names" : false, "suffix" : "" }, { "dropping-particle" : "", "family" : "Gao", "given" : "Jianping", "non-dropping-particle" : "", "parse-names" : false, "suffix" : "" } ], "container-title" : "Carbon", "id" : "ITEM-2", "issue" : "7", "issued" : { "date-parts" : [ [ "2012" ] ] }, "page" : "2513-2523", "publisher" : "Elsevier Ltd", "title" : "One pot preparation of reduced graphene oxide (RGO) or Au (Ag) nanoparticle-RGO hybrids using chitosan as a reducing and stabilizing agent and their use in methanol electrooxidation", "type" : "article-journal", "volume" : "50" }, "uris" : [ "http://www.mendeley.com/documents/?uuid=796de02a-dd7e-4d5b-88b8-284516ce72b8" ] }, { "id" : "ITEM-3",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"ITEM-3", "issue" : "7", "issued" : { "date-parts" : [ [ "2007" ] ] }, "page" : "1558-1565", "title" : "Synthesis of graphene-based nanosheets via chemical reduction of exfoliated graphite oxide", "type" : "article-journal", "volume" : "45" }, "uris" : [ "http://www.mendeley.com/documents/?uuid=7d96f1a7-d047-463c-8a60-e43142ea0559" ] }, { "id" : "ITEM-4", "itemData" : { "DOI" : "10.1021/cm0630800", "ISBN" : "0897-4756", "ISSN" : "08974756", "PMID" : "16640401", "abstract" : "A detailed analysis of the thermal expansion mechanism of graphite oxide to produce functionalized graphene sheets is provided. Exfoliation takes place when the decomposition rate of the epoxy and hydroxyl sites of graphite oxide exceeds the diffusion rate of the evolved gases, thus yielding pressures that exceed the van der Waals forces holding the graphene sheets together. A comparison of the Arrhenius dependence of the reaction rate against the calculated diffusion coefficient based on Knudsen diffusion suggests a critical temperature of 550 \u00b0C which must be exceeded for exfoliation to occur. As a result of their wrinkled nature, the functionalized and defective graphene sheets do not collapse back to graphite oxide but are highly agglomerated. After dispersion by ultrasonication in appropriate solvents, statistical analysis by atomic force microscopy shows that 80% of the observed flakes are single sheets.", "author" : [ { "dropping-particle" : "", "family" : "McAllister", "given" : "Michael J.", "non-dropping-particle" : "", "parse-names" : false, "suffix" : "" }, { "dropping-particle" : "", "family" : "Li", "given" : "Je Luen", "non-dropping-particle" : "", "parse-names" : false, "suffix" : "" }, { "dropping-particle" : "", "family" : "Adamson", "given" : "Douglas H.", "non-dropping-particle" : "", "parse-names" : false, "suffix" : "" }, { "dropping-particle" : "", "family" : "Schniepp", "given" : "Hannes C.", "non-dropping-particle" : "", "parse-names" : false, "suffix" : "" }, { "dropping-particle" : "", "family" : "Abdala", "given" : "Ahmed A.", "non-dropping-particle" : "", "parse-names" : false, "suffix" : "" }, { "dropping-particle" : "", "family" : "Liu", "given" : "Jun", "non-dropping-particle" : "", "parse-names" : false, "suffix" : "" }, { "dropping-particle" : "", "family" : "Herrera-Alonso", "given" : "Margarita", "non-dropping-particle" : "", "parse-names" : false, "suffix" : "" }, { "dropping-particle" : "", "family" : "Milius", "given" : "David L.", "non-dropping-particle" : "", "parse-names" : false, "suffix" : "" }, { "dropping-particle" : "", "family" : "Car", "given" : "Roberto", "non-dropping-particle" : "", "parse-names" : false, "suffix" : "" }, { "dropping-particle" : "", "family" : "Prud'homme", "given" : "Robert K.", "non-dropping-particle" : "", "parse-names" : false, "suffix" : "" }, { "dropping-particle" : "", "family" : "Aksay", "given" : "Ilhan A.", "non-dropping-particle" : "", "parse-names" : false, "suffix" : "" } ], "container-title" : "Chemistry of Materials", "id" : "ITEM-4", "issue" : "18", "issued" : { "date-parts" : [ [ "2007" ] ] }, "page" : "4396-4404", "title" : "Single sheet functionalized graphene by oxidation and thermal expansion of graphite", "type" : "article-journal", "volume" : "19" }, "uris" : [ "http://www.mendeley.com/documents/?uuid=3e5928c5-837f-471c-921f-e40d9d0bf546" ] }, { "id" : "ITEM-5", "itemData" : { "DOI" : "http://dx.doi.org/10.1016/j.tsf.2015.02.038", "ISBN" : "0040-6090", "ISSN" : "0040-6090", "abstract" : "Abstract Graphene has been used to enhance conversion efficiency in dye-sensitized solar cell (DSSC) through increased electronic transportation. Introduction of graphene into DSSC is realized through reduction of graphene oxide (GO) to reduced graphene or RGO in TiO2 nanoparticles in solution. Chemical and hydrothermal reactions are two commonly used avenues. In the chemical route, toxic hydrazine and its derivatives are the typical reducing agent. Hydrothermal process is not toxic but requires prolonged heating. In this study, we mix flakes of GO with TiO2 nanoparticles and use vitamin C to realize the reduction at room temperature. The RGO\u2013TiO2 composite films are then used as photoanode in DSSC. A conversion efficiency of 30% increase (to 7.89%) is obtained as compared to that of the pure TiO2 photoanode.", "author" : [ { "dropping-particle" : "", "family" : "Ding", "given" : "Hui", "non-dropping-particle" : "", "parse-names" : false, "suffix" : "" }, { "dropping-particle" : "", "family" : "Zhang", "given" : "Sam", "non-dropping-particle" : "", "parse-names" : false, "suffix" : "" }, { "dropping-particle" : "", "family" : "Chen", "given" : "Ji-Tao", "non-dropping-particle" : "", "parse-names" : false, "suffix" : "" }, { "dropping-particle" : "", "family" : "Hu", "given" : "Xiao-Ping", "non-dropping-particle" : "", "parse-names" : false, "suffix" : "" }, { "dropping-particle" : "", "family" : "Du", "given" : "Zhao-Fu", "non-dropping-particle" : "", "parse-names" : false, "suffix" : "" }, { "dropping-particle" : "", "family" : "Qiu", "given" : "Yue-Xiu", "non-dropping-particle" : "", "parse-names" : false, "suffix" : "" }, { "dropping-particle" : "", "family" : "Zhao", "given" : "Dong-Liang", "non-dropping-particle" : "", "parse-names" : false, "suffix" : "" } ], "container-title" : "Thin Solid Films", "id" : "ITEM-5", "issued" : { "date-parts" : [ [ "2015" ] ] }, "page" : "29-36", "publisher" : "Elsevier B.V.", "title" : "Reduction of graphene oxide at room temperature with vitamin C for RGO\u2013TiO2 photoanodes in dye-sensitized solar cell", "type" : "article-journal", "volume" : "584" }, "uris" : [ "http://www.mendeley.com/documents/?uuid=696cde52-9659-409b-a1ac-8a77c10296ea" ] }, { "id" : "ITEM-6", "itemData" : { "DOI" : "10.1016/j.carbon.2011.11.010", "ISBN" : "0008-6223", "ISSN" : "00086223", "PMID" : "22422977", "abstract" : "Graphene has attracted great interest for its excellent mechanical, electrical, thermal and optical properties. It can be produced by micro-mechanical exfoliation of highly ordered pyrolytic graphite, epitaxial growth, chemical vapor deposition, and the reduction of graphene oxide (GO). The first three methods can produce graphene with a relatively perfect structure and excellent properties, while in comparison, GO has two important characteristics: (1) it can be produced using inexpensive graphite as raw material by cost-effective chemical methods with a high yield, and (2) it is highly hydrophilic and can form stable aqueous colloids to facilitate the assembly of macroscopic structures by simple and cheap solution processes, both of which are important to the large-scale uses of graphene. A key topic in the research and applications of GO is the reduction, which partly restores the structure and properties of graphene. Different reduction processes result in different properties of reduced GO (rGO), which in turn affect the final performance of materials or devices composed of rGO. In this contribution, we review the state-of-art status of the reduction of GO on both techniques and mechanisms. The development in this field will speed the applications of graphene. \u00a9 2011 Elsevier Ltd. All rights reserved.", "author" : [ { "dropping-particle" : "", "family" : "Pei", "given" : "Songfeng", "non-dropping-particle" : "", "parse-names" : false, "suffix" : "" }, { "dropping-particle" : "", "family" : "Cheng", "given" : "Hui Ming", "non-dropping-particle" : "", "parse-names" : false, "suffix" : "" } ], "container-title" : "Carbon", "id" : "ITEM-6", "issued" : { "date-parts" : [ [ "2012" ] ] }, "page" : "3210-3228", "publisher" : "Elsevier Ltd", "title" : "The reduction of graphene oxide", "type" : "article-journal", "volume" : "50" }, "uris" : [ "http://www.mendeley.com/documents/?uuid=6115dac8-d613-40d6-80de-2421db71dee0" ] } ], "mendeley" : { "formattedCitation" : "[27,31,34,39,178,185]", "plainTextFormattedCitation" : "[27,31,34,39,178,185]", "previouslyFormattedCitation" : "[27,31,34,39,178,185]" }, "properties" : {  }, "schema" : "https://github.com/citation-style-language/schema/raw/master/csl-citation.json" }</w:instrText>
      </w:r>
      <w:r w:rsidR="0080293D"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[27,31,34,39,178,185]</w:t>
      </w:r>
      <w:r w:rsidR="0080293D" w:rsidRPr="001A5452">
        <w:rPr>
          <w:rFonts w:ascii="Times New Roman" w:hAnsi="Times New Roman" w:cs="Times New Roman"/>
          <w:sz w:val="24"/>
          <w:szCs w:val="24"/>
        </w:rPr>
        <w:fldChar w:fldCharType="end"/>
      </w:r>
      <w:r w:rsidR="0080293D" w:rsidRPr="001A5452">
        <w:rPr>
          <w:rFonts w:ascii="Times New Roman" w:hAnsi="Times New Roman" w:cs="Times New Roman"/>
          <w:sz w:val="24"/>
          <w:szCs w:val="24"/>
        </w:rPr>
        <w:t xml:space="preserve">. Hydrazine hydrate </w:t>
      </w:r>
      <w:r w:rsidR="0080293D" w:rsidRPr="001A5452">
        <w:rPr>
          <w:rFonts w:ascii="Times New Roman" w:hAnsi="Times New Roman" w:cs="Times New Roman"/>
          <w:sz w:val="24"/>
          <w:szCs w:val="24"/>
        </w:rPr>
        <w:fldChar w:fldCharType="begin" w:fldLock="1"/>
      </w:r>
      <w:r w:rsidR="0080293D">
        <w:rPr>
          <w:rFonts w:ascii="Times New Roman" w:hAnsi="Times New Roman" w:cs="Times New Roman"/>
          <w:sz w:val="24"/>
          <w:szCs w:val="24"/>
        </w:rPr>
        <w:instrText>ADDIN CSL_CITATION { "citationItems" : [ { "id" : "ITEM-1", "itemData" : { "DOI" : "10.1016/j.carbon.2011.02.071", "ISBN" : "0008-6223", "ISSN" : "00086223", "abstract" : "We prepared hydrazine-reduced materials from both graphite oxide (GO) particles, which were not exfoliated, and completely exfoliated individual graphene oxide platelets, and then analyzed their chemical and structural properties by elemental analysis, XPS, TGA, XRD, and SEM. Both reduced materials showed distinctly different chemical and structural properties from one another. While hydrazine reduction of graphene oxide platelets produced agglomerates of exfoliated platelets, the reduction of GO particles produced particles that were not exfoliated. The degree of chemical reduction of reduced GO particles was lower than that of reduced graphene oxide and the BET surface area of reduced GO was much lower than that of reduced graphene oxide. ?? 2011 Elsevier Ltd. All rights reserved.", "author" : [ { "dropping-particle" : "", "family" : "Park", "given" : "Sungjin", "non-dropping-particle" : "", "parse-names" : false, "suffix" : "" }, { "dropping-particle" : "", "family" : "An", "given" : "Jinho", "non-dropping-particle" : "", "parse-names" : false, "suffix" : "" }, { "dropping-particle" : "", "family" : "Potts", "given" : "Jeffrey R.", "non-dropping-particle" : "", "parse-names" : false, "suffix" : "" }, { "dropping-particle" : "", "family" : "Velamakanni", "given" : "Aruna", "non-dropping-particle" : "", "parse-names" : false, "suffix" : "" }, { "dropping-particle" : "", "family" : "Murali", "given" : "Shanthi", "non-dropping-particle" : "", "parse-names" : false, "suffix" : "" }, { "dropping-particle" : "", "family" : "Ruoff", "given" : "Rodney S.", "non-dropping-particle" : "", "parse-names" : false, "suffix" : "" } ], "container-title" : "Carbon", "id" : "ITEM-1", "issue" : "9", "issued" : { "date-parts" : [ [ "2011" ] ] }, "page" : "3019-3023", "publisher" : "Elsevier Ltd", "title" : "Hydrazine-reduction of graphite and graphene oxide", "type" : "article-journal", "volume" : "49" }, "uris" : [ "http://www.mendeley.com/documents/?uuid=f30a1589-a61e-47a4-9fd6-4c6f13dc8dcd" ] }, { "id" : "ITEM-2", "itemData" : { "DOI" : "10.1039/b512799h", "ISBN" : "0959-9428", "ISSN" : "0959-9428", "abstract" : "For the first time, stable aqueous dispersions of polymer-coated graphitic nanoplatelets can be prepared via an exfoliation/in-situ reduction of graphite oxide in the presence of poly(sodium 4-styrenesulfonate)", "author" : [ { "dropping-particle" : "", "family" : "Stankovich", "given" : "Sasha", "non-dropping-particle" : "", "parse-names" : false, "suffix" : "" }, { "dropping-particle" : "", "family" : "Piner", "given" : "Richard D.", "non-dropping-particle" : "", "parse-names" : false, "suffix" : "" }, { "dropping-particle" : "", "family" : "Chen", "given" : "Xinqi", "non-dropping-particle" : "", "parse-names" : false, "suffix" : "" }, { "dropping-particle" : "", "family" : "Wu", "given" : "Nianqiang", "non-dropping-particle" : "", "parse-names" : false, "suffix" : "" }, { "dropping-particle" : "", "family" : "Nguyen", "given" : "SonBinh T.", "non-dropping-particle" : "", "parse-names" : false, "suffix" : "" }, { "dropping-particle" : "", "family" : "Ruoff", "given" : "Rodney S.", "non-dropping-particle" : "", "parse-names" : false, "suffix" : "" } ], "container-title" : "Journal of Materials Chemistry", "id" : "ITEM-2", "issued" : { "date-parts" : [ [ "2006" ] ] }, "page" : "155-158", "title" : "Stable aqueous dispersions of graphitic nanoplatelets via the reduction of exfoliated graphite oxide in the presence of poly(sodium 4-styrenesulfonate)", "type" : "article-journal", "volume" : "16" }, "uris" : [ "http://www.mendeley.com/documents/?uuid=a323b406-1205-4dcc-904c-379070602053" ] }, { "id" : "ITEM-3",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"ITEM-3", "issue" : "7", "issued" : { "date-parts" : [ [ "2007" ] ] }, "page" : "1558-1565", "title" : "Synthesis of graphene-based nanosheets via chemical reduction of exfoliated graphite oxide", "type" : "article-journal", "volume" : "45" }, "uris" : [ "http://www.mendeley.com/documents/?uuid=7d96f1a7-d047-463c-8a60-e43142ea0559" ] } ], "mendeley" : { "formattedCitation" : "[32\u201334]", "plainTextFormattedCitation" : "[32\u201334]", "previouslyFormattedCitation" : "[32\u201334]" }, "properties" : {  }, "schema" : "https://github.com/citation-style-language/schema/raw/master/csl-citation.json" }</w:instrText>
      </w:r>
      <w:r w:rsidR="0080293D" w:rsidRPr="001A5452">
        <w:rPr>
          <w:rFonts w:ascii="Times New Roman" w:hAnsi="Times New Roman" w:cs="Times New Roman"/>
          <w:sz w:val="24"/>
          <w:szCs w:val="24"/>
        </w:rPr>
        <w:fldChar w:fldCharType="separate"/>
      </w:r>
      <w:r w:rsidR="0080293D" w:rsidRPr="00D973A8">
        <w:rPr>
          <w:rFonts w:ascii="Times New Roman" w:hAnsi="Times New Roman" w:cs="Times New Roman"/>
          <w:noProof/>
          <w:sz w:val="24"/>
          <w:szCs w:val="24"/>
        </w:rPr>
        <w:t>[32–34]</w:t>
      </w:r>
      <w:r w:rsidR="0080293D" w:rsidRPr="001A5452">
        <w:rPr>
          <w:rFonts w:ascii="Times New Roman" w:hAnsi="Times New Roman" w:cs="Times New Roman"/>
          <w:sz w:val="24"/>
          <w:szCs w:val="24"/>
        </w:rPr>
        <w:fldChar w:fldCharType="end"/>
      </w:r>
      <w:r w:rsidR="0080293D" w:rsidRPr="001A5452">
        <w:rPr>
          <w:rFonts w:ascii="Times New Roman" w:hAnsi="Times New Roman" w:cs="Times New Roman"/>
          <w:sz w:val="24"/>
          <w:szCs w:val="24"/>
        </w:rPr>
        <w:t xml:space="preserve">, sodium borohydride </w:t>
      </w:r>
      <w:r w:rsidR="0080293D"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"10.1021/nl080604h", "ISBN" : "1530-6984", "ISSN" : "15306984", "PMID" : "18498200", "abstract" : "A facile and scalable preparation of aqueous solutions of isolated, sparingly sulfonated graphene is reported. (13)C NMR and FTIR spectra indicate that the bulk of the oxygen-containing functional groups was removed from graphene oxide. The electrical conductivity of thin evaporated films of graphene (1250 S/m) relative to similarly prepared graphite (6120 S/m) implies that an extended conjugated sp (2) network is restored in the water soluble graphene.", "author" : [ { "dropping-particle" : "", "family" : "Yongchao", "given" : "Si", "non-dropping-particle" : "", "parse-names" : false, "suffix" : "" }, { "dropping-particle" : "", "family" : "Samulski Edward T", "given" : "", "non-dropping-particle" : "", "parse-names" : false, "suffix" : "" }, { "dropping-particle" : "", "family" : "Si", "given" : "Yongchao", "non-dropping-particle" : "", "parse-names" : false, "suffix" : "" }, { "dropping-particle" : "", "family" : "Samulski", "given" : "Edward T.", "non-dropping-particle" : "", "parse-names" : false, "suffix" : "" } ], "container-title" : "Nano Letters", "id" : "ITEM-1", "issue" : "6", "issued" : { "date-parts" : [ [ "2008" ] ] }, "page" : "1679-1682", "title" : "Synthesis of water soluble graphene", "type" : "article-journal", "volume" : "8" }, "uris" : [ "http://www.mendeley.com/documents/?uuid=dd29a6be-9657-4a34-87dc-a11d0ac67618" ] }, { "id" : "ITEM-2", "itemData" : { "DOI" : "10.1002/adfm.200900167", "ISBN" : "1616-3028", "ISSN" : "1616301X", "abstract" : "The conductivity of graphite oxide films is modulated using reducing agents. It is found that the sheet resistance of graphite oxide film reduced using sodium borohydride (NaBH4) is much lower than that of films reduced using hydrazine (N2H4). This is attributed to the formation of C-N groups in the N2H4 case, which may act as donors compensating the hole carriers in reduced graphite oxide. In the case of NaBH4 reduction, the interlayer distance is first slightly expanded by the formation of intermediate boron oxide complexes and then contracted by the gradual removal of carbonyl and hydroxyl groups along with the boron oxide complexes. The fabricated conducting film comprising a NaBH4-reduced graphite oxide reveals a sheet resistance comparable to that of dispersed graphene.", "author" : [ { "dropping-particle" : "", "family" : "Shin", "given" : "Hyeon Jin", "non-dropping-particle" : "", "parse-names" : false, "suffix" : "" }, { "dropping-particle" : "", "family" : "Kim", "given" : "Ki Kang", "non-dropping-particle" : "", "parse-names" : false, "suffix" : "" }, { "dropping-particle" : "", "family" : "Benayad", "given" : "Anass", "non-dropping-particle" : "", "parse-names" : false, "suffix" : "" }, { "dropping-particle" : "", "family" : "Yoon", "given" : "Seon Mi", "non-dropping-particle" : "", "parse-names" : false, "suffix" : "" }, { "dropping-particle" : "", "family" : "Park", "given" : "Hyeon Ki", "non-dropping-particle" : "", "parse-names" : false, "suffix" : "" }, { "dropping-particle" : "", "family" : "Jung", "given" : "In Sun", "non-dropping-particle" : "", "parse-names" : false, "suffix" : "" }, { "dropping-particle" : "", "family" : "Jin", "given" : "Mei Hua", "non-dropping-particle" : "", "parse-names" : false, "suffix" : "" }, { "dropping-particle" : "", "family" : "Jeong", "given" : "Hae Kyung", "non-dropping-particle" : "", "parse-names" : false, "suffix" : "" }, { "dropping-particle" : "", "family" : "Kim", "given" : "Jong Min", "non-dropping-particle" : "", "parse-names" : false, "suffix" : "" }, { "dropping-particle" : "", "family" : "Choi", "given" : "Jae Young", "non-dropping-particle" : "", "parse-names" : false, "suffix" : "" }, { "dropping-particle" : "", "family" : "Lee", "given" : "Young Hee", "non-dropping-particle" : "", "parse-names" : false, "suffix" : "" } ], "container-title" : "Advanced Functional Materials", "id" : "ITEM-2", "issued" : { "date-parts" : [ [ "2009" ] ] }, "page" : "1987-1992", "title" : "Efficient reduction of graphite oxide by sodium borohydride and its effect on electrical conductance", "type" : "article-journal", "volume" : "19" }, "uris" : [ "http://www.mendeley.com/documents/?uuid=1b38f087-8f20-4fcb-bdca-02eddea4d1b1" ] } ], "mendeley" : { "formattedCitation" : "[35,186]", "plainTextFormattedCitation" : "[35,186]", "previouslyFormattedCitation" : "[35,186]" }, "properties" : {  }, "schema" : "https://github.com/citation-style-language/schema/raw/master/csl-citation.json" }</w:instrText>
      </w:r>
      <w:r w:rsidR="0080293D"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[35,186]</w:t>
      </w:r>
      <w:r w:rsidR="0080293D" w:rsidRPr="001A5452">
        <w:rPr>
          <w:rFonts w:ascii="Times New Roman" w:hAnsi="Times New Roman" w:cs="Times New Roman"/>
          <w:sz w:val="24"/>
          <w:szCs w:val="24"/>
        </w:rPr>
        <w:fldChar w:fldCharType="end"/>
      </w:r>
      <w:r w:rsidR="0080293D" w:rsidRPr="001A5452">
        <w:rPr>
          <w:rFonts w:ascii="Times New Roman" w:hAnsi="Times New Roman" w:cs="Times New Roman"/>
          <w:sz w:val="24"/>
          <w:szCs w:val="24"/>
        </w:rPr>
        <w:t xml:space="preserve">, hydroquinone </w:t>
      </w:r>
      <w:r w:rsidR="0080293D" w:rsidRPr="001A5452">
        <w:rPr>
          <w:rFonts w:ascii="Times New Roman" w:hAnsi="Times New Roman" w:cs="Times New Roman"/>
          <w:sz w:val="24"/>
          <w:szCs w:val="24"/>
        </w:rPr>
        <w:fldChar w:fldCharType="begin" w:fldLock="1"/>
      </w:r>
      <w:r w:rsidR="0080293D">
        <w:rPr>
          <w:rFonts w:ascii="Times New Roman" w:hAnsi="Times New Roman" w:cs="Times New Roman"/>
          <w:sz w:val="24"/>
          <w:szCs w:val="24"/>
        </w:rPr>
        <w:instrText>ADDIN CSL_CITATION { "citationItems" : [ { "id" : "ITEM-1", "itemData" : { "DOI" : "10.1021/jp710931h", "ISBN" : "1932-7447", "ISSN" : "1932-7447", "abstract" : "Graphene nanosheets were produced in large quantity via a soft chemistry synthetic route involving graphite oxidation, ultrasonic exfoliation, and chemical reduction. X-ray diffraction and transmission electron microscopy (TEM) observations show that graphene nanosheets were produced with sizes in the-range of tens to hundreds of square nanometers and ripple-like corrugations. High resolution TEM (HRTEM) and selected area electron diffraction (SAED) analysis confirmed the ordered graphite crystal structure of graphene nanosheets. The optical properties of graphene nanosheets were characterized by Raman spectroscopy.", "author" : [ { "dropping-particle" : "", "family" : "Wang", "given" : "Guoxiu", "non-dropping-particle" : "", "parse-names" : false, "suffix" : "" }, { "dropping-particle" : "", "family" : "Yang", "given" : "Juan", "non-dropping-particle" : "", "parse-names" : false, "suffix" : "" }, { "dropping-particle" : "", "family" : "Park", "given" : "Jinsoo", "non-dropping-particle" : "", "parse-names" : false, "suffix" : "" }, { "dropping-particle" : "", "family" : "Gou", "given" : "Xinglong", "non-dropping-particle" : "", "parse-names" : false, "suffix" : "" }, { "dropping-particle" : "", "family" : "Wang", "given" : "Bei", "non-dropping-particle" : "", "parse-names" : false, "suffix" : "" }, { "dropping-particle" : "", "family" : "Liu", "given" : "Hao", "non-dropping-particle" : "", "parse-names" : false, "suffix" : "" }, { "dropping-particle" : "", "family" : "Yao", "given" : "Jane", "non-dropping-particle" : "", "parse-names" : false, "suffix" : "" } ], "container-title" : "The Journal of Physical Chemistry C", "id" : "ITEM-1", "issued" : { "date-parts" : [ [ "2008" ] ] }, "page" : "8192-8195", "title" : "Facile synthesis and characterization of graphene nanosheets", "type" : "article-journal", "volume" : "112" }, "uris" : [ "http://www.mendeley.com/documents/?uuid=b1d14f96-a2be-4eda-b67b-c88f3741c0be" ] } ], "mendeley" : { "formattedCitation" : "[37]", "plainTextFormattedCitation" : "[37]", "previouslyFormattedCitation" : "[37]" }, "properties" : {  }, "schema" : "https://github.com/citation-style-language/schema/raw/master/csl-citation.json" }</w:instrText>
      </w:r>
      <w:r w:rsidR="0080293D" w:rsidRPr="001A5452">
        <w:rPr>
          <w:rFonts w:ascii="Times New Roman" w:hAnsi="Times New Roman" w:cs="Times New Roman"/>
          <w:sz w:val="24"/>
          <w:szCs w:val="24"/>
        </w:rPr>
        <w:fldChar w:fldCharType="separate"/>
      </w:r>
      <w:r w:rsidR="0080293D" w:rsidRPr="00D973A8">
        <w:rPr>
          <w:rFonts w:ascii="Times New Roman" w:hAnsi="Times New Roman" w:cs="Times New Roman"/>
          <w:noProof/>
          <w:sz w:val="24"/>
          <w:szCs w:val="24"/>
        </w:rPr>
        <w:t>[37]</w:t>
      </w:r>
      <w:r w:rsidR="0080293D" w:rsidRPr="001A5452">
        <w:rPr>
          <w:rFonts w:ascii="Times New Roman" w:hAnsi="Times New Roman" w:cs="Times New Roman"/>
          <w:sz w:val="24"/>
          <w:szCs w:val="24"/>
        </w:rPr>
        <w:fldChar w:fldCharType="end"/>
      </w:r>
      <w:r w:rsidR="0080293D" w:rsidRPr="001A5452">
        <w:rPr>
          <w:rFonts w:ascii="Times New Roman" w:hAnsi="Times New Roman" w:cs="Times New Roman"/>
          <w:sz w:val="24"/>
          <w:szCs w:val="24"/>
        </w:rPr>
        <w:t xml:space="preserve">, chitosan </w:t>
      </w:r>
      <w:r w:rsidR="0080293D" w:rsidRPr="001A5452">
        <w:rPr>
          <w:rFonts w:ascii="Times New Roman" w:hAnsi="Times New Roman" w:cs="Times New Roman"/>
          <w:sz w:val="24"/>
          <w:szCs w:val="24"/>
        </w:rPr>
        <w:fldChar w:fldCharType="begin" w:fldLock="1"/>
      </w:r>
      <w:r w:rsidR="0080293D">
        <w:rPr>
          <w:rFonts w:ascii="Times New Roman" w:hAnsi="Times New Roman" w:cs="Times New Roman"/>
          <w:sz w:val="24"/>
          <w:szCs w:val="24"/>
        </w:rPr>
        <w:instrText>ADDIN CSL_CITATION { "citationItems" : [ { "id" : "ITEM-1", "itemData" : { "DOI" : "10.1016/j.carbon.2012.01.074", "ISBN" : "0008-6223", "ISSN" : "00086223", "PMID" : "820", "abstract" : "An environment-friendly approach to synthesizing reduced graphene oxide (RGO) was developed by using chitosan (CS) as both a reducing and a stabilizing agent. Factors that affect the reduction of graphene oxide (GO), such as the ratio of CS/GO, pH and temperature, were explored to obtain optimum reaction conditions. The RGO was characterized with UV visible absorption spectroscopy, Fourier transform infrared spectroscopy, Raman spectroscopy, X-ray diffraction spectroscopy, thermo-gravimetric analysis, and X-ray photoelectron spectroscopy and transmission electron microscopy. Analysis shows that CS macromolecules can efficiently reduce GO at a comparatively low temperature and their adsorption onto the RGO nanosheets allows a stable RGO aqueous dispersion to be formed. Since CS is a natural, nontoxic and biodegradable macromolecule, this approach provides a new green method for GO reduction that would facilitate the large scale production of RGO, which has great value for graphene applications. Moreover, CS can reduce GO and AgNO 3 (or HAuCl 4) in one pot to obtain Ag nanoparticle-RGO hybrids or Au nanoparticle-RGO hybrids that exhibit good electrochemical activity. ?? 2012 Elsevier Ltd. All rights reserved.", "author" : [ { "dropping-particle" : "", "family" : "Guo", "given" : "Yongqin", "non-dropping-particle" : "", "parse-names" : false, "suffix" : "" }, { "dropping-particle" : "", "family" : "Sun", "given" : "Xiying", "non-dropping-particle" : "", "parse-names" : false, "suffix" : "" }, { "dropping-particle" : "", "family" : "Liu", "given" : "Yu", "non-dropping-particle" : "", "parse-names" : false, "suffix" : "" }, { "dropping-particle" : "", "family" : "Wang", "given" : "Wei", "non-dropping-particle" : "", "parse-names" : false, "suffix" : "" }, { "dropping-particle" : "", "family" : "Qiu", "given" : "Haixia", "non-dropping-particle" : "", "parse-names" : false, "suffix" : "" }, { "dropping-particle" : "", "family" : "Gao", "given" : "Jianping", "non-dropping-particle" : "", "parse-names" : false, "suffix" : "" } ], "container-title" : "Carbon", "id" : "ITEM-1", "issue" : "7", "issued" : { "date-parts" : [ [ "2012" ] ] }, "page" : "2513-2523", "publisher" : "Elsevier Ltd", "title" : "One pot preparation of reduced graphene oxide (RGO) or Au (Ag) nanoparticle-RGO hybrids using chitosan as a reducing and stabilizing agent and their use in methanol electrooxidation", "type" : "article-journal", "volume" : "50" }, "uris" : [ "http://www.mendeley.com/documents/?uuid=796de02a-dd7e-4d5b-88b8-284516ce72b8" ] } ], "mendeley" : { "formattedCitation" : "[31]", "plainTextFormattedCitation" : "[31]", "previouslyFormattedCitation" : "[31]" }, "properties" : {  }, "schema" : "https://github.com/citation-style-language/schema/raw/master/csl-citation.json" }</w:instrText>
      </w:r>
      <w:r w:rsidR="0080293D" w:rsidRPr="001A5452">
        <w:rPr>
          <w:rFonts w:ascii="Times New Roman" w:hAnsi="Times New Roman" w:cs="Times New Roman"/>
          <w:sz w:val="24"/>
          <w:szCs w:val="24"/>
        </w:rPr>
        <w:fldChar w:fldCharType="separate"/>
      </w:r>
      <w:r w:rsidR="0080293D" w:rsidRPr="00D973A8">
        <w:rPr>
          <w:rFonts w:ascii="Times New Roman" w:hAnsi="Times New Roman" w:cs="Times New Roman"/>
          <w:noProof/>
          <w:sz w:val="24"/>
          <w:szCs w:val="24"/>
        </w:rPr>
        <w:t>[31]</w:t>
      </w:r>
      <w:r w:rsidR="0080293D" w:rsidRPr="001A5452">
        <w:rPr>
          <w:rFonts w:ascii="Times New Roman" w:hAnsi="Times New Roman" w:cs="Times New Roman"/>
          <w:sz w:val="24"/>
          <w:szCs w:val="24"/>
        </w:rPr>
        <w:fldChar w:fldCharType="end"/>
      </w:r>
      <w:r w:rsidR="0080293D" w:rsidRPr="001A5452">
        <w:rPr>
          <w:rFonts w:ascii="Times New Roman" w:hAnsi="Times New Roman" w:cs="Times New Roman"/>
          <w:sz w:val="24"/>
          <w:szCs w:val="24"/>
        </w:rPr>
        <w:t xml:space="preserve">, and vitamin C (L-ascorbic acid) </w:t>
      </w:r>
      <w:r w:rsidR="0080293D"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"10.1021/jp100603h", "ISBN" : "1463-9262", "ISSN" : "1932-7447", "PMID" : "24732631", "abstract" : "The preparation of solution-processable graphene from graphite oxide typically involves a hydrazine reduction step, but the use of such a reagent in the large-scale implementation of this approach is not desirable due to its high toxicity. Here, we compare the deoxygenation efficiency of graphene oxide suspensions by different reductants (sodium borohydride, pyrogallol, and vitamin C, in addition to hydrazine), as well as by heating the suspensions under alkaline conditions. In almost all cases, the degree of reduction attainable and the subsequent restoration of relevant properties (e.g., electrical conductivity) lag significantly behind those achieved with hydrazine. Only vitamin C is found to yield highly reduced suspensions in a way comparable to those provided by hydrazine. Stable suspensions of vitamin C-reduced graphene oxide can be prepared not only in water but also in common organic solvents, such as N,N-dimethylformamide (DMF) or N-methyl-2-pyrrolidone (NMP). These results open the perspective of replacing hydrazine in the reduction of graphene oxide suspensions by an innocuous and safe reductant of similar efficacy, thus facilitating the use of graphene-based materials for large-scale applications.", "author" : [ { "dropping-particle" : "", "family" : "M.J.Fernandez-Merino", "given" : "", "non-dropping-particle" : "", "parse-names" : false, "suffix" : "" }, { "dropping-particle" : "", "family" : "L.Guardia", "given" : "", "non-dropping-particle" : "", "parse-names" : false, "suffix" : "" }, { "dropping-particle" : "", "family" : "J.I.Paredes", "given" : "", "non-dropping-particle" : "", "parse-names" : false, "suffix" : "" }, { "dropping-particle" : "", "family" : "S.Villar-Rodil", "given" : "", "non-dropping-particle" : "", "parse-names" : false, "suffix" : "" }, { "dropping-particle" : "", "family" : "P.Solis-Fernandez", "given" : "", "non-dropping-particle" : "", "parse-names" : false, "suffix" : "" }, { "dropping-particle" : "", "family" : "A.Martinez-Alonso", "given" : "", "non-dropping-particle" : "", "parse-names" : false, "suffix" : "" }, { "dropping-particle" : "", "family" : "J.M.D.Tascon", "given" : "", "non-dropping-particle" : "", "parse-names" : false, "suffix" : "" } ], "container-title" : "The Journal of Physical Chemistry C", "id" : "ITEM-1", "issued" : { "date-parts" : [ [ "2010" ] ] }, "page" : "6426-6432", "title" : "Vitamin C Is an Ideal Substitute for Hydrazine in the Reduction of Graphene Oxide Suspensions", "type" : "article-journal", "volume" : "114" }, "uris" : [ "http://www.mendeley.com/documents/?uuid=9b928ee3-7e2e-4923-8c55-9bf27d7b848d" ] }, { "id" : "ITEM-2", "itemData" : { "DOI" : "http://dx.doi.org/10.1016/j.tsf.2015.02.038", "ISBN" : "0040-6090", "ISSN" : "0040-6090", "abstract" : "Abstract Graphene has been used to enhance conversion efficiency in dye-sensitized solar cell (DSSC) through increased electronic transportation. Introduction of graphene into DSSC is realized through reduction of graphene oxide (GO) to reduced graphene or RGO in TiO2 nanoparticles in solution. Chemical and hydrothermal reactions are two commonly used avenues. In the chemical route, toxic hydrazine and its derivatives are the typical reducing agent. Hydrothermal process is not toxic but requires prolonged heating. In this study, we mix flakes of GO with TiO2 nanoparticles and use vitamin C to realize the reduction at room temperature. The RGO\u2013TiO2 composite films are then used as photoanode in DSSC. A conversion efficiency of 30% increase (to 7.89%) is obtained as compared to that of the pure TiO2 photoanode.", "author" : [ { "dropping-particle" : "", "family" : "Ding", "given" : "Hui", "non-dropping-particle" : "", "parse-names" : false, "suffix" : "" }, { "dropping-particle" : "", "family" : "Zhang", "given" : "Sam", "non-dropping-particle" : "", "parse-names" : false, "suffix" : "" }, { "dropping-particle" : "", "family" : "Chen", "given" : "Ji-Tao", "non-dropping-particle" : "", "parse-names" : false, "suffix" : "" }, { "dropping-particle" : "", "family" : "Hu", "given" : "Xiao-Ping", "non-dropping-particle" : "", "parse-names" : false, "suffix" : "" }, { "dropping-particle" : "", "family" : "Du", "given" : "Zhao-Fu", "non-dropping-particle" : "", "parse-names" : false, "suffix" : "" }, { "dropping-particle" : "", "family" : "Qiu", "given" : "Yue-Xiu", "non-dropping-particle" : "", "parse-names" : false, "suffix" : "" }, { "dropping-particle" : "", "family" : "Zhao", "given" : "Dong-Liang", "non-dropping-particle" : "", "parse-names" : false, "suffix" : "" } ], "container-title" : "Thin Solid Films", "id" : "ITEM-2", "issued" : { "date-parts" : [ [ "2015" ] ] }, "page" : "29-36", "publisher" : "Elsevier B.V.", "title" : "Reduction of graphene oxide at room temperature with vitamin C for RGO\u2013TiO2 photoanodes in dye-sensitized solar cell", "type" : "article-journal", "volume" : "584" }, "uris" : [ "http://www.mendeley.com/documents/?uuid=696cde52-9659-409b-a1ac-8a77c10296ea" ] } ], "mendeley" : { "formattedCitation" : "[39,178]", "plainTextFormattedCitation" : "[39,178]", "previouslyFormattedCitation" : "[39,178]" }, "properties" : {  }, "schema" : "https://github.com/citation-style-language/schema/raw/master/csl-citation.json" }</w:instrText>
      </w:r>
      <w:r w:rsidR="0080293D"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[39,178]</w:t>
      </w:r>
      <w:r w:rsidR="0080293D" w:rsidRPr="001A5452">
        <w:rPr>
          <w:rFonts w:ascii="Times New Roman" w:hAnsi="Times New Roman" w:cs="Times New Roman"/>
          <w:sz w:val="24"/>
          <w:szCs w:val="24"/>
        </w:rPr>
        <w:fldChar w:fldCharType="end"/>
      </w:r>
      <w:r w:rsidR="0080293D" w:rsidRPr="001A5452">
        <w:rPr>
          <w:rFonts w:ascii="Times New Roman" w:hAnsi="Times New Roman" w:cs="Times New Roman"/>
          <w:sz w:val="24"/>
          <w:szCs w:val="24"/>
        </w:rPr>
        <w:t xml:space="preserve"> are com</w:t>
      </w:r>
      <w:r w:rsidR="0080293D">
        <w:rPr>
          <w:rFonts w:ascii="Times New Roman" w:hAnsi="Times New Roman" w:cs="Times New Roman"/>
          <w:sz w:val="24"/>
          <w:szCs w:val="24"/>
        </w:rPr>
        <w:t>mon agents for reduction of GO. L</w:t>
      </w:r>
      <w:r w:rsidRPr="001A5452">
        <w:rPr>
          <w:rFonts w:ascii="Times New Roman" w:hAnsi="Times New Roman" w:cs="Times New Roman"/>
          <w:sz w:val="24"/>
          <w:szCs w:val="24"/>
        </w:rPr>
        <w:t>imited work on UPR/rGO composites has been reported. In this chapter, the work is focus</w:t>
      </w:r>
      <w:r w:rsidR="00314423">
        <w:rPr>
          <w:rFonts w:ascii="Times New Roman" w:hAnsi="Times New Roman" w:cs="Times New Roman"/>
          <w:sz w:val="24"/>
          <w:szCs w:val="24"/>
        </w:rPr>
        <w:t>ed</w:t>
      </w:r>
      <w:r w:rsidRPr="001A5452">
        <w:rPr>
          <w:rFonts w:ascii="Times New Roman" w:hAnsi="Times New Roman" w:cs="Times New Roman"/>
          <w:sz w:val="24"/>
          <w:szCs w:val="24"/>
        </w:rPr>
        <w:t xml:space="preserve"> on the electrical conductivity of UPR/rGO composites with some improvements on other properties. In </w:t>
      </w:r>
      <w:r w:rsidR="00314423">
        <w:rPr>
          <w:rFonts w:ascii="Times New Roman" w:hAnsi="Times New Roman" w:cs="Times New Roman"/>
          <w:sz w:val="24"/>
          <w:szCs w:val="24"/>
        </w:rPr>
        <w:t>the previous chapter</w:t>
      </w:r>
      <w:r w:rsidRPr="001A5452">
        <w:rPr>
          <w:rFonts w:ascii="Times New Roman" w:hAnsi="Times New Roman" w:cs="Times New Roman"/>
          <w:sz w:val="24"/>
          <w:szCs w:val="24"/>
        </w:rPr>
        <w:t xml:space="preserve">, the composites were synthesized by incorporation GO with UPR without reduction. </w:t>
      </w:r>
      <w:r w:rsidR="00901C88">
        <w:rPr>
          <w:rFonts w:ascii="Times New Roman" w:hAnsi="Times New Roman" w:cs="Times New Roman"/>
          <w:sz w:val="24"/>
          <w:szCs w:val="24"/>
        </w:rPr>
        <w:t>But</w:t>
      </w:r>
      <w:r w:rsidRPr="001A5452">
        <w:rPr>
          <w:rFonts w:ascii="Times New Roman" w:hAnsi="Times New Roman" w:cs="Times New Roman"/>
          <w:sz w:val="24"/>
          <w:szCs w:val="24"/>
        </w:rPr>
        <w:t xml:space="preserve">, the reduction of GO is essential for conductive graphene based UPR composites. To avoid toxic chemical reductants, vitamin C was used to reduce GO. UPR/rGO composites with various rGO concentrations were prepared by simple solution mixing method. </w:t>
      </w:r>
      <w:r w:rsidR="00901C88">
        <w:rPr>
          <w:rFonts w:ascii="Times New Roman" w:hAnsi="Times New Roman" w:cs="Times New Roman"/>
          <w:sz w:val="24"/>
          <w:szCs w:val="24"/>
        </w:rPr>
        <w:t>T</w:t>
      </w:r>
      <w:r w:rsidRPr="001A5452">
        <w:rPr>
          <w:rFonts w:ascii="Times New Roman" w:hAnsi="Times New Roman" w:cs="Times New Roman"/>
          <w:sz w:val="24"/>
          <w:szCs w:val="24"/>
        </w:rPr>
        <w:t xml:space="preserve">he effect of rGO on the </w:t>
      </w:r>
      <w:r w:rsidR="00901C88">
        <w:rPr>
          <w:rFonts w:ascii="Times New Roman" w:hAnsi="Times New Roman" w:cs="Times New Roman"/>
          <w:sz w:val="24"/>
          <w:szCs w:val="24"/>
        </w:rPr>
        <w:t xml:space="preserve">electrical properties, along with </w:t>
      </w:r>
      <w:r w:rsidRPr="001A5452">
        <w:rPr>
          <w:rFonts w:ascii="Times New Roman" w:hAnsi="Times New Roman" w:cs="Times New Roman"/>
          <w:sz w:val="24"/>
          <w:szCs w:val="24"/>
        </w:rPr>
        <w:t>mechanical properties, thermal properties and dynamic mechanical properties</w:t>
      </w:r>
      <w:r w:rsidR="00901C88">
        <w:rPr>
          <w:rFonts w:ascii="Times New Roman" w:hAnsi="Times New Roman" w:cs="Times New Roman"/>
          <w:sz w:val="24"/>
          <w:szCs w:val="24"/>
        </w:rPr>
        <w:t>,</w:t>
      </w:r>
      <w:r w:rsidRPr="001A5452">
        <w:rPr>
          <w:rFonts w:ascii="Times New Roman" w:hAnsi="Times New Roman" w:cs="Times New Roman"/>
          <w:sz w:val="24"/>
          <w:szCs w:val="24"/>
        </w:rPr>
        <w:t xml:space="preserve"> were investigated.</w:t>
      </w:r>
    </w:p>
    <w:p w14:paraId="71D2E81F" w14:textId="77777777" w:rsidR="007E4AF6" w:rsidRPr="001A5452" w:rsidRDefault="007E4AF6" w:rsidP="007E4AF6">
      <w:pPr>
        <w:spacing w:after="0" w:line="480" w:lineRule="auto"/>
        <w:ind w:firstLine="284"/>
        <w:jc w:val="both"/>
        <w:rPr>
          <w:rFonts w:ascii="Times New Roman" w:hAnsi="Times New Roman" w:cs="Times New Roman"/>
          <w:sz w:val="24"/>
          <w:szCs w:val="24"/>
          <w:lang w:val="en-GB"/>
        </w:rPr>
      </w:pPr>
    </w:p>
    <w:p w14:paraId="431FE645" w14:textId="7979B7AB" w:rsidR="007E4AF6" w:rsidRPr="001A5452" w:rsidRDefault="002E427E" w:rsidP="007E4AF6">
      <w:pPr>
        <w:pStyle w:val="Heading1"/>
        <w:spacing w:before="0"/>
        <w:rPr>
          <w:rFonts w:cs="Times New Roman"/>
        </w:rPr>
      </w:pPr>
      <w:bookmarkStart w:id="112" w:name="_Toc518823281"/>
      <w:r>
        <w:rPr>
          <w:rFonts w:cs="Times New Roman"/>
        </w:rPr>
        <w:t>4</w:t>
      </w:r>
      <w:r w:rsidR="004D0F8E">
        <w:rPr>
          <w:rFonts w:cs="Times New Roman"/>
        </w:rPr>
        <w:t>.</w:t>
      </w:r>
      <w:r w:rsidR="007E4AF6" w:rsidRPr="001A5452">
        <w:rPr>
          <w:rFonts w:cs="Times New Roman"/>
        </w:rPr>
        <w:t>2. Experimental section</w:t>
      </w:r>
      <w:bookmarkEnd w:id="112"/>
    </w:p>
    <w:p w14:paraId="39D1CC65" w14:textId="6D93C440" w:rsidR="007E4AF6" w:rsidRPr="001A5452" w:rsidRDefault="002E427E" w:rsidP="007E4AF6">
      <w:pPr>
        <w:pStyle w:val="Heading2"/>
        <w:spacing w:before="0"/>
        <w:rPr>
          <w:rFonts w:cs="Times New Roman"/>
        </w:rPr>
      </w:pPr>
      <w:bookmarkStart w:id="113" w:name="_Toc518823282"/>
      <w:r>
        <w:rPr>
          <w:rFonts w:cs="Times New Roman"/>
        </w:rPr>
        <w:t>4</w:t>
      </w:r>
      <w:r w:rsidR="004D0F8E">
        <w:rPr>
          <w:rFonts w:cs="Times New Roman"/>
        </w:rPr>
        <w:t>.</w:t>
      </w:r>
      <w:r w:rsidR="007E4AF6" w:rsidRPr="001A5452">
        <w:rPr>
          <w:rFonts w:cs="Times New Roman"/>
        </w:rPr>
        <w:t>2.1. Materials</w:t>
      </w:r>
      <w:bookmarkEnd w:id="113"/>
    </w:p>
    <w:p w14:paraId="409B04AD" w14:textId="2EDB2FC7"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Vitamin C (L-ascorbic acid</w:t>
      </w:r>
      <w:r w:rsidRPr="001A5452">
        <w:rPr>
          <w:rFonts w:ascii="Times New Roman" w:hAnsi="Times New Roman" w:cs="Times New Roman"/>
        </w:rPr>
        <w:t>,</w:t>
      </w:r>
      <w:r w:rsidRPr="001A5452">
        <w:rPr>
          <w:rFonts w:ascii="Times New Roman" w:hAnsi="Times New Roman" w:cs="Times New Roman"/>
          <w:sz w:val="24"/>
          <w:szCs w:val="24"/>
        </w:rPr>
        <w:t xml:space="preserve"> reagent grade) was purchased from Sigma-Aldrich. Graphene oxide (GO) was prepared from graphite by improved </w:t>
      </w:r>
      <w:r w:rsidR="0033210F">
        <w:rPr>
          <w:rFonts w:ascii="Times New Roman" w:hAnsi="Times New Roman" w:cs="Times New Roman"/>
          <w:sz w:val="24"/>
          <w:szCs w:val="24"/>
        </w:rPr>
        <w:t>Hummers</w:t>
      </w:r>
      <w:r w:rsidRPr="001A5452">
        <w:rPr>
          <w:rFonts w:ascii="Times New Roman" w:hAnsi="Times New Roman" w:cs="Times New Roman"/>
          <w:sz w:val="24"/>
          <w:szCs w:val="24"/>
        </w:rPr>
        <w:t xml:space="preserve"> method reported in previous work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"10.1021/nn1006368", "ISBN" : "1936-0851", "ISSN" : "1936-086X", "PMID" : "20731455", "abstract" : "An improved method for the preparation of graphene oxide (GO) is described. Currently, Hummers' method (KMnO(4), NaNO(3), H(2)SO(4)) is the most common method used for preparing graphene oxide. We have found that excluding the NaNO(3), increasing the amount of KMnO(4), and performing the reaction in a 9:1 mixture of H(2)SO(4)/H(3)PO(4) improves the efficiency of the oxidation process. This improved method provides a greater amount of hydrophilic oxidized graphene material as compared to Hummers' method or Hummers' method with additional KMnO(4). Moreover, even though the GO produced by our method is more oxidized than that prepared by Hummers' method, when both are reduced in the same chamber with hydrazine, chemically converted graphene (CCG) produced from this new method is equivalent in its electrical conductivity. In contrast to Hummers' method, the new method does not generate toxic gas and the temperature is easily controlled. This improved synthesis of GO may be important for large-scale production of GO as well as the construction of devices composed of the subsequent CCG.", "author" : [ { "dropping-particle" : "", "family" : "Daniela C. Marcano", "given" : "Dmitry V. Kosynkin", "non-dropping-particle" : "", "parse-names" : false, "suffix" : "" } ], "container-title" : "Acs Nano", "id" : "ITEM-1", "issue" : "8", "issued" : { "date-parts" : [ [ "2010" ] ] }, "page" : "4806-4814", "title" : "Improved Synthesis of Graphene Oxide", "type" : "article-journal", "volume" : "4" }, "uris" : [ "http://www.mendeley.com/documents/?uuid=db8b51aa-2cfb-4741-ae74-e57e62eda52e" ] } ], "mendeley" : { "formattedCitation" : "[187]", "plainTextFormattedCitation" : "[187]", "previouslyFormattedCitation" : "[187]"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[187]</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Unsaturated polyester resin (UPR) was CRYSTIC D3061 (R50054, Scott Bader), which was prepared from isophthalic acid (~25 mol%, 37 wt.%), maleic acid ((~25 mol%, 22.0 wt.%), diethylene glycol ((~25 mol%, 24 wt.%), and propylene glycol ((~25 mol%, 17 wt.%). UPR (D3061) had an average molecular weight of 2778 Daltons, with styrene content of 33±2.0 wt.%, and toluhydriqunone and hydriquione as inhibitors. Methyl ethyl ketone peroxide (MEKP, 30-37 wt.% in diisononyl phthalate, Scott Bader) was used as hardener, cobalt sault E (2-4 wt.% cobalt 2 ethylhexanoate in styrene, Scott Bader) was accelerator/promoter. All other chemicals used in this chapter were reagent grade, purchased from VWR international LTD. </w:t>
      </w:r>
    </w:p>
    <w:p w14:paraId="7719514B" w14:textId="77777777" w:rsidR="00EC61B1" w:rsidRPr="001A5452" w:rsidRDefault="00EC61B1" w:rsidP="007E4AF6">
      <w:pPr>
        <w:spacing w:after="0" w:line="480" w:lineRule="auto"/>
        <w:jc w:val="both"/>
        <w:rPr>
          <w:rFonts w:ascii="Times New Roman" w:hAnsi="Times New Roman" w:cs="Times New Roman"/>
          <w:sz w:val="24"/>
          <w:szCs w:val="24"/>
        </w:rPr>
      </w:pPr>
    </w:p>
    <w:p w14:paraId="160F2D5A" w14:textId="55164CCA" w:rsidR="007E4AF6" w:rsidRPr="001A5452" w:rsidRDefault="002E427E" w:rsidP="007E4AF6">
      <w:pPr>
        <w:pStyle w:val="Heading2"/>
        <w:spacing w:before="0"/>
        <w:rPr>
          <w:rFonts w:cs="Times New Roman"/>
        </w:rPr>
      </w:pPr>
      <w:bookmarkStart w:id="114" w:name="_Toc518823283"/>
      <w:r>
        <w:rPr>
          <w:rFonts w:cs="Times New Roman"/>
        </w:rPr>
        <w:t>4</w:t>
      </w:r>
      <w:r w:rsidR="004D0F8E">
        <w:rPr>
          <w:rFonts w:cs="Times New Roman"/>
        </w:rPr>
        <w:t>.</w:t>
      </w:r>
      <w:r w:rsidR="007E4AF6" w:rsidRPr="001A5452">
        <w:rPr>
          <w:rFonts w:cs="Times New Roman"/>
        </w:rPr>
        <w:t>2.2. Reduction of GO by vitamin C</w:t>
      </w:r>
      <w:bookmarkEnd w:id="114"/>
    </w:p>
    <w:p w14:paraId="5F4B9AA1" w14:textId="384D9D96"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Clear GO aqueous dispersion (1 mg ml</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was obtained by sonication for 30 min, and a clear vitamin C aqueous dispersion (1mg ml</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was obtained via magnetic agitation and sonication. The mixture with a weight ratio of vitamin C and GO of 3:1 was </w:t>
      </w:r>
      <w:r w:rsidR="00EC61B1" w:rsidRPr="001A5452">
        <w:rPr>
          <w:rFonts w:ascii="Times New Roman" w:hAnsi="Times New Roman" w:cs="Times New Roman"/>
          <w:sz w:val="24"/>
          <w:szCs w:val="24"/>
        </w:rPr>
        <w:t>stirr</w:t>
      </w:r>
      <w:r w:rsidR="00EC61B1">
        <w:rPr>
          <w:rFonts w:ascii="Times New Roman" w:hAnsi="Times New Roman" w:cs="Times New Roman"/>
          <w:sz w:val="24"/>
          <w:szCs w:val="24"/>
        </w:rPr>
        <w:t>ed</w:t>
      </w:r>
      <w:r w:rsidR="00EC61B1" w:rsidRPr="001A5452">
        <w:rPr>
          <w:rFonts w:ascii="Times New Roman" w:hAnsi="Times New Roman" w:cs="Times New Roman"/>
          <w:sz w:val="24"/>
          <w:szCs w:val="24"/>
        </w:rPr>
        <w:t xml:space="preserve"> </w:t>
      </w:r>
      <w:r w:rsidRPr="001A5452">
        <w:rPr>
          <w:rFonts w:ascii="Times New Roman" w:hAnsi="Times New Roman" w:cs="Times New Roman"/>
          <w:sz w:val="24"/>
          <w:szCs w:val="24"/>
        </w:rPr>
        <w:t xml:space="preserve">under 90 °C for 6 hours. The resultant black precipitate was washed 4 times by centrifuging to remove the residue vitamin C, and reduce GO (rGO) powder was obtained by freeze drying. </w:t>
      </w:r>
    </w:p>
    <w:p w14:paraId="546323B0" w14:textId="77777777" w:rsidR="00EC61B1" w:rsidRPr="001A5452" w:rsidRDefault="00EC61B1" w:rsidP="007E4AF6">
      <w:pPr>
        <w:spacing w:after="0" w:line="480" w:lineRule="auto"/>
        <w:jc w:val="both"/>
        <w:rPr>
          <w:rFonts w:ascii="Times New Roman" w:hAnsi="Times New Roman" w:cs="Times New Roman"/>
          <w:sz w:val="24"/>
          <w:szCs w:val="24"/>
        </w:rPr>
      </w:pPr>
    </w:p>
    <w:p w14:paraId="7277F085" w14:textId="0140EA86" w:rsidR="007E4AF6" w:rsidRPr="001A5452" w:rsidRDefault="002E427E" w:rsidP="007E4AF6">
      <w:pPr>
        <w:pStyle w:val="Heading2"/>
        <w:spacing w:before="0"/>
        <w:rPr>
          <w:rFonts w:cs="Times New Roman"/>
        </w:rPr>
      </w:pPr>
      <w:bookmarkStart w:id="115" w:name="_Toc518823284"/>
      <w:r>
        <w:rPr>
          <w:rFonts w:cs="Times New Roman"/>
        </w:rPr>
        <w:t>4</w:t>
      </w:r>
      <w:r w:rsidR="004D0F8E">
        <w:rPr>
          <w:rFonts w:cs="Times New Roman"/>
        </w:rPr>
        <w:t>.</w:t>
      </w:r>
      <w:r w:rsidR="007E4AF6" w:rsidRPr="001A5452">
        <w:rPr>
          <w:rFonts w:cs="Times New Roman"/>
        </w:rPr>
        <w:t xml:space="preserve">2.3. Synthesis of </w:t>
      </w:r>
      <w:r w:rsidR="007E4AF6" w:rsidRPr="001A5452">
        <w:rPr>
          <w:rFonts w:cs="Times New Roman"/>
          <w:szCs w:val="24"/>
        </w:rPr>
        <w:t>UPR/rGO</w:t>
      </w:r>
      <w:r w:rsidR="007E4AF6" w:rsidRPr="001A5452">
        <w:rPr>
          <w:rFonts w:cs="Times New Roman"/>
        </w:rPr>
        <w:t xml:space="preserve"> composites</w:t>
      </w:r>
      <w:bookmarkEnd w:id="115"/>
    </w:p>
    <w:p w14:paraId="7E531CF1" w14:textId="6BCC591B" w:rsidR="007E4AF6" w:rsidRPr="001A5452"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Prior to mixing with UPR, rGO THF dispersion (0.5 mg ml</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was obtained by shear mixing (for 30 min, at 3500 rpm) and sonication (for 60 min). The rGO/THF dispersion and resin were mixed by shear mixing (for 30 min, at 3500 rpm), followed by sonication for 30 min. In order to remove THF by evaporation, magnetic agitation of the mixture containing rGO and resin for 24 hours was needed. 2.0 wt.% hardener and 1.0 wt.% catalyst based on the resin were added and gently stirred for 5 min, followed by the curing procedure:  at ambient temperature for 48 days to further remove the residue of THF, at 80 °C for 3 hour, at 120 °C for 1 hour, and at 200 °C for 3 hours. UPR/rGO composites with 0.05 wt.%, 0.1.0 wt.%, 0.3 wt.%, 0.5 wt.% of rGO were synthesized.</w:t>
      </w:r>
    </w:p>
    <w:p w14:paraId="558A48DA" w14:textId="7F01F9F1" w:rsidR="007E4AF6" w:rsidRPr="001A5452" w:rsidRDefault="002E427E" w:rsidP="007E4AF6">
      <w:pPr>
        <w:pStyle w:val="Heading2"/>
        <w:spacing w:before="0"/>
        <w:rPr>
          <w:rFonts w:cs="Times New Roman"/>
        </w:rPr>
      </w:pPr>
      <w:bookmarkStart w:id="116" w:name="_Toc518823285"/>
      <w:r>
        <w:rPr>
          <w:rFonts w:cs="Times New Roman"/>
        </w:rPr>
        <w:t>4</w:t>
      </w:r>
      <w:r w:rsidR="004D0F8E">
        <w:rPr>
          <w:rFonts w:cs="Times New Roman"/>
        </w:rPr>
        <w:t>.</w:t>
      </w:r>
      <w:r w:rsidR="007E4AF6" w:rsidRPr="001A5452">
        <w:rPr>
          <w:rFonts w:cs="Times New Roman"/>
        </w:rPr>
        <w:t>2.4. Characterization</w:t>
      </w:r>
      <w:bookmarkEnd w:id="116"/>
      <w:r w:rsidR="007E4AF6" w:rsidRPr="001A5452">
        <w:rPr>
          <w:rFonts w:cs="Times New Roman"/>
        </w:rPr>
        <w:t xml:space="preserve"> </w:t>
      </w:r>
    </w:p>
    <w:p w14:paraId="3519C46A" w14:textId="602B8D15" w:rsidR="007E4AF6" w:rsidRPr="001A5452" w:rsidRDefault="002E427E" w:rsidP="000C127D">
      <w:pPr>
        <w:pStyle w:val="Heading3"/>
      </w:pPr>
      <w:bookmarkStart w:id="117" w:name="_Toc518823286"/>
      <w:r>
        <w:t>4</w:t>
      </w:r>
      <w:r w:rsidR="004D0F8E">
        <w:t>.</w:t>
      </w:r>
      <w:r w:rsidR="000C127D">
        <w:t xml:space="preserve">2.4.1. </w:t>
      </w:r>
      <w:r w:rsidR="007E4AF6" w:rsidRPr="001A5452">
        <w:t>X-ray photoelectron spectroscopy (XPS)</w:t>
      </w:r>
      <w:bookmarkEnd w:id="117"/>
    </w:p>
    <w:p w14:paraId="3890DB98" w14:textId="2A7E43FC" w:rsidR="007E4AF6" w:rsidRDefault="007E4AF6" w:rsidP="007E4AF6">
      <w:pPr>
        <w:spacing w:after="0" w:line="480" w:lineRule="auto"/>
        <w:ind w:hanging="180"/>
        <w:jc w:val="both"/>
        <w:rPr>
          <w:rFonts w:ascii="Times New Roman" w:hAnsi="Times New Roman" w:cs="Times New Roman"/>
          <w:sz w:val="24"/>
          <w:szCs w:val="24"/>
        </w:rPr>
      </w:pPr>
      <w:r w:rsidRPr="001A5452">
        <w:rPr>
          <w:rFonts w:ascii="Times New Roman" w:hAnsi="Times New Roman" w:cs="Times New Roman"/>
          <w:sz w:val="24"/>
          <w:szCs w:val="24"/>
        </w:rPr>
        <w:t xml:space="preserve">   The elemental composition analysis of graphite, GO, and rGO were carried out by using fundamental XPS (Kratos Axis Ultra-DLD), with monochromatic aluminum source. Information of the relative levels of oxidation, C/O ratios and the chemical environment of atoms </w:t>
      </w:r>
      <w:r w:rsidR="0066216E">
        <w:rPr>
          <w:rFonts w:ascii="Times New Roman" w:hAnsi="Times New Roman" w:cs="Times New Roman"/>
          <w:sz w:val="24"/>
          <w:szCs w:val="24"/>
        </w:rPr>
        <w:t>were</w:t>
      </w:r>
      <w:r w:rsidR="0066216E" w:rsidRPr="001A5452">
        <w:rPr>
          <w:rFonts w:ascii="Times New Roman" w:hAnsi="Times New Roman" w:cs="Times New Roman"/>
          <w:sz w:val="24"/>
          <w:szCs w:val="24"/>
        </w:rPr>
        <w:t xml:space="preserve"> </w:t>
      </w:r>
      <w:r w:rsidRPr="001A5452">
        <w:rPr>
          <w:rFonts w:ascii="Times New Roman" w:hAnsi="Times New Roman" w:cs="Times New Roman"/>
          <w:sz w:val="24"/>
          <w:szCs w:val="24"/>
        </w:rPr>
        <w:t xml:space="preserve">collected. All spectra were calibrated with the position of the C–C peak at 284.6 ± 0.4 eV. Samples were prepared by pushing a small amount of powder into soft indium foil prior to analysis. </w:t>
      </w:r>
    </w:p>
    <w:p w14:paraId="1F707386" w14:textId="77777777" w:rsidR="0066216E" w:rsidRPr="001A5452" w:rsidRDefault="0066216E" w:rsidP="007E4AF6">
      <w:pPr>
        <w:spacing w:after="0" w:line="480" w:lineRule="auto"/>
        <w:ind w:hanging="180"/>
        <w:jc w:val="both"/>
        <w:rPr>
          <w:rFonts w:ascii="Times New Roman" w:hAnsi="Times New Roman" w:cs="Times New Roman"/>
          <w:sz w:val="24"/>
          <w:szCs w:val="24"/>
        </w:rPr>
      </w:pPr>
    </w:p>
    <w:p w14:paraId="28451BD4" w14:textId="39C0F246" w:rsidR="007E4AF6" w:rsidRPr="001A5452" w:rsidRDefault="002E427E" w:rsidP="000C127D">
      <w:pPr>
        <w:pStyle w:val="Heading3"/>
      </w:pPr>
      <w:bookmarkStart w:id="118" w:name="_Toc518823287"/>
      <w:r>
        <w:t>4</w:t>
      </w:r>
      <w:r w:rsidR="004D0F8E">
        <w:t>.</w:t>
      </w:r>
      <w:r w:rsidR="000C127D">
        <w:t xml:space="preserve">2.4.2. </w:t>
      </w:r>
      <w:r w:rsidR="007E4AF6" w:rsidRPr="001A5452">
        <w:t>Fourier transform infrared spectroscopy (FTIR)</w:t>
      </w:r>
      <w:bookmarkEnd w:id="118"/>
    </w:p>
    <w:p w14:paraId="7E496409" w14:textId="2E3152E8"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FTIR of graphite, GO, rGO, and UPR/rGO composites were carried out on a Spectrum 100 (Perkin Elmer, USA) in a wavelength range of 4000–500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with a resolution of 4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w:t>
      </w:r>
    </w:p>
    <w:p w14:paraId="354649DA" w14:textId="77777777" w:rsidR="00E552A3" w:rsidRDefault="00E552A3" w:rsidP="007E4AF6">
      <w:pPr>
        <w:spacing w:after="0" w:line="480" w:lineRule="auto"/>
        <w:jc w:val="both"/>
        <w:rPr>
          <w:rFonts w:ascii="Times New Roman" w:hAnsi="Times New Roman" w:cs="Times New Roman"/>
          <w:sz w:val="24"/>
          <w:szCs w:val="24"/>
        </w:rPr>
      </w:pPr>
    </w:p>
    <w:p w14:paraId="2C7E0188" w14:textId="313422FE" w:rsidR="00E552A3" w:rsidRPr="001A5452" w:rsidRDefault="002E427E" w:rsidP="000C127D">
      <w:pPr>
        <w:pStyle w:val="Heading3"/>
      </w:pPr>
      <w:bookmarkStart w:id="119" w:name="_Toc518823288"/>
      <w:r>
        <w:t>4</w:t>
      </w:r>
      <w:r w:rsidR="004D0F8E">
        <w:t>.</w:t>
      </w:r>
      <w:r w:rsidR="000C127D">
        <w:t xml:space="preserve">2.4.3. </w:t>
      </w:r>
      <w:r w:rsidR="00E552A3" w:rsidRPr="001A5452">
        <w:t>Electrical conductivity</w:t>
      </w:r>
      <w:bookmarkEnd w:id="119"/>
    </w:p>
    <w:p w14:paraId="790D9180" w14:textId="77777777" w:rsidR="00E552A3" w:rsidRDefault="00E552A3" w:rsidP="00E552A3">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The electrical conductivity of UPR/rGO rectangular bars was determined by the measurement of their resistance by using a FLUKE 287 digital multimeter with two-probe mode. Neat UPR, 0.05 wt.%, 0.1.0 wt.%, 0.3 wt.%, 0.5 wt.%, 1.0 wt</w:t>
      </w:r>
      <w:r>
        <w:rPr>
          <w:rFonts w:ascii="Times New Roman" w:hAnsi="Times New Roman" w:cs="Times New Roman"/>
          <w:sz w:val="24"/>
          <w:szCs w:val="24"/>
        </w:rPr>
        <w:t>.%, 1.5 wt.%, and 2.0 wt.% UPR/r</w:t>
      </w:r>
      <w:r w:rsidRPr="001A5452">
        <w:rPr>
          <w:rFonts w:ascii="Times New Roman" w:hAnsi="Times New Roman" w:cs="Times New Roman"/>
          <w:sz w:val="24"/>
          <w:szCs w:val="24"/>
        </w:rPr>
        <w:t xml:space="preserve">GO composites </w:t>
      </w:r>
      <w:r>
        <w:rPr>
          <w:rFonts w:ascii="Times New Roman" w:hAnsi="Times New Roman" w:cs="Times New Roman"/>
          <w:sz w:val="24"/>
          <w:szCs w:val="24"/>
        </w:rPr>
        <w:t>were</w:t>
      </w:r>
      <w:r w:rsidRPr="001A5452">
        <w:rPr>
          <w:rFonts w:ascii="Times New Roman" w:hAnsi="Times New Roman" w:cs="Times New Roman"/>
          <w:sz w:val="24"/>
          <w:szCs w:val="24"/>
        </w:rPr>
        <w:t xml:space="preserve"> prepared for electrical conductivity test. Silver paint (RS 186-3600) was applied to the two ends of each sample to form contact points. </w:t>
      </w:r>
      <w:r>
        <w:rPr>
          <w:rFonts w:ascii="Times New Roman" w:hAnsi="Times New Roman" w:cs="Times New Roman"/>
          <w:sz w:val="24"/>
          <w:szCs w:val="24"/>
        </w:rPr>
        <w:t>2 specimens were used for each test.</w:t>
      </w:r>
    </w:p>
    <w:p w14:paraId="298BA4D2" w14:textId="319AA9F2" w:rsidR="0066216E" w:rsidRDefault="0066216E" w:rsidP="007E4AF6">
      <w:pPr>
        <w:spacing w:after="0" w:line="480" w:lineRule="auto"/>
        <w:jc w:val="both"/>
        <w:rPr>
          <w:rFonts w:ascii="Times New Roman" w:hAnsi="Times New Roman" w:cs="Times New Roman"/>
          <w:sz w:val="24"/>
          <w:szCs w:val="24"/>
        </w:rPr>
      </w:pPr>
    </w:p>
    <w:p w14:paraId="36CAD8CC" w14:textId="71568A2E" w:rsidR="00E552A3" w:rsidRPr="001A5452" w:rsidRDefault="002E427E" w:rsidP="000C127D">
      <w:pPr>
        <w:pStyle w:val="Heading3"/>
      </w:pPr>
      <w:bookmarkStart w:id="120" w:name="_Toc518823289"/>
      <w:r>
        <w:t>4</w:t>
      </w:r>
      <w:r w:rsidR="004D0F8E">
        <w:t>.</w:t>
      </w:r>
      <w:r w:rsidR="000C127D">
        <w:t xml:space="preserve">2.4.4. </w:t>
      </w:r>
      <w:r w:rsidR="00E552A3" w:rsidRPr="001A5452">
        <w:t>Thermal conductivity</w:t>
      </w:r>
      <w:bookmarkEnd w:id="120"/>
    </w:p>
    <w:p w14:paraId="157672CC" w14:textId="25FE0AA9" w:rsidR="00E552A3" w:rsidRPr="001A5452" w:rsidRDefault="00E552A3"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The thermal conductivity of UPR and UPR/rGO composites was measured by a Flashline 3000 thermal conductivity analyzer (Anter corporation USA) at 50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70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90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and 110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The specimen with dimension of 10 mm × 10 mm × 0.7 mm was sprayed by graphite prior to test. </w:t>
      </w:r>
    </w:p>
    <w:p w14:paraId="608FAD2C" w14:textId="6AA8C71F" w:rsidR="007E4AF6" w:rsidRPr="001A5452" w:rsidRDefault="002E427E" w:rsidP="000C127D">
      <w:pPr>
        <w:pStyle w:val="Heading3"/>
      </w:pPr>
      <w:bookmarkStart w:id="121" w:name="_Toc518823290"/>
      <w:r>
        <w:t>4</w:t>
      </w:r>
      <w:r w:rsidR="004D0F8E">
        <w:t>.</w:t>
      </w:r>
      <w:r w:rsidR="000C127D">
        <w:t xml:space="preserve">2.4.5. </w:t>
      </w:r>
      <w:r w:rsidR="007E4AF6" w:rsidRPr="001A5452">
        <w:t>Mechanical tests</w:t>
      </w:r>
      <w:bookmarkEnd w:id="121"/>
    </w:p>
    <w:p w14:paraId="02F34D3A" w14:textId="0D613BA4"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Mechanical tests were carried out by using a Hounsfield universal mechanical testing machine with 10 kN load cell. The standard method of ISO-604 was employed for compression tests with a strain rate of 2mm min</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while ISO-527 for tensile tests with a strain rate of </w:t>
      </w:r>
      <w:r w:rsidR="0066216E" w:rsidRPr="001A5452">
        <w:rPr>
          <w:rFonts w:ascii="Times New Roman" w:hAnsi="Times New Roman" w:cs="Times New Roman"/>
          <w:sz w:val="24"/>
          <w:szCs w:val="24"/>
        </w:rPr>
        <w:t xml:space="preserve">1 </w:t>
      </w:r>
      <w:r w:rsidRPr="001A5452">
        <w:rPr>
          <w:rFonts w:ascii="Times New Roman" w:hAnsi="Times New Roman" w:cs="Times New Roman"/>
          <w:sz w:val="24"/>
          <w:szCs w:val="24"/>
        </w:rPr>
        <w:t>mm min</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Five specimens were measured for each sample. </w:t>
      </w:r>
    </w:p>
    <w:p w14:paraId="191FE85F" w14:textId="77777777" w:rsidR="0066216E" w:rsidRPr="001A5452" w:rsidRDefault="0066216E" w:rsidP="007E4AF6">
      <w:pPr>
        <w:spacing w:after="0" w:line="480" w:lineRule="auto"/>
        <w:jc w:val="both"/>
        <w:rPr>
          <w:rFonts w:ascii="Times New Roman" w:hAnsi="Times New Roman" w:cs="Times New Roman"/>
          <w:sz w:val="24"/>
          <w:szCs w:val="24"/>
        </w:rPr>
      </w:pPr>
    </w:p>
    <w:p w14:paraId="4AE64E2F" w14:textId="168B2A1A" w:rsidR="007E4AF6" w:rsidRPr="001A5452" w:rsidRDefault="002E427E" w:rsidP="000C127D">
      <w:pPr>
        <w:pStyle w:val="Heading3"/>
      </w:pPr>
      <w:bookmarkStart w:id="122" w:name="_Toc518823291"/>
      <w:r>
        <w:t>4</w:t>
      </w:r>
      <w:r w:rsidR="004D0F8E">
        <w:t>.</w:t>
      </w:r>
      <w:r w:rsidR="000C127D">
        <w:t xml:space="preserve">2.4.6. </w:t>
      </w:r>
      <w:r w:rsidR="007E4AF6" w:rsidRPr="001A5452">
        <w:t>Dynamic mechanical analysis (DMA)</w:t>
      </w:r>
      <w:bookmarkEnd w:id="122"/>
    </w:p>
    <w:p w14:paraId="0052500D" w14:textId="068A5BDE"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DMA was carried out on a DMA 8000 instrument equipped with single cantilever geometry mode. The sample size was a rectangular stripe: length × width × thickness = 5 mm × 6 mm × 1 mm.  Dynamic measurements were performed at a frequency of 1 Hz from -80 °C to 170 °C at a heating rate of 2 °C min</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t>
      </w:r>
    </w:p>
    <w:p w14:paraId="04F2FB97" w14:textId="77777777" w:rsidR="00E552A3" w:rsidRPr="001A5452" w:rsidRDefault="00E552A3" w:rsidP="007E4AF6">
      <w:pPr>
        <w:spacing w:after="0" w:line="480" w:lineRule="auto"/>
        <w:jc w:val="both"/>
        <w:rPr>
          <w:rFonts w:ascii="Times New Roman" w:hAnsi="Times New Roman" w:cs="Times New Roman"/>
          <w:sz w:val="24"/>
          <w:szCs w:val="24"/>
        </w:rPr>
      </w:pPr>
    </w:p>
    <w:p w14:paraId="70D5A736" w14:textId="68037414" w:rsidR="007E4AF6" w:rsidRPr="001A5452" w:rsidRDefault="002E427E" w:rsidP="000C127D">
      <w:pPr>
        <w:pStyle w:val="Heading3"/>
      </w:pPr>
      <w:bookmarkStart w:id="123" w:name="_Toc518823292"/>
      <w:r>
        <w:t>4</w:t>
      </w:r>
      <w:r w:rsidR="004D0F8E">
        <w:t>.</w:t>
      </w:r>
      <w:r w:rsidR="000C127D">
        <w:t xml:space="preserve">2.4.7. </w:t>
      </w:r>
      <w:r w:rsidR="007E4AF6" w:rsidRPr="001A5452">
        <w:t>Thermogravimetric analysis (TGA)</w:t>
      </w:r>
      <w:bookmarkEnd w:id="123"/>
      <w:r w:rsidR="007E4AF6" w:rsidRPr="001A5452">
        <w:tab/>
      </w:r>
    </w:p>
    <w:p w14:paraId="4F7CAE11" w14:textId="08DE4393"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TGA of GO, rGO, and UPR/rGO composites were performed by using a Pyris 1</w:t>
      </w:r>
      <w:r w:rsidR="0066216E">
        <w:rPr>
          <w:rFonts w:ascii="Times New Roman" w:hAnsi="Times New Roman" w:cs="Times New Roman"/>
          <w:sz w:val="24"/>
          <w:szCs w:val="24"/>
        </w:rPr>
        <w:t xml:space="preserve"> </w:t>
      </w:r>
      <w:r w:rsidRPr="001A5452">
        <w:rPr>
          <w:rFonts w:ascii="Times New Roman" w:hAnsi="Times New Roman" w:cs="Times New Roman"/>
          <w:sz w:val="24"/>
          <w:szCs w:val="24"/>
        </w:rPr>
        <w:t>(Perkin Elmer, USA), with the temperature range from 25 °C to 700 °C, heating rate of 10 °C min</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under a nitrogen flow of 20 ml min</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t>
      </w:r>
    </w:p>
    <w:p w14:paraId="68A0FBB7" w14:textId="77777777" w:rsidR="00E552A3" w:rsidRDefault="00E552A3" w:rsidP="007E4AF6">
      <w:pPr>
        <w:pStyle w:val="Heading4"/>
        <w:spacing w:before="0"/>
        <w:rPr>
          <w:rFonts w:cs="Times New Roman"/>
        </w:rPr>
      </w:pPr>
    </w:p>
    <w:p w14:paraId="6A23BC8A" w14:textId="78B7D454" w:rsidR="007E4AF6" w:rsidRPr="001A5452" w:rsidRDefault="002E427E" w:rsidP="000C127D">
      <w:pPr>
        <w:pStyle w:val="Heading3"/>
      </w:pPr>
      <w:bookmarkStart w:id="124" w:name="_Toc518823293"/>
      <w:r>
        <w:t>4</w:t>
      </w:r>
      <w:r w:rsidR="004D0F8E">
        <w:t>.</w:t>
      </w:r>
      <w:r w:rsidR="000C127D">
        <w:t xml:space="preserve">2.4.8. </w:t>
      </w:r>
      <w:r w:rsidR="007E4AF6" w:rsidRPr="001A5452">
        <w:t>Scanning electron microscop</w:t>
      </w:r>
      <w:r w:rsidR="0066216E">
        <w:t>y</w:t>
      </w:r>
      <w:r w:rsidR="007E4AF6" w:rsidRPr="001A5452">
        <w:t xml:space="preserve"> (SEM)</w:t>
      </w:r>
      <w:bookmarkEnd w:id="124"/>
    </w:p>
    <w:p w14:paraId="7804F7EF" w14:textId="1D3F3472"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SEM was carried out on a</w:t>
      </w:r>
      <w:r w:rsidR="0066216E">
        <w:rPr>
          <w:rFonts w:ascii="Times New Roman" w:hAnsi="Times New Roman" w:cs="Times New Roman"/>
          <w:sz w:val="24"/>
          <w:szCs w:val="24"/>
        </w:rPr>
        <w:t>n</w:t>
      </w:r>
      <w:r w:rsidRPr="001A5452">
        <w:rPr>
          <w:rFonts w:ascii="Times New Roman" w:hAnsi="Times New Roman" w:cs="Times New Roman"/>
          <w:sz w:val="24"/>
          <w:szCs w:val="24"/>
        </w:rPr>
        <w:t xml:space="preserve"> FEI Inspect F scanning electron microscope,</w:t>
      </w:r>
      <w:r w:rsidR="0066216E">
        <w:rPr>
          <w:rFonts w:ascii="Times New Roman" w:hAnsi="Times New Roman" w:cs="Times New Roman"/>
          <w:sz w:val="24"/>
          <w:szCs w:val="24"/>
        </w:rPr>
        <w:t xml:space="preserve"> </w:t>
      </w:r>
      <w:r w:rsidRPr="001A5452">
        <w:rPr>
          <w:rFonts w:ascii="Times New Roman" w:hAnsi="Times New Roman" w:cs="Times New Roman"/>
          <w:sz w:val="24"/>
          <w:szCs w:val="24"/>
        </w:rPr>
        <w:t xml:space="preserve">with </w:t>
      </w:r>
      <w:r w:rsidR="0066216E">
        <w:rPr>
          <w:rFonts w:ascii="Times New Roman" w:hAnsi="Times New Roman" w:cs="Times New Roman"/>
          <w:sz w:val="24"/>
          <w:szCs w:val="24"/>
        </w:rPr>
        <w:t>a</w:t>
      </w:r>
      <w:r w:rsidR="0066216E" w:rsidRPr="001A5452">
        <w:rPr>
          <w:rFonts w:ascii="Times New Roman" w:hAnsi="Times New Roman" w:cs="Times New Roman"/>
          <w:sz w:val="24"/>
          <w:szCs w:val="24"/>
        </w:rPr>
        <w:t xml:space="preserve"> </w:t>
      </w:r>
      <w:r w:rsidRPr="001A5452">
        <w:rPr>
          <w:rFonts w:ascii="Times New Roman" w:hAnsi="Times New Roman" w:cs="Times New Roman"/>
          <w:sz w:val="24"/>
          <w:szCs w:val="24"/>
        </w:rPr>
        <w:t xml:space="preserve">voltage of 10 kV. Prior to the SEM observation, samples </w:t>
      </w:r>
      <w:r w:rsidR="0066216E" w:rsidRPr="001A5452">
        <w:rPr>
          <w:rFonts w:ascii="Times New Roman" w:hAnsi="Times New Roman" w:cs="Times New Roman"/>
          <w:sz w:val="24"/>
          <w:szCs w:val="24"/>
        </w:rPr>
        <w:t>w</w:t>
      </w:r>
      <w:r w:rsidR="0066216E">
        <w:rPr>
          <w:rFonts w:ascii="Times New Roman" w:hAnsi="Times New Roman" w:cs="Times New Roman"/>
          <w:sz w:val="24"/>
          <w:szCs w:val="24"/>
        </w:rPr>
        <w:t>ere</w:t>
      </w:r>
      <w:r w:rsidR="0066216E" w:rsidRPr="001A5452">
        <w:rPr>
          <w:rFonts w:ascii="Times New Roman" w:hAnsi="Times New Roman" w:cs="Times New Roman"/>
          <w:sz w:val="24"/>
          <w:szCs w:val="24"/>
        </w:rPr>
        <w:t xml:space="preserve"> </w:t>
      </w:r>
      <w:r w:rsidRPr="001A5452">
        <w:rPr>
          <w:rFonts w:ascii="Times New Roman" w:hAnsi="Times New Roman" w:cs="Times New Roman"/>
          <w:sz w:val="24"/>
          <w:szCs w:val="24"/>
        </w:rPr>
        <w:t xml:space="preserve">sputter–coated in gold by using </w:t>
      </w:r>
      <w:r w:rsidR="0066216E">
        <w:rPr>
          <w:rFonts w:ascii="Times New Roman" w:hAnsi="Times New Roman" w:cs="Times New Roman"/>
          <w:sz w:val="24"/>
          <w:szCs w:val="24"/>
        </w:rPr>
        <w:t xml:space="preserve">an </w:t>
      </w:r>
      <w:r w:rsidRPr="001A5452">
        <w:rPr>
          <w:rFonts w:ascii="Times New Roman" w:hAnsi="Times New Roman" w:cs="Times New Roman"/>
          <w:sz w:val="24"/>
          <w:szCs w:val="24"/>
        </w:rPr>
        <w:t xml:space="preserve">SPI sputter–coater for enhanced conductivity. </w:t>
      </w:r>
    </w:p>
    <w:p w14:paraId="23FF084E" w14:textId="77777777" w:rsidR="0066216E" w:rsidRPr="001A5452" w:rsidRDefault="0066216E" w:rsidP="007E4AF6">
      <w:pPr>
        <w:spacing w:after="0" w:line="480" w:lineRule="auto"/>
        <w:jc w:val="both"/>
        <w:rPr>
          <w:rFonts w:ascii="Times New Roman" w:hAnsi="Times New Roman" w:cs="Times New Roman"/>
          <w:sz w:val="24"/>
          <w:szCs w:val="24"/>
        </w:rPr>
      </w:pPr>
    </w:p>
    <w:p w14:paraId="0537089D" w14:textId="42D53C21" w:rsidR="007E4AF6" w:rsidRPr="001A5452" w:rsidRDefault="00D96FE7" w:rsidP="007E4AF6">
      <w:pPr>
        <w:pStyle w:val="Heading1"/>
        <w:spacing w:before="0"/>
        <w:rPr>
          <w:rFonts w:cs="Times New Roman"/>
          <w:szCs w:val="24"/>
        </w:rPr>
      </w:pPr>
      <w:bookmarkStart w:id="125" w:name="_Toc518823294"/>
      <w:r>
        <w:rPr>
          <w:rFonts w:cs="Times New Roman"/>
          <w:szCs w:val="24"/>
        </w:rPr>
        <w:t>4</w:t>
      </w:r>
      <w:r w:rsidR="004D0F8E">
        <w:rPr>
          <w:rFonts w:cs="Times New Roman"/>
          <w:szCs w:val="24"/>
        </w:rPr>
        <w:t>.</w:t>
      </w:r>
      <w:r w:rsidR="007E4AF6" w:rsidRPr="001A5452">
        <w:rPr>
          <w:rFonts w:cs="Times New Roman"/>
          <w:szCs w:val="24"/>
        </w:rPr>
        <w:t>3. Results and Discussion</w:t>
      </w:r>
      <w:bookmarkEnd w:id="125"/>
    </w:p>
    <w:p w14:paraId="2B5210C1" w14:textId="7A4DC4A2" w:rsidR="007E4AF6" w:rsidRPr="001A5452" w:rsidRDefault="00D96FE7" w:rsidP="007E4AF6">
      <w:pPr>
        <w:pStyle w:val="Heading2"/>
        <w:spacing w:before="0"/>
        <w:rPr>
          <w:rFonts w:cs="Times New Roman"/>
        </w:rPr>
      </w:pPr>
      <w:bookmarkStart w:id="126" w:name="_Toc518823295"/>
      <w:r>
        <w:rPr>
          <w:rFonts w:cs="Times New Roman"/>
        </w:rPr>
        <w:t>4</w:t>
      </w:r>
      <w:r w:rsidR="004D0F8E">
        <w:rPr>
          <w:rFonts w:cs="Times New Roman"/>
        </w:rPr>
        <w:t>.</w:t>
      </w:r>
      <w:r w:rsidR="007E4AF6" w:rsidRPr="001A5452">
        <w:rPr>
          <w:rFonts w:cs="Times New Roman"/>
        </w:rPr>
        <w:t>3.1. Characterization of rGO reduced by vitamin C</w:t>
      </w:r>
      <w:bookmarkEnd w:id="126"/>
    </w:p>
    <w:p w14:paraId="06598BEA" w14:textId="3042CFFF" w:rsidR="007E4AF6" w:rsidRPr="001A5452" w:rsidRDefault="00D96FE7" w:rsidP="007E4AF6">
      <w:pPr>
        <w:pStyle w:val="Heading3"/>
        <w:spacing w:before="0"/>
        <w:rPr>
          <w:rFonts w:cs="Times New Roman"/>
        </w:rPr>
      </w:pPr>
      <w:bookmarkStart w:id="127" w:name="_Toc518823296"/>
      <w:r>
        <w:rPr>
          <w:rFonts w:cs="Times New Roman"/>
        </w:rPr>
        <w:t>4</w:t>
      </w:r>
      <w:r w:rsidR="004D0F8E">
        <w:rPr>
          <w:rFonts w:cs="Times New Roman"/>
        </w:rPr>
        <w:t>.</w:t>
      </w:r>
      <w:r w:rsidR="007E4AF6" w:rsidRPr="001A5452">
        <w:rPr>
          <w:rFonts w:cs="Times New Roman"/>
        </w:rPr>
        <w:t>3.1.1. X-ray photoelectron spectroscopy</w:t>
      </w:r>
      <w:bookmarkEnd w:id="127"/>
      <w:r w:rsidR="007E4AF6" w:rsidRPr="001A5452">
        <w:rPr>
          <w:rFonts w:cs="Times New Roman"/>
        </w:rPr>
        <w:t xml:space="preserve"> </w:t>
      </w:r>
    </w:p>
    <w:p w14:paraId="345954A5" w14:textId="0F7FE9D4"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The chemical structure and C/O ratios of graphite, GO and rGO are investigated by XPS. Figure</w:t>
      </w:r>
      <w:r w:rsidR="00D96FE7">
        <w:rPr>
          <w:rFonts w:ascii="Times New Roman" w:hAnsi="Times New Roman" w:cs="Times New Roman"/>
          <w:sz w:val="24"/>
          <w:szCs w:val="24"/>
        </w:rPr>
        <w:t xml:space="preserve"> 4</w:t>
      </w:r>
      <w:r w:rsidR="0084355F">
        <w:rPr>
          <w:rFonts w:ascii="Times New Roman" w:hAnsi="Times New Roman" w:cs="Times New Roman"/>
          <w:sz w:val="24"/>
          <w:szCs w:val="24"/>
        </w:rPr>
        <w:t>.</w:t>
      </w:r>
      <w:r w:rsidRPr="001A5452">
        <w:rPr>
          <w:rFonts w:ascii="Times New Roman" w:hAnsi="Times New Roman" w:cs="Times New Roman"/>
          <w:sz w:val="24"/>
          <w:szCs w:val="24"/>
        </w:rPr>
        <w:t>1 shows the C 1s XPS spectra of graphite, graphene oxide, and reduced graphene oxide. Graphite presents only one very sharp peak at 284.6 eV, which is assigned to sp</w:t>
      </w:r>
      <w:r w:rsidRPr="001A5452">
        <w:rPr>
          <w:rFonts w:ascii="Times New Roman" w:hAnsi="Times New Roman" w:cs="Times New Roman"/>
          <w:sz w:val="24"/>
          <w:szCs w:val="24"/>
          <w:vertAlign w:val="superscript"/>
        </w:rPr>
        <w:t>2</w:t>
      </w:r>
      <w:r w:rsidRPr="001A5452">
        <w:rPr>
          <w:rFonts w:ascii="Times New Roman" w:hAnsi="Times New Roman" w:cs="Times New Roman"/>
          <w:sz w:val="24"/>
          <w:szCs w:val="24"/>
        </w:rPr>
        <w:t xml:space="preserve"> carbon bond. After deconvolution, C 1s spectrum of GO contains three peaks at 285.0 eV, 287.1 eV, and 288.8 eV, corresponding to the sp</w:t>
      </w:r>
      <w:r w:rsidRPr="001A5452">
        <w:rPr>
          <w:rFonts w:ascii="Times New Roman" w:hAnsi="Times New Roman" w:cs="Times New Roman"/>
          <w:sz w:val="24"/>
          <w:szCs w:val="24"/>
          <w:vertAlign w:val="superscript"/>
        </w:rPr>
        <w:t>2</w:t>
      </w:r>
      <w:r w:rsidRPr="001A5452">
        <w:rPr>
          <w:rFonts w:ascii="Times New Roman" w:hAnsi="Times New Roman" w:cs="Times New Roman"/>
          <w:sz w:val="24"/>
          <w:szCs w:val="24"/>
        </w:rPr>
        <w:t xml:space="preserve"> carbon, C-bonds like carboxyl groups and epoxy rings, and carboxylate groups, respectively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"10.1016/j.vacuum.2015.05.008", "ISSN" : "0042207X", "abstract" : "Abstract This work is focused on the surface characterization of reduced graphene oxide (rGO) obtained through reduction of graphite oxide. The reduction was performed using a green method (based on UV irradiation under N&lt;inf&gt;2&lt;/inf&gt;) with low environmental impact, free of additional functionalization reagents, simple and low-cost. X-ray photoelectron spectroscopy (XPS) was applied for chemical characterization of surface C species showing a significant reduction of oxygen-containing functional groups from the surface of rGO.", "author" : [ { "dropping-particle" : "", "family" : "Rella", "given" : "Simona", "non-dropping-particle" : "", "parse-names" : false, "suffix" : "" }, { "dropping-particle" : "", "family" : "Giuri", "given" : "Antonella", "non-dropping-particle" : "", "parse-names" : false, "suffix" : "" }, { "dropping-particle" : "", "family" : "Corcione", "given" : "Carola Esposito", "non-dropping-particle" : "", "parse-names" : false, "suffix" : "" }, { "dropping-particle" : "", "family" : "Acocella", "given" : "Maria Rosaria", "non-dropping-particle" : "", "parse-names" : false, "suffix" : "" }, { "dropping-particle" : "", "family" : "Colella", "given" : "Silvia", "non-dropping-particle" : "", "parse-names" : false, "suffix" : "" }, { "dropping-particle" : "", "family" : "Guerra", "given" : "Gaetano", "non-dropping-particle" : "", "parse-names" : false, "suffix" : "" }, { "dropping-particle" : "", "family" : "Listorti", "given" : "Andrea", "non-dropping-particle" : "", "parse-names" : false, "suffix" : "" }, { "dropping-particle" : "", "family" : "Rizzo", "given" : "Aurora", "non-dropping-particle" : "", "parse-names" : false, "suffix" : "" }, { "dropping-particle" : "", "family" : "Malitesta", "given" : "Cosimino", "non-dropping-particle" : "", "parse-names" : false, "suffix" : "" } ], "container-title" : "Vacuum", "id" : "ITEM-1", "issued" : { "date-parts" : [ [ "2015" ] ] }, "page" : "159-162", "publisher" : "Elsevier Ltd", "title" : "X-ray photoelectron spectroscopy of reduced graphene oxide prepared by a novel green method", "type" : "article-journal", "volume" : "119" }, "uris" : [ "http://www.mendeley.com/documents/?uuid=ca562d84-e94d-4cda-bbda-8b01fe5e4b83" ] }, { "id" : "ITEM-2", "itemData" : { "DOI" : "10.1016/j.carbon.2008.09.045", "ISBN" : "00086223", "ISSN" : "00086223", "abstract" : "Several nanometer-thick graphene oxide films deposited on silicon nitride-on silicon substrates were exposed to nine different heat treatments (three in Argon, three in Argon and Hydrogen, and three in ultra-high vacuum), and also a film was held at 70 ??C while being exposed to a vapor from hydrazine monohydrate. The films were characterized with atomic force microscopy to obtain local thickness and variation in thickness over extended regions. X-ray photoelectron spectroscopy was used to measure significant reduction of the oxygen content of the films; heating in ultra-high vacuum was particularly effective. The overtone region of the Raman spectrum was used, for the first time, to provide a \"fingerprint\" of changing oxygen content. ?? 2008 Elsevier Ltd. All rights reserved.", "author" : [ { "dropping-particle" : "", "family" : "Yang", "given" : "Dongxing", "non-dropping-particle" : "", "parse-names" : false, "suffix" : "" }, { "dropping-particle" : "", "family" : "Velamakanni", "given" : "Aruna", "non-dropping-particle" : "", "parse-names" : false, "suffix" : "" }, { "dropping-particle" : "", "family" : "Bozoklu", "given" : "G??lay", "non-dropping-particle" : "", "parse-names" : false, "suffix" : "" }, { "dropping-particle" : "", "family" : "Park", "given" : "Sungjin", "non-dropping-particle" : "", "parse-names" : false, "suffix" : "" }, { "dropping-particle" : "", "family" : "Stoller", "given" : "Meryl", "non-dropping-particle" : "", "parse-names" : false, "suffix" : "" }, { "dropping-particle" : "", "family" : "Piner", "given" : "Richard D.", "non-dropping-particle" : "", "parse-names" : false, "suffix" : "" }, { "dropping-particle" : "", "family" : "Stankovich", "given" : "Sasha", "non-dropping-particle" : "", "parse-names" : false, "suffix" : "" }, { "dropping-particle" : "", "family" : "Jung", "given" : "Inhwa", "non-dropping-particle" : "", "parse-names" : false, "suffix" : "" }, { "dropping-particle" : "", "family" : "Field", "given" : "Daniel A.", "non-dropping-particle" : "", "parse-names" : false, "suffix" : "" }, { "dropping-particle" : "", "family" : "Ventrice", "given" : "Carl A.", "non-dropping-particle" : "", "parse-names" : false, "suffix" : "" }, { "dropping-particle" : "", "family" : "Ruoff", "given" : "Rodney S.", "non-dropping-particle" : "", "parse-names" : false, "suffix" : "" } ], "container-title" : "Carbon", "id" : "ITEM-2", "issue" : "1", "issued" : { "date-parts" : [ [ "2009" ] ] }, "page" : "145-152", "title" : "Chemical analysis of graphene oxide films after heat and chemical treatments by X-ray photoelectron and Micro-Raman spectroscopy", "type" : "article-journal", "volume" : "47" }, "uris" : [ "http://www.mendeley.com/documents/?uuid=345b2799-a233-4edd-a803-b44eafca817a" ] }, { "id" : "ITEM-3", "itemData" : { "DOI" : "10.1039/C6RA03630A", "ISBN" : "1754-5706", "ISSN" : "1754-5692", "abstract" : "The present work is focused on the electrical characterization of laser-assisted reduced graphene oxide by point contact techniques. The aim is twofold: firstly{,} the careful investigation of in-line two and four point-contact techniques applied to macroscopic samples of reduced graphene oxide. The combination of both methods has shed light on the role of the point-contact when extracting the intrinsic resistivity of the material. Secondly{,} once the measurement protocol is well understood{,} it is applied to improve the conductivity of the samples by the adjustment of the initial colloid concentration and the photothermal power intensity used for the reduction. The final optimized samples present a promising conductivity{,} comparable to that of large graphene sheets obtained by chemical vapor deposition methods.", "author" : [ { "dropping-particle" : "", "family" : "Marquez", "given" : "Carlos", "non-dropping-particle" : "", "parse-names" : false, "suffix" : "" }, { "dropping-particle" : "", "family" : "Rodriguez", "given" : "Noel", "non-dropping-particle" : "", "parse-names" : false, "suffix" : "" }, { "dropping-particle" : "", "family" : "Ruiz", "given" : "Rafael", "non-dropping-particle" : "", "parse-names" : false, "suffix" : "" }, { "dropping-particle" : "", "family" : "Gamiz", "given" : "Francisco", "non-dropping-particle" : "", "parse-names" : false, "suffix" : "" } ], "container-title" : "RSC Adv.", "id" : "ITEM-3", "issued" : { "date-parts" : [ [ "2016" ] ] }, "page" : "46251-46237", "publisher" : "Royal Society of Chemistry", "title" : "Electrical Characterization and Conductivity Optimization of Laser Reduced Graphene Oxide on Insulator using Point-Contact Methods", "type" : "article-journal", "volume" : "6" }, "uris" : [ "http://www.mendeley.com/documents/?uuid=782f0b96-a34d-4dc8-9779-eb2c87e44b18" ] } ], "mendeley" : { "formattedCitation" : "[188\u2013190]", "plainTextFormattedCitation" : "[188\u2013190]", "previouslyFormattedCitation" : "[188\u2013190]"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[188–190]</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Although these peaks of oxygen groups are still visible in C 1s spectrum of rGO, the </w:t>
      </w:r>
      <w:r w:rsidR="0066216E">
        <w:rPr>
          <w:rFonts w:ascii="Times New Roman" w:hAnsi="Times New Roman" w:cs="Times New Roman"/>
          <w:sz w:val="24"/>
          <w:szCs w:val="24"/>
        </w:rPr>
        <w:t>peaks</w:t>
      </w:r>
      <w:r w:rsidR="0066216E" w:rsidRPr="001A5452">
        <w:rPr>
          <w:rFonts w:ascii="Times New Roman" w:hAnsi="Times New Roman" w:cs="Times New Roman"/>
          <w:sz w:val="24"/>
          <w:szCs w:val="24"/>
        </w:rPr>
        <w:t xml:space="preserve"> </w:t>
      </w:r>
      <w:r w:rsidRPr="001A5452">
        <w:rPr>
          <w:rFonts w:ascii="Times New Roman" w:hAnsi="Times New Roman" w:cs="Times New Roman"/>
          <w:sz w:val="24"/>
          <w:szCs w:val="24"/>
        </w:rPr>
        <w:t xml:space="preserve">are much weaker and broader, indicating that GO was reduced successfully by vitamin C at 90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for 6 hours with some remaining C-O and carboxylate groups. The chemical composition and C/O ratio are summarized in survey spectrum (Figure </w:t>
      </w:r>
      <w:r w:rsidR="0084355F">
        <w:rPr>
          <w:rFonts w:ascii="Times New Roman" w:hAnsi="Times New Roman" w:cs="Times New Roman" w:hint="eastAsia"/>
          <w:sz w:val="24"/>
          <w:szCs w:val="24"/>
        </w:rPr>
        <w:t>5</w:t>
      </w:r>
      <w:r w:rsidR="0098706E">
        <w:rPr>
          <w:rFonts w:ascii="Times New Roman" w:hAnsi="Times New Roman" w:cs="Times New Roman" w:hint="eastAsia"/>
          <w:sz w:val="24"/>
          <w:szCs w:val="24"/>
        </w:rPr>
        <w:t>.</w:t>
      </w:r>
      <w:r w:rsidRPr="001A5452">
        <w:rPr>
          <w:rFonts w:ascii="Times New Roman" w:hAnsi="Times New Roman" w:cs="Times New Roman"/>
          <w:sz w:val="24"/>
          <w:szCs w:val="24"/>
        </w:rPr>
        <w:t xml:space="preserve">1(b)) and Table </w:t>
      </w:r>
      <w:r w:rsidR="0098706E">
        <w:rPr>
          <w:rFonts w:ascii="Times New Roman" w:hAnsi="Times New Roman" w:cs="Times New Roman" w:hint="eastAsia"/>
          <w:sz w:val="24"/>
          <w:szCs w:val="24"/>
        </w:rPr>
        <w:t>4.</w:t>
      </w:r>
      <w:r w:rsidRPr="001A5452">
        <w:rPr>
          <w:rFonts w:ascii="Times New Roman" w:hAnsi="Times New Roman" w:cs="Times New Roman"/>
          <w:sz w:val="24"/>
          <w:szCs w:val="24"/>
        </w:rPr>
        <w:t xml:space="preserve">1. In detail, graphite exhibits one major C1s peak with tiny O1s that can be neglected. The C1s/O1s ratio of rGO (6.4:1) is much larger over that of GO (2:1), </w:t>
      </w:r>
      <w:r w:rsidR="0066216E" w:rsidRPr="001A5452">
        <w:rPr>
          <w:rFonts w:ascii="Times New Roman" w:hAnsi="Times New Roman" w:cs="Times New Roman"/>
          <w:sz w:val="24"/>
          <w:szCs w:val="24"/>
        </w:rPr>
        <w:t>implicat</w:t>
      </w:r>
      <w:r w:rsidR="0066216E">
        <w:rPr>
          <w:rFonts w:ascii="Times New Roman" w:hAnsi="Times New Roman" w:cs="Times New Roman"/>
          <w:sz w:val="24"/>
          <w:szCs w:val="24"/>
        </w:rPr>
        <w:t>ing</w:t>
      </w:r>
      <w:r w:rsidR="0066216E" w:rsidRPr="001A5452">
        <w:rPr>
          <w:rFonts w:ascii="Times New Roman" w:hAnsi="Times New Roman" w:cs="Times New Roman"/>
          <w:sz w:val="24"/>
          <w:szCs w:val="24"/>
        </w:rPr>
        <w:t xml:space="preserve"> </w:t>
      </w:r>
      <w:r w:rsidRPr="001A5452">
        <w:rPr>
          <w:rFonts w:ascii="Times New Roman" w:hAnsi="Times New Roman" w:cs="Times New Roman"/>
          <w:sz w:val="24"/>
          <w:szCs w:val="24"/>
        </w:rPr>
        <w:t>the reduction of GO.</w:t>
      </w:r>
    </w:p>
    <w:p w14:paraId="62644C9F" w14:textId="77777777" w:rsidR="0099783B" w:rsidRPr="001A5452" w:rsidRDefault="0099783B" w:rsidP="007E4AF6">
      <w:pPr>
        <w:spacing w:after="0" w:line="480" w:lineRule="auto"/>
        <w:jc w:val="both"/>
        <w:rPr>
          <w:rFonts w:ascii="Times New Roman" w:hAnsi="Times New Roman" w:cs="Times New Roman"/>
          <w:sz w:val="24"/>
          <w:szCs w:val="24"/>
        </w:rPr>
      </w:pPr>
    </w:p>
    <w:p w14:paraId="6211001A" w14:textId="77777777" w:rsidR="007E4AF6" w:rsidRPr="001A5452" w:rsidRDefault="007E4AF6" w:rsidP="007E4AF6">
      <w:pPr>
        <w:pStyle w:val="Heading31"/>
        <w:spacing w:after="0"/>
        <w:jc w:val="center"/>
      </w:pPr>
      <w:r w:rsidRPr="001A5452">
        <w:rPr>
          <w:noProof/>
          <w:lang w:val="en-GB"/>
        </w:rPr>
        <w:drawing>
          <wp:inline distT="0" distB="0" distL="0" distR="0" wp14:anchorId="35EBFF33" wp14:editId="77B2BD32">
            <wp:extent cx="6163293" cy="292516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03090" cy="2944055"/>
                    </a:xfrm>
                    <a:prstGeom prst="rect">
                      <a:avLst/>
                    </a:prstGeom>
                    <a:noFill/>
                  </pic:spPr>
                </pic:pic>
              </a:graphicData>
            </a:graphic>
          </wp:inline>
        </w:drawing>
      </w:r>
    </w:p>
    <w:p w14:paraId="34CB2B9A" w14:textId="77777777" w:rsidR="00492AD8" w:rsidRDefault="00492AD8" w:rsidP="00DB1C3B">
      <w:pPr>
        <w:spacing w:after="0" w:line="360" w:lineRule="auto"/>
        <w:ind w:hanging="360"/>
        <w:jc w:val="center"/>
        <w:rPr>
          <w:rFonts w:ascii="Times New Roman" w:hAnsi="Times New Roman" w:cs="Times New Roman"/>
          <w:sz w:val="24"/>
          <w:szCs w:val="24"/>
        </w:rPr>
      </w:pPr>
    </w:p>
    <w:p w14:paraId="413DCE32" w14:textId="5693EC3B" w:rsidR="007E4AF6" w:rsidRDefault="00D96FE7" w:rsidP="00492AD8">
      <w:pPr>
        <w:pStyle w:val="Caption"/>
        <w:ind w:firstLine="0"/>
        <w:rPr>
          <w:rFonts w:cs="Times New Roman"/>
          <w:szCs w:val="24"/>
        </w:rPr>
      </w:pPr>
      <w:bookmarkStart w:id="128" w:name="_Toc502662467"/>
      <w:r>
        <w:t>Figure 4</w:t>
      </w:r>
      <w:r w:rsidR="004D0F8E">
        <w:t>.</w:t>
      </w:r>
      <w:r w:rsidR="00492AD8">
        <w:fldChar w:fldCharType="begin"/>
      </w:r>
      <w:r w:rsidR="00492AD8">
        <w:instrText xml:space="preserve"> SEQ Figure_4. \* ARABIC </w:instrText>
      </w:r>
      <w:r w:rsidR="00492AD8">
        <w:fldChar w:fldCharType="separate"/>
      </w:r>
      <w:r w:rsidR="00551ED9">
        <w:rPr>
          <w:noProof/>
        </w:rPr>
        <w:t>1</w:t>
      </w:r>
      <w:r w:rsidR="00492AD8">
        <w:fldChar w:fldCharType="end"/>
      </w:r>
      <w:r w:rsidR="00492AD8">
        <w:t xml:space="preserve">. </w:t>
      </w:r>
      <w:r w:rsidR="007E4AF6" w:rsidRPr="001A5452">
        <w:rPr>
          <w:rFonts w:cs="Times New Roman"/>
          <w:szCs w:val="24"/>
        </w:rPr>
        <w:t>XPS spectra of graphite, graphene oxide (GO), and reduced graphene oxide (rGO): (a) survey spectra</w:t>
      </w:r>
      <w:r w:rsidR="0066216E">
        <w:rPr>
          <w:rFonts w:cs="Times New Roman"/>
          <w:szCs w:val="24"/>
        </w:rPr>
        <w:t xml:space="preserve"> and</w:t>
      </w:r>
      <w:r w:rsidR="007E4AF6" w:rsidRPr="001A5452">
        <w:rPr>
          <w:rFonts w:cs="Times New Roman"/>
          <w:szCs w:val="24"/>
        </w:rPr>
        <w:t xml:space="preserve"> (b) C</w:t>
      </w:r>
      <w:r w:rsidR="0066216E">
        <w:rPr>
          <w:rFonts w:cs="Times New Roman"/>
          <w:szCs w:val="24"/>
        </w:rPr>
        <w:t xml:space="preserve"> </w:t>
      </w:r>
      <w:r w:rsidR="007E4AF6" w:rsidRPr="001A5452">
        <w:rPr>
          <w:rFonts w:cs="Times New Roman"/>
          <w:szCs w:val="24"/>
        </w:rPr>
        <w:t>1s of XPS spectra.</w:t>
      </w:r>
      <w:bookmarkEnd w:id="128"/>
    </w:p>
    <w:p w14:paraId="05584D93" w14:textId="77777777" w:rsidR="0053651F" w:rsidRPr="001A5452" w:rsidRDefault="0053651F" w:rsidP="00DB1C3B">
      <w:pPr>
        <w:spacing w:after="0" w:line="360" w:lineRule="auto"/>
        <w:ind w:hanging="360"/>
        <w:jc w:val="center"/>
        <w:rPr>
          <w:rFonts w:ascii="Times New Roman" w:hAnsi="Times New Roman" w:cs="Times New Roman"/>
          <w:sz w:val="24"/>
          <w:szCs w:val="24"/>
        </w:rPr>
      </w:pPr>
    </w:p>
    <w:p w14:paraId="7B1C2B74" w14:textId="559EB109" w:rsidR="007E4AF6" w:rsidRPr="001A5452" w:rsidRDefault="00D96FE7" w:rsidP="00492AD8">
      <w:pPr>
        <w:pStyle w:val="Caption"/>
        <w:ind w:firstLine="0"/>
        <w:rPr>
          <w:rFonts w:cs="Times New Roman"/>
          <w:szCs w:val="24"/>
        </w:rPr>
      </w:pPr>
      <w:bookmarkStart w:id="129" w:name="_Toc518823485"/>
      <w:r>
        <w:t>Table 4</w:t>
      </w:r>
      <w:r w:rsidR="004D0F8E">
        <w:t>.</w:t>
      </w:r>
      <w:r w:rsidR="00492AD8">
        <w:fldChar w:fldCharType="begin"/>
      </w:r>
      <w:r w:rsidR="00492AD8">
        <w:instrText xml:space="preserve"> SEQ Table_4. \* ARABIC </w:instrText>
      </w:r>
      <w:r w:rsidR="00492AD8">
        <w:fldChar w:fldCharType="separate"/>
      </w:r>
      <w:r w:rsidR="00551ED9">
        <w:rPr>
          <w:noProof/>
        </w:rPr>
        <w:t>1</w:t>
      </w:r>
      <w:r w:rsidR="00492AD8">
        <w:fldChar w:fldCharType="end"/>
      </w:r>
      <w:r w:rsidR="007E4AF6" w:rsidRPr="001A5452">
        <w:rPr>
          <w:rFonts w:cs="Times New Roman"/>
          <w:b w:val="0"/>
          <w:szCs w:val="24"/>
        </w:rPr>
        <w:t>.</w:t>
      </w:r>
      <w:r w:rsidR="007E4AF6" w:rsidRPr="001A5452">
        <w:rPr>
          <w:rFonts w:cs="Times New Roman"/>
          <w:szCs w:val="24"/>
        </w:rPr>
        <w:t xml:space="preserve"> The values of C1s/O1s (atomic ratios) obtained by XPS survey spectra.</w:t>
      </w:r>
      <w:bookmarkEnd w:id="129"/>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337"/>
        <w:gridCol w:w="2337"/>
        <w:gridCol w:w="2267"/>
        <w:gridCol w:w="2409"/>
      </w:tblGrid>
      <w:tr w:rsidR="007E4AF6" w:rsidRPr="001A5452" w14:paraId="73C9BD47" w14:textId="77777777" w:rsidTr="00314423">
        <w:tc>
          <w:tcPr>
            <w:tcW w:w="2337" w:type="dxa"/>
            <w:tcBorders>
              <w:left w:val="nil"/>
              <w:bottom w:val="single" w:sz="12" w:space="0" w:color="auto"/>
              <w:right w:val="nil"/>
            </w:tcBorders>
          </w:tcPr>
          <w:p w14:paraId="02BBF270"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Samples</w:t>
            </w:r>
          </w:p>
        </w:tc>
        <w:tc>
          <w:tcPr>
            <w:tcW w:w="2337" w:type="dxa"/>
            <w:tcBorders>
              <w:left w:val="nil"/>
              <w:bottom w:val="single" w:sz="12" w:space="0" w:color="auto"/>
              <w:right w:val="nil"/>
            </w:tcBorders>
          </w:tcPr>
          <w:p w14:paraId="7F50585F"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C 1s</w:t>
            </w:r>
          </w:p>
        </w:tc>
        <w:tc>
          <w:tcPr>
            <w:tcW w:w="2267" w:type="dxa"/>
            <w:tcBorders>
              <w:left w:val="nil"/>
              <w:bottom w:val="single" w:sz="12" w:space="0" w:color="auto"/>
              <w:right w:val="nil"/>
            </w:tcBorders>
          </w:tcPr>
          <w:p w14:paraId="485B42BA"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O 1s</w:t>
            </w:r>
          </w:p>
        </w:tc>
        <w:tc>
          <w:tcPr>
            <w:tcW w:w="2409" w:type="dxa"/>
            <w:tcBorders>
              <w:left w:val="nil"/>
              <w:bottom w:val="single" w:sz="12" w:space="0" w:color="auto"/>
              <w:right w:val="nil"/>
            </w:tcBorders>
          </w:tcPr>
          <w:p w14:paraId="701BC10B"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C /O ratio</w:t>
            </w:r>
          </w:p>
        </w:tc>
      </w:tr>
      <w:tr w:rsidR="007E4AF6" w:rsidRPr="001A5452" w14:paraId="05E6C9E4" w14:textId="77777777" w:rsidTr="00314423">
        <w:tc>
          <w:tcPr>
            <w:tcW w:w="2337" w:type="dxa"/>
            <w:tcBorders>
              <w:left w:val="nil"/>
              <w:bottom w:val="nil"/>
              <w:right w:val="nil"/>
            </w:tcBorders>
          </w:tcPr>
          <w:p w14:paraId="1D6F376B"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Graphite</w:t>
            </w:r>
          </w:p>
        </w:tc>
        <w:tc>
          <w:tcPr>
            <w:tcW w:w="2337" w:type="dxa"/>
            <w:tcBorders>
              <w:left w:val="nil"/>
              <w:bottom w:val="nil"/>
              <w:right w:val="nil"/>
            </w:tcBorders>
          </w:tcPr>
          <w:p w14:paraId="4EADC9A1"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98.39</w:t>
            </w:r>
          </w:p>
        </w:tc>
        <w:tc>
          <w:tcPr>
            <w:tcW w:w="2267" w:type="dxa"/>
            <w:tcBorders>
              <w:left w:val="nil"/>
              <w:bottom w:val="nil"/>
              <w:right w:val="nil"/>
            </w:tcBorders>
          </w:tcPr>
          <w:p w14:paraId="7C1D0372"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1.61</w:t>
            </w:r>
          </w:p>
        </w:tc>
        <w:tc>
          <w:tcPr>
            <w:tcW w:w="2409" w:type="dxa"/>
            <w:tcBorders>
              <w:left w:val="nil"/>
              <w:bottom w:val="nil"/>
              <w:right w:val="nil"/>
            </w:tcBorders>
          </w:tcPr>
          <w:p w14:paraId="001A2414"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61:1</w:t>
            </w:r>
          </w:p>
        </w:tc>
      </w:tr>
      <w:tr w:rsidR="007E4AF6" w:rsidRPr="001A5452" w14:paraId="45F2BF14" w14:textId="77777777" w:rsidTr="00314423">
        <w:tc>
          <w:tcPr>
            <w:tcW w:w="2337" w:type="dxa"/>
            <w:tcBorders>
              <w:top w:val="nil"/>
              <w:left w:val="nil"/>
              <w:bottom w:val="nil"/>
              <w:right w:val="nil"/>
            </w:tcBorders>
          </w:tcPr>
          <w:p w14:paraId="01DBF345"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GO</w:t>
            </w:r>
          </w:p>
        </w:tc>
        <w:tc>
          <w:tcPr>
            <w:tcW w:w="2337" w:type="dxa"/>
            <w:tcBorders>
              <w:top w:val="nil"/>
              <w:left w:val="nil"/>
              <w:bottom w:val="nil"/>
              <w:right w:val="nil"/>
            </w:tcBorders>
          </w:tcPr>
          <w:p w14:paraId="6E104BD5"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66.08</w:t>
            </w:r>
          </w:p>
        </w:tc>
        <w:tc>
          <w:tcPr>
            <w:tcW w:w="2267" w:type="dxa"/>
            <w:tcBorders>
              <w:top w:val="nil"/>
              <w:left w:val="nil"/>
              <w:bottom w:val="nil"/>
              <w:right w:val="nil"/>
            </w:tcBorders>
          </w:tcPr>
          <w:p w14:paraId="023A1307"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32.42</w:t>
            </w:r>
          </w:p>
        </w:tc>
        <w:tc>
          <w:tcPr>
            <w:tcW w:w="2409" w:type="dxa"/>
            <w:tcBorders>
              <w:top w:val="nil"/>
              <w:left w:val="nil"/>
              <w:bottom w:val="nil"/>
              <w:right w:val="nil"/>
            </w:tcBorders>
          </w:tcPr>
          <w:p w14:paraId="08F8A586"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2:1</w:t>
            </w:r>
          </w:p>
        </w:tc>
      </w:tr>
      <w:tr w:rsidR="007E4AF6" w:rsidRPr="001A5452" w14:paraId="58A0B1AB" w14:textId="77777777" w:rsidTr="00314423">
        <w:tc>
          <w:tcPr>
            <w:tcW w:w="2337" w:type="dxa"/>
            <w:tcBorders>
              <w:top w:val="nil"/>
              <w:left w:val="nil"/>
              <w:right w:val="nil"/>
            </w:tcBorders>
          </w:tcPr>
          <w:p w14:paraId="0C9931FC"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rGO</w:t>
            </w:r>
          </w:p>
        </w:tc>
        <w:tc>
          <w:tcPr>
            <w:tcW w:w="2337" w:type="dxa"/>
            <w:tcBorders>
              <w:top w:val="nil"/>
              <w:left w:val="nil"/>
              <w:right w:val="nil"/>
            </w:tcBorders>
          </w:tcPr>
          <w:p w14:paraId="6C1F3EED"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86.12</w:t>
            </w:r>
          </w:p>
        </w:tc>
        <w:tc>
          <w:tcPr>
            <w:tcW w:w="2267" w:type="dxa"/>
            <w:tcBorders>
              <w:top w:val="nil"/>
              <w:left w:val="nil"/>
              <w:right w:val="nil"/>
            </w:tcBorders>
          </w:tcPr>
          <w:p w14:paraId="05BDF4A6"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13.49</w:t>
            </w:r>
          </w:p>
        </w:tc>
        <w:tc>
          <w:tcPr>
            <w:tcW w:w="2409" w:type="dxa"/>
            <w:tcBorders>
              <w:top w:val="nil"/>
              <w:left w:val="nil"/>
              <w:right w:val="nil"/>
            </w:tcBorders>
          </w:tcPr>
          <w:p w14:paraId="635F432B" w14:textId="77777777" w:rsidR="007E4AF6" w:rsidRPr="001A5452" w:rsidRDefault="007E4AF6" w:rsidP="00DB1C3B">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6.4:1</w:t>
            </w:r>
          </w:p>
        </w:tc>
      </w:tr>
    </w:tbl>
    <w:p w14:paraId="27CCE04A" w14:textId="77777777" w:rsidR="007E4AF6" w:rsidRPr="001A5452" w:rsidRDefault="007E4AF6" w:rsidP="007E4AF6">
      <w:pPr>
        <w:spacing w:after="0"/>
        <w:rPr>
          <w:rFonts w:ascii="Times New Roman" w:hAnsi="Times New Roman" w:cs="Times New Roman"/>
        </w:rPr>
      </w:pPr>
    </w:p>
    <w:p w14:paraId="79C53153" w14:textId="77777777" w:rsidR="007E4AF6" w:rsidRPr="001A5452" w:rsidRDefault="007E4AF6" w:rsidP="007E4AF6">
      <w:pPr>
        <w:spacing w:after="0"/>
        <w:rPr>
          <w:rFonts w:ascii="Times New Roman" w:hAnsi="Times New Roman" w:cs="Times New Roman"/>
        </w:rPr>
      </w:pPr>
    </w:p>
    <w:p w14:paraId="1D023112" w14:textId="7817410D" w:rsidR="007E4AF6" w:rsidRPr="001A5452" w:rsidRDefault="00D96FE7" w:rsidP="007E4AF6">
      <w:pPr>
        <w:pStyle w:val="Heading3"/>
        <w:spacing w:before="0"/>
        <w:rPr>
          <w:rFonts w:cs="Times New Roman"/>
        </w:rPr>
      </w:pPr>
      <w:bookmarkStart w:id="130" w:name="_Toc518823297"/>
      <w:r>
        <w:rPr>
          <w:rFonts w:cs="Times New Roman"/>
        </w:rPr>
        <w:t>4</w:t>
      </w:r>
      <w:r w:rsidR="004D0F8E">
        <w:rPr>
          <w:rFonts w:cs="Times New Roman"/>
        </w:rPr>
        <w:t>.</w:t>
      </w:r>
      <w:r w:rsidR="007E4AF6" w:rsidRPr="001A5452">
        <w:rPr>
          <w:rFonts w:cs="Times New Roman"/>
        </w:rPr>
        <w:t>3.1.2. FTIR Analysis</w:t>
      </w:r>
      <w:bookmarkEnd w:id="130"/>
    </w:p>
    <w:p w14:paraId="78213303" w14:textId="04C47854" w:rsidR="007E4AF6" w:rsidRPr="001A5452"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The chemical structures of graphite, GO and rGO, were investigated by FTIR (Figure </w:t>
      </w:r>
      <w:r w:rsidR="00D96FE7">
        <w:rPr>
          <w:rFonts w:ascii="Times New Roman" w:hAnsi="Times New Roman" w:cs="Times New Roman" w:hint="eastAsia"/>
          <w:sz w:val="24"/>
          <w:szCs w:val="24"/>
        </w:rPr>
        <w:t>4</w:t>
      </w:r>
      <w:r w:rsidR="0098706E">
        <w:rPr>
          <w:rFonts w:ascii="Times New Roman" w:hAnsi="Times New Roman" w:cs="Times New Roman" w:hint="eastAsia"/>
          <w:sz w:val="24"/>
          <w:szCs w:val="24"/>
        </w:rPr>
        <w:t>.</w:t>
      </w:r>
      <w:r w:rsidRPr="001A5452">
        <w:rPr>
          <w:rFonts w:ascii="Times New Roman" w:hAnsi="Times New Roman" w:cs="Times New Roman"/>
          <w:sz w:val="24"/>
          <w:szCs w:val="24"/>
        </w:rPr>
        <w:t>2). The FTIR spectrum of graphite is a straight line with no peaks, implying that graphite has no oxygen functional groups. According to the FTIR spectrum of GO, there is a wide hump around 3000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–3500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which is attributed to the O-H stretching vibrations of the hydrogen groups and water. Absorption peaks of GO at 1723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1567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1203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and 1024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are related to the C=O, aromatic C=C stretching, and C-O-C stretching. The FTIR curve of rGO shows a much more flat curve with one peak at 1548 cm</w:t>
      </w:r>
      <w:r w:rsidRPr="001A5452">
        <w:rPr>
          <w:rFonts w:ascii="Times New Roman" w:hAnsi="Times New Roman" w:cs="Times New Roman"/>
          <w:sz w:val="24"/>
          <w:szCs w:val="24"/>
          <w:vertAlign w:val="superscript"/>
        </w:rPr>
        <w:t xml:space="preserve">-1 </w:t>
      </w:r>
      <w:r w:rsidRPr="001A5452">
        <w:rPr>
          <w:rFonts w:ascii="Times New Roman" w:hAnsi="Times New Roman" w:cs="Times New Roman"/>
          <w:sz w:val="24"/>
          <w:szCs w:val="24"/>
        </w:rPr>
        <w:t>(weak, aromatic C=C stretching), and one peak at 1176 cm</w:t>
      </w:r>
      <w:r w:rsidRPr="001A5452">
        <w:rPr>
          <w:rFonts w:ascii="Times New Roman" w:hAnsi="Times New Roman" w:cs="Times New Roman"/>
          <w:sz w:val="24"/>
          <w:szCs w:val="24"/>
          <w:vertAlign w:val="superscript"/>
        </w:rPr>
        <w:t xml:space="preserve">-1 </w:t>
      </w:r>
      <w:r w:rsidRPr="001A5452">
        <w:rPr>
          <w:rFonts w:ascii="Times New Roman" w:hAnsi="Times New Roman" w:cs="Times New Roman"/>
          <w:sz w:val="24"/>
          <w:szCs w:val="24"/>
        </w:rPr>
        <w:t xml:space="preserve">(weak, C-O stretching)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"10.1155/2015/168125", "ISSN" : "16874129", "abstract" : "As a novel two-dimensional carbon material, graphene has fine potential applications in the fields of electron transfer agent and supercapacitormaterial for its excellent electronic and optical property.However, the challenge is to synthesize graphene in a bulk \u22c5 quantity. In this paper, graphite oxide was prepared fromnatural flake graphite by Hummers\u2019 method through liquid oxidization, and the reduced graphene oxide was obtained by chemical reduction of graphene oxide using NH3 H2O aqueous solution and hydrazine hydrate. The rawmaterial graphite, graphite oxide, and reduced graphene oxide were characterized by X-ray diffraction (XRD), attenuated total reflectance-infrared spectroscopy (ATR-IR), and field emission scanning electron microscope (SEM). The results indicated that the distance spacing of graphite oxide was longer than that of graphite and the crystal structure of graphite was changed. The flake graphite was oxidized to graphite oxide and lots of oxygen-containing groups were found in the graphite oxide. In the morphologies of samples, fold structure was found on both the surface and the edge of reduced graphene oxide.", "author" : [ { "dropping-particle" : "", "family" : "Cao", "given" : "Ning", "non-dropping-particle" : "", "parse-names" : false, "suffix" : "" }, { "dropping-particle" : "", "family" : "Zhang", "given" : "Yuan", "non-dropping-particle" : "", "parse-names" : false, "suffix" : "" } ], "container-title" : "Journal of Nanomaterials", "id" : "ITEM-1", "issued" : { "date-parts" : [ [ "2014" ] ] }, "page" : "1-5", "title" : "Study of Reduced Graphene Oxide Preparation by Hummers' Method and Related Characterization", "type" : "article-journal", "volume" : "2015" }, "uris" : [ "http://www.mendeley.com/documents/?uuid=0d7306e2-fd70-46d4-ae54-38917c9372db" ] }, { "id" : "ITEM-2", "itemData" : { "DOI" : "10.1371/journal.pone.0144842", "ISBN" : "1932-6203", "ISSN" : "19326203", "PMID" : "26658644", "abstract" : "There has been an upsurge of green reductants for the preparation of graphene materials taking consideration of human health and the environment in recent years. In this paper, reduced graphene oxides (RGOs) were prepared by chemical reduction of graphene oxide (GO) with three green reductants, L-ascorbic acid (L-AA), D-glucose (D-GLC) and tea polyphenol (TP), and comparatively characterized by X-ray photoelectron spectroscopy (XPS), Fourier transform infrared (FTIR) spectra, Raman spectra and electrical conductivity analysis. Results showed that all these three reductants were effective to remove oxygen-containing functional groups in GO and restore the electrical conductivity of the obtained RGO. The RGO sample with L-ascorbic acid as a reductant and reduced with the existence of ammonia had the highest electrical conductivity (9.8 S\u00b7cm(-1)) among all the obtained RGO samples. The mechanisms regarding to the reduction of GO and the dispersion of RGO in water were also proposed. It is the good dispersibility of reduced graphene oxide in water that will facilitate its further use in composite materials and conductive ink.", "author" : [ { "dropping-particle" : "", "family" : "Xu", "given" : "Changyan", "non-dropping-particle" : "", "parse-names" : false, "suffix" : "" }, { "dropping-particle" : "", "family" : "Shi", "given" : "Xiaomei", "non-dropping-particle" : "", "parse-names" : false, "suffix" : "" }, { "dropping-particle" : "", "family" : "Ji", "given" : "An", "non-dropping-particle" : "", "parse-names" : false, "suffix" : "" }, { "dropping-particle" : "", "family" : "Shi", "given" : "Lina", "non-dropping-particle" : "", "parse-names" : false, "suffix" : "" }, { "dropping-particle" : "", "family" : "Zhou", "given" : "Chen", "non-dropping-particle" : "", "parse-names" : false, "suffix" : "" }, { "dropping-particle" : "", "family" : "Cui", "given" : "Yunqi", "non-dropping-particle" : "", "parse-names" : false, "suffix" : "" } ], "container-title" : "PLoS ONE", "id" : "ITEM-2", "issue" : "12", "issued" : { "date-parts" : [ [ "2015" ] ] }, "title" : "Fabrication and characteristics of reduced graphene oxide produced with different green reductants", "type" : "article-journal", "volume" : "14" }, "uris" : [ "http://www.mendeley.com/documents/?uuid=650ac1d1-b0f2-42b3-aa47-95b63d6439e2" ] } ], "mendeley" : { "formattedCitation" : "[191,192]", "plainTextFormattedCitation" : "[191,192]", "previouslyFormattedCitation" : "[191,192]"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[191,192]</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indicating carboxyl groups and ester groups has been reduced.  Hence, GO is successfully reduced by vitamin C at 90 °C for 6 hours with few oxygen groups remaining on GO sheets, which is in agreement with the  XPS result.</w:t>
      </w:r>
    </w:p>
    <w:p w14:paraId="2CAEF220" w14:textId="77777777" w:rsidR="007E4AF6" w:rsidRPr="001A5452" w:rsidRDefault="007E4AF6" w:rsidP="007E4AF6">
      <w:pPr>
        <w:spacing w:after="0"/>
        <w:jc w:val="center"/>
        <w:rPr>
          <w:rFonts w:ascii="Times New Roman" w:hAnsi="Times New Roman" w:cs="Times New Roman"/>
        </w:rPr>
      </w:pPr>
      <w:r w:rsidRPr="001A5452">
        <w:rPr>
          <w:rFonts w:ascii="Times New Roman" w:hAnsi="Times New Roman" w:cs="Times New Roman"/>
          <w:noProof/>
          <w:lang w:val="en-GB"/>
        </w:rPr>
        <w:drawing>
          <wp:inline distT="0" distB="0" distL="0" distR="0" wp14:anchorId="4F9AFBA3" wp14:editId="313422FF">
            <wp:extent cx="4846320" cy="338753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46320" cy="3387533"/>
                    </a:xfrm>
                    <a:prstGeom prst="rect">
                      <a:avLst/>
                    </a:prstGeom>
                    <a:noFill/>
                  </pic:spPr>
                </pic:pic>
              </a:graphicData>
            </a:graphic>
          </wp:inline>
        </w:drawing>
      </w:r>
    </w:p>
    <w:p w14:paraId="4E8B8F2A" w14:textId="5A5E5244" w:rsidR="007E4AF6" w:rsidRDefault="00D96FE7" w:rsidP="00492AD8">
      <w:pPr>
        <w:pStyle w:val="Caption"/>
        <w:ind w:firstLine="0"/>
        <w:rPr>
          <w:rFonts w:cs="Times New Roman"/>
          <w:szCs w:val="24"/>
        </w:rPr>
      </w:pPr>
      <w:bookmarkStart w:id="131" w:name="_Toc502662468"/>
      <w:r>
        <w:t>Figure 4</w:t>
      </w:r>
      <w:r w:rsidR="004D0F8E">
        <w:t>.</w:t>
      </w:r>
      <w:r w:rsidR="00492AD8">
        <w:fldChar w:fldCharType="begin"/>
      </w:r>
      <w:r w:rsidR="00492AD8">
        <w:instrText xml:space="preserve"> SEQ Figure_4. \* ARABIC </w:instrText>
      </w:r>
      <w:r w:rsidR="00492AD8">
        <w:fldChar w:fldCharType="separate"/>
      </w:r>
      <w:r w:rsidR="00551ED9">
        <w:rPr>
          <w:noProof/>
        </w:rPr>
        <w:t>2</w:t>
      </w:r>
      <w:r w:rsidR="00492AD8">
        <w:fldChar w:fldCharType="end"/>
      </w:r>
      <w:r w:rsidR="007E4AF6" w:rsidRPr="001A5452">
        <w:rPr>
          <w:rFonts w:cs="Times New Roman"/>
          <w:b w:val="0"/>
          <w:szCs w:val="24"/>
        </w:rPr>
        <w:t xml:space="preserve">. </w:t>
      </w:r>
      <w:r w:rsidR="007E4AF6" w:rsidRPr="001A5452">
        <w:rPr>
          <w:rFonts w:cs="Times New Roman"/>
          <w:szCs w:val="24"/>
        </w:rPr>
        <w:t>FITR spectra of graphite, graphene oxide (GO), and reduced graphene oxide (rGO).</w:t>
      </w:r>
      <w:bookmarkEnd w:id="131"/>
    </w:p>
    <w:p w14:paraId="5D6AE825" w14:textId="77777777" w:rsidR="002E496B" w:rsidRPr="001A5452" w:rsidRDefault="002E496B" w:rsidP="007E4AF6">
      <w:pPr>
        <w:spacing w:after="0" w:line="480" w:lineRule="auto"/>
        <w:jc w:val="center"/>
        <w:rPr>
          <w:rFonts w:ascii="Times New Roman" w:hAnsi="Times New Roman" w:cs="Times New Roman"/>
          <w:sz w:val="24"/>
          <w:szCs w:val="24"/>
        </w:rPr>
      </w:pPr>
    </w:p>
    <w:p w14:paraId="5B001A6B" w14:textId="0E93683D" w:rsidR="007E4AF6" w:rsidRPr="001A5452" w:rsidRDefault="00D96FE7" w:rsidP="007E4AF6">
      <w:pPr>
        <w:pStyle w:val="Heading3"/>
        <w:spacing w:before="0"/>
        <w:rPr>
          <w:rFonts w:cs="Times New Roman"/>
        </w:rPr>
      </w:pPr>
      <w:bookmarkStart w:id="132" w:name="_Toc518823298"/>
      <w:r>
        <w:rPr>
          <w:rFonts w:cs="Times New Roman"/>
        </w:rPr>
        <w:t>4</w:t>
      </w:r>
      <w:r w:rsidR="004D0F8E">
        <w:rPr>
          <w:rFonts w:cs="Times New Roman"/>
        </w:rPr>
        <w:t>.</w:t>
      </w:r>
      <w:r w:rsidR="007E4AF6" w:rsidRPr="001A5452">
        <w:rPr>
          <w:rFonts w:cs="Times New Roman"/>
        </w:rPr>
        <w:t>3.1.3. Thermogravimetric analysis (TGA)</w:t>
      </w:r>
      <w:bookmarkEnd w:id="132"/>
    </w:p>
    <w:p w14:paraId="2E0264BF" w14:textId="3F85A577" w:rsidR="007E4AF6" w:rsidRPr="001A5452"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The reduction of GO by vitamin C is further confirmed by TGA analysis (Figure </w:t>
      </w:r>
      <w:r w:rsidR="00D96FE7">
        <w:rPr>
          <w:rFonts w:ascii="Times New Roman" w:hAnsi="Times New Roman" w:cs="Times New Roman" w:hint="eastAsia"/>
          <w:sz w:val="24"/>
          <w:szCs w:val="24"/>
        </w:rPr>
        <w:t>4</w:t>
      </w:r>
      <w:r w:rsidR="0098706E">
        <w:rPr>
          <w:rFonts w:ascii="Times New Roman" w:hAnsi="Times New Roman" w:cs="Times New Roman" w:hint="eastAsia"/>
          <w:sz w:val="24"/>
          <w:szCs w:val="24"/>
        </w:rPr>
        <w:t>.</w:t>
      </w:r>
      <w:r w:rsidRPr="001A5452">
        <w:rPr>
          <w:rFonts w:ascii="Times New Roman" w:hAnsi="Times New Roman" w:cs="Times New Roman"/>
          <w:sz w:val="24"/>
          <w:szCs w:val="24"/>
        </w:rPr>
        <w:t>3.). In the TGA curve of vitamin C, it shows two thermal decomposition steps. The first step start</w:t>
      </w:r>
      <w:r w:rsidR="00C14BF7">
        <w:rPr>
          <w:rFonts w:ascii="Times New Roman" w:hAnsi="Times New Roman" w:cs="Times New Roman"/>
          <w:sz w:val="24"/>
          <w:szCs w:val="24"/>
        </w:rPr>
        <w:t>s</w:t>
      </w:r>
      <w:r w:rsidRPr="001A5452">
        <w:rPr>
          <w:rFonts w:ascii="Times New Roman" w:hAnsi="Times New Roman" w:cs="Times New Roman"/>
          <w:sz w:val="24"/>
          <w:szCs w:val="24"/>
        </w:rPr>
        <w:t xml:space="preserve"> from 190 °C, and the second step starts from 240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indicating that vitamin C start to decompose at 190 °C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"10.1590/S0101-20612011000200030", "ISBN" : "0308-8146", "ISSN" : "0101-2061", "PMID" : "20849681", "abstract" : "In this work, through the use of thermal analysis techniques, the thermal stabilities of some antioxidants were investigated, in order to evaluate their resistance to thermal oxidation in oils, by heating canola vegetable oil, and to suggest that antioxidants would be more appropriate to increase the resistance of vegetable oils in the thermal degradation process in frying. Te techniques used were: Termal Gravimetric (TG) and Differential Scanning Calorimetry (DSC) analyses, as well as an allusion to a possible protective action of the vegetable oils, based on the thermal oxidation of canola vegetable oil in the laboratory under constant heating at 180 \u00b0C/8 hours for 10 days. Te studied antioxidants were: ascorbic acid, sorbic acid, citric acid, sodium erythorbate, BHT (3,5-di-tert-butyl-4-hydroxytoluene), BHA (2, 3-tert-butyl-4-methoxyphenol), TBHQ (tertiary butyl hydroquinone), PG (propyl gallate) - described as antioxidants by ANVISA and the FDA; and also the phytic acid antioxidant and the SAIB (sucrose acetate isobutyrate) additive, which is used in the food industry, in order to test its behavior as an antioxidant in vegetable oil. Te following antioxidants: citric acid, sodium erythorbate, BHA, BHT, TBHQ and sorbic acid decompose at temperatures below 180 \u00b0C, and therefore, have little protective action in vegetable oils undergoing frying processes. Te antioxidants below: phytic acid, ascorbic acid and PG, are the most resistant and begin their decomposition processes at temperatures between 180 and 200 \u00b0C. Te thermal analytical techniques have also shown that the SAIB antioxidant is the most resistant to oxidative action, and it can be a useful choice in the thermal decomposition prevention of edible oils, improving stability regarding oxidative processes.", "author" : [ { "dropping-particle" : "", "family" : "Reda", "given" : "Seme Youssef", "non-dropping-particle" : "", "parse-names" : false, "suffix" : "" } ], "container-title" : "Ci\u00eancia e Tecnologia de Alimentos", "id" : "ITEM-1", "issue" : "2", "issued" : { "date-parts" : [ [ "2011" ] ] }, "page" : "475-480", "title" : "Evaluation of antioxidants stability by thermal analysis and its protective effect in heated edible vegetable oil", "type" : "article-journal", "volume" : "31" }, "uris" : [ "http://www.mendeley.com/documents/?uuid=e29af650-1ee7-4501-ac9a-29a00e41128d" ] } ], "mendeley" : { "formattedCitation" : "[193]", "plainTextFormattedCitation" : "[193]", "previouslyFormattedCitation" : "[193]"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[193]</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According to TGA curve of GO, the weight loss below 100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w:t>
      </w:r>
      <w:r w:rsidR="00C14BF7">
        <w:rPr>
          <w:rFonts w:ascii="Times New Roman" w:hAnsi="Times New Roman" w:cs="Times New Roman"/>
          <w:sz w:val="24"/>
          <w:szCs w:val="24"/>
        </w:rPr>
        <w:t xml:space="preserve">is </w:t>
      </w:r>
      <w:r w:rsidRPr="001A5452">
        <w:rPr>
          <w:rFonts w:ascii="Times New Roman" w:hAnsi="Times New Roman" w:cs="Times New Roman"/>
          <w:sz w:val="24"/>
          <w:szCs w:val="24"/>
        </w:rPr>
        <w:t xml:space="preserve">related to the moisture, which is around 10%. The major weight loss of 48% is observed 200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C, presumably due to the pyrolysis of oxygen functional groups, yielding CO, CO</w:t>
      </w:r>
      <w:r w:rsidRPr="001A5452">
        <w:rPr>
          <w:rFonts w:ascii="Times New Roman" w:hAnsi="Times New Roman" w:cs="Times New Roman"/>
          <w:sz w:val="24"/>
          <w:szCs w:val="24"/>
          <w:vertAlign w:val="subscript"/>
        </w:rPr>
        <w:t>2</w:t>
      </w:r>
      <w:r w:rsidRPr="001A5452">
        <w:rPr>
          <w:rFonts w:ascii="Times New Roman" w:hAnsi="Times New Roman" w:cs="Times New Roman"/>
          <w:sz w:val="24"/>
          <w:szCs w:val="24"/>
        </w:rPr>
        <w:t xml:space="preserve"> and steam </w:t>
      </w:r>
      <w:r w:rsidRPr="001A5452">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"ITEM-1", "issue" : "7", "issued" : { "date-parts" : [ [ "2007" ] ] }, "page" : "1558-1565", "title" : "Synthesis of graphene-based nanosheets via chemical reduction of exfoliated graphite oxide", "type" : "article-journal", "volume" : "45" }, "uris" : [ "http://www.mendeley.com/documents/?uuid=7d96f1a7-d047-463c-8a60-e43142ea0559" ] }, { "id" : "ITEM-2", "itemData" : { "DOI" : "10.1021/jp9731821", "ISBN" : "1520-6106", "ISSN" : "1520-6106", "abstract" : "Graphite oxide (GO) and its derivatives have been studied using 13C and 1H NMR. NMR spectra of GO derivatives confirm the assignment of the 70 ppm line to C-OH groups and allow us to propose a new structural model for GO. Thus we assign the 60 ppm line to epoxide groups (1,2-ethers) and not to 1,3- ethers, as suggested earlier, and the 130 ppm line to aromatic entities and conjugated double bonds. GO contains two kinds of regions: aromatic regions with unoxidized benzene rings and regions with aliphatic six-membered rings. The relative size of the two regions depends on the degree of oxidation. The carbon grid is nearly flat; only the carbons attached to OH groups have a slightly distorted tetrahedral configuration, resulting in some wrinkling of the layers. The formation of phenol (or aromatic diol) groups during deoxygenation indicates that the epoxide and the C-OH groups are very close to one another. The distribution of functional groups in every oxidized aromatic ring need not be identical, and both the oxidized rings and aromatic entities are distributed randomly.", "author" : [ { "dropping-particle" : "", "family" : "Lerf", "given" : "Anton", "non-dropping-particle" : "", "parse-names" : false, "suffix" : "" }, { "dropping-particle" : "", "family" : "He", "given" : "Heyong", "non-dropping-particle" : "", "parse-names" : false, "suffix" : "" }, { "dropping-particle" : "", "family" : "Forster", "given" : "Michael", "non-dropping-particle" : "", "parse-names" : false, "suffix" : "" }, { "dropping-particle" : "", "family" : "Klinowski", "given" : "Jacek", "non-dropping-particle" : "", "parse-names" : false, "suffix" : "" } ], "container-title" : "The Journal of Physical Chemistry B", "id" : "ITEM-2", "issue" : "23", "issued" : { "date-parts" : [ [ "1998" ] ] }, "page" : "4477-4482", "title" : "Structure of Graphite Oxide Revisited &lt;sup&gt;\u2016&lt;/sup&gt;", "type" : "article-journal", "volume" : "102" }, "uris" : [ "http://www.mendeley.com/documents/?uuid=0d12f219-2853-4ebc-bc7d-6dbbab77f75c" ] } ], "mendeley" : { "formattedCitation" : "[34,41]", "plainTextFormattedCitation" : "[34,41]", "previouslyFormattedCitation" : "[34,41]" }, "properties" : {  }, "schema" : "https://github.com/citation-style-language/schema/raw/master/csl-citation.json" }</w:instrText>
      </w:r>
      <w:r w:rsidRPr="001A5452">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[34,41]</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TGA curve of rGO shows a 2.3% mass loss below 100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and only an 8% mass loss around 200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The residual weights at 700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of GO and rGO are 63.8%, and 27.5%, respectively. All these TGA results indicates that the majority of oxygen groups on GO sheets have been reduced by vitamin C. </w:t>
      </w:r>
    </w:p>
    <w:p w14:paraId="2CDFC01D" w14:textId="77777777" w:rsidR="007E4AF6" w:rsidRPr="001A5452" w:rsidRDefault="007E4AF6" w:rsidP="007E4AF6">
      <w:pPr>
        <w:spacing w:after="0"/>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333590D5" wp14:editId="4627DAAD">
            <wp:extent cx="4846320" cy="338656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46320" cy="3386569"/>
                    </a:xfrm>
                    <a:prstGeom prst="rect">
                      <a:avLst/>
                    </a:prstGeom>
                    <a:noFill/>
                  </pic:spPr>
                </pic:pic>
              </a:graphicData>
            </a:graphic>
          </wp:inline>
        </w:drawing>
      </w:r>
    </w:p>
    <w:p w14:paraId="1ED9F260" w14:textId="716C9C95" w:rsidR="007E4AF6" w:rsidRPr="001A5452" w:rsidRDefault="00492AD8" w:rsidP="00EC3BE6">
      <w:pPr>
        <w:pStyle w:val="Caption"/>
        <w:ind w:firstLine="0"/>
        <w:rPr>
          <w:rFonts w:cs="Times New Roman"/>
          <w:szCs w:val="24"/>
        </w:rPr>
      </w:pPr>
      <w:bookmarkStart w:id="133" w:name="_Toc502662469"/>
      <w:r>
        <w:t>Figur</w:t>
      </w:r>
      <w:r w:rsidR="00D96FE7">
        <w:t>e 4</w:t>
      </w:r>
      <w:r w:rsidR="0084355F">
        <w:t>.</w:t>
      </w:r>
      <w:r>
        <w:fldChar w:fldCharType="begin"/>
      </w:r>
      <w:r>
        <w:instrText xml:space="preserve"> SEQ Figure_4. \* ARABIC </w:instrText>
      </w:r>
      <w:r>
        <w:fldChar w:fldCharType="separate"/>
      </w:r>
      <w:r w:rsidR="00551ED9">
        <w:rPr>
          <w:noProof/>
        </w:rPr>
        <w:t>3</w:t>
      </w:r>
      <w:r>
        <w:fldChar w:fldCharType="end"/>
      </w:r>
      <w:r w:rsidR="007E4AF6" w:rsidRPr="001A5452">
        <w:rPr>
          <w:rFonts w:cs="Times New Roman"/>
          <w:b w:val="0"/>
          <w:szCs w:val="24"/>
        </w:rPr>
        <w:t>.</w:t>
      </w:r>
      <w:r w:rsidR="007E4AF6" w:rsidRPr="001A5452">
        <w:rPr>
          <w:rFonts w:cs="Times New Roman"/>
          <w:szCs w:val="24"/>
        </w:rPr>
        <w:t xml:space="preserve"> TGA of graphene oxide (GO), and reduced graphene oxide (rGO) and vitamin C.</w:t>
      </w:r>
      <w:bookmarkEnd w:id="133"/>
    </w:p>
    <w:p w14:paraId="2A341E8C" w14:textId="4F38BAEC" w:rsidR="007E4AF6" w:rsidRDefault="007E4AF6" w:rsidP="007E4AF6">
      <w:pPr>
        <w:spacing w:after="0"/>
        <w:jc w:val="center"/>
        <w:rPr>
          <w:rFonts w:ascii="Times New Roman" w:hAnsi="Times New Roman" w:cs="Times New Roman"/>
          <w:sz w:val="24"/>
          <w:szCs w:val="24"/>
        </w:rPr>
      </w:pPr>
    </w:p>
    <w:p w14:paraId="4E67D08B" w14:textId="77777777" w:rsidR="002E496B" w:rsidRPr="001A5452" w:rsidRDefault="002E496B" w:rsidP="007E4AF6">
      <w:pPr>
        <w:spacing w:after="0"/>
        <w:jc w:val="center"/>
        <w:rPr>
          <w:rFonts w:ascii="Times New Roman" w:hAnsi="Times New Roman" w:cs="Times New Roman"/>
          <w:sz w:val="24"/>
          <w:szCs w:val="24"/>
        </w:rPr>
      </w:pPr>
    </w:p>
    <w:p w14:paraId="2C84BA40" w14:textId="5D1A037B" w:rsidR="007E4AF6" w:rsidRPr="00C14BF7" w:rsidRDefault="00D96FE7" w:rsidP="007E4AF6">
      <w:pPr>
        <w:pStyle w:val="Heading2"/>
        <w:spacing w:before="0"/>
        <w:rPr>
          <w:rFonts w:cs="Times New Roman"/>
        </w:rPr>
      </w:pPr>
      <w:bookmarkStart w:id="134" w:name="_Toc518823299"/>
      <w:r>
        <w:rPr>
          <w:rFonts w:cs="Times New Roman"/>
        </w:rPr>
        <w:t>4</w:t>
      </w:r>
      <w:r w:rsidR="004D0F8E">
        <w:rPr>
          <w:rFonts w:cs="Times New Roman"/>
        </w:rPr>
        <w:t>.</w:t>
      </w:r>
      <w:r w:rsidR="007E4AF6" w:rsidRPr="00CE0B27">
        <w:rPr>
          <w:rFonts w:cs="Times New Roman"/>
        </w:rPr>
        <w:t>3.2. Chemical structure of UPR, and UPR/rGO composites</w:t>
      </w:r>
      <w:bookmarkEnd w:id="134"/>
    </w:p>
    <w:p w14:paraId="7AE9F779" w14:textId="37C71C14" w:rsidR="007E4AF6" w:rsidRPr="001A5452" w:rsidRDefault="007E4AF6" w:rsidP="007E4AF6">
      <w:pPr>
        <w:spacing w:after="0" w:line="480" w:lineRule="auto"/>
        <w:jc w:val="both"/>
        <w:rPr>
          <w:rFonts w:ascii="Times New Roman" w:hAnsi="Times New Roman" w:cs="Times New Roman"/>
          <w:sz w:val="24"/>
          <w:szCs w:val="24"/>
        </w:rPr>
      </w:pPr>
      <w:r w:rsidRPr="005E0455">
        <w:rPr>
          <w:rFonts w:ascii="Times New Roman" w:hAnsi="Times New Roman" w:cs="Times New Roman"/>
          <w:sz w:val="24"/>
          <w:szCs w:val="24"/>
        </w:rPr>
        <w:t xml:space="preserve">The chemical structures </w:t>
      </w:r>
      <w:r w:rsidR="005E0455">
        <w:rPr>
          <w:rFonts w:ascii="Times New Roman" w:hAnsi="Times New Roman" w:cs="Times New Roman"/>
          <w:sz w:val="24"/>
          <w:szCs w:val="24"/>
        </w:rPr>
        <w:t xml:space="preserve">of UPR, UPR/RGO </w:t>
      </w:r>
      <w:r w:rsidR="005E0455">
        <w:rPr>
          <w:rFonts w:ascii="Times New Roman" w:hAnsi="Times New Roman" w:cs="Times New Roman" w:hint="eastAsia"/>
          <w:sz w:val="24"/>
          <w:szCs w:val="24"/>
        </w:rPr>
        <w:t>comp</w:t>
      </w:r>
      <w:r w:rsidR="005E0455">
        <w:rPr>
          <w:rFonts w:ascii="Times New Roman" w:hAnsi="Times New Roman" w:cs="Times New Roman"/>
          <w:sz w:val="24"/>
          <w:szCs w:val="24"/>
        </w:rPr>
        <w:t>osite,</w:t>
      </w:r>
      <w:r w:rsidR="00C14BF7">
        <w:rPr>
          <w:rFonts w:ascii="Times New Roman" w:hAnsi="Times New Roman" w:cs="Times New Roman"/>
          <w:sz w:val="24"/>
          <w:szCs w:val="24"/>
        </w:rPr>
        <w:t xml:space="preserve"> </w:t>
      </w:r>
      <w:r w:rsidRPr="005E0455">
        <w:rPr>
          <w:rFonts w:ascii="Times New Roman" w:hAnsi="Times New Roman" w:cs="Times New Roman"/>
          <w:sz w:val="24"/>
          <w:szCs w:val="24"/>
        </w:rPr>
        <w:t>and interaction</w:t>
      </w:r>
      <w:r w:rsidR="00C14BF7">
        <w:rPr>
          <w:rFonts w:ascii="Times New Roman" w:hAnsi="Times New Roman" w:cs="Times New Roman"/>
          <w:sz w:val="24"/>
          <w:szCs w:val="24"/>
        </w:rPr>
        <w:t>s</w:t>
      </w:r>
      <w:r w:rsidRPr="005E0455">
        <w:rPr>
          <w:rFonts w:ascii="Times New Roman" w:hAnsi="Times New Roman" w:cs="Times New Roman"/>
          <w:sz w:val="24"/>
          <w:szCs w:val="24"/>
        </w:rPr>
        <w:t xml:space="preserve"> between rGO and UPR matrix are investigated by FTIR (Figure </w:t>
      </w:r>
      <w:r w:rsidR="00D96FE7">
        <w:rPr>
          <w:rFonts w:ascii="Times New Roman" w:hAnsi="Times New Roman" w:cs="Times New Roman" w:hint="eastAsia"/>
          <w:sz w:val="24"/>
          <w:szCs w:val="24"/>
        </w:rPr>
        <w:t>4</w:t>
      </w:r>
      <w:r w:rsidR="0098706E">
        <w:rPr>
          <w:rFonts w:ascii="Times New Roman" w:hAnsi="Times New Roman" w:cs="Times New Roman" w:hint="eastAsia"/>
          <w:sz w:val="24"/>
          <w:szCs w:val="24"/>
        </w:rPr>
        <w:t>.</w:t>
      </w:r>
      <w:r w:rsidRPr="005E0455">
        <w:rPr>
          <w:rFonts w:ascii="Times New Roman" w:hAnsi="Times New Roman" w:cs="Times New Roman"/>
          <w:sz w:val="24"/>
          <w:szCs w:val="24"/>
        </w:rPr>
        <w:t>4). To study the influence of THF, the control sample (UPR-THF) was prepared through the same procedure with UPR/rGO composites using THF as the solvent. In comparison to the UPR without the treatment of THF, it can be seen that there is no difference between the FTIR spectra of UPR and UPR-THF, indicating that the solvent did not affect the final chemical structure of UPR polymers. The peaks at 1718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1606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1453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1298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and 1229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xml:space="preserve">, correspond to C=O stretch, aromatic C=C stretch, and C-O stretch from COOH groups, respectively </w:t>
      </w:r>
      <w:r w:rsidRPr="005E0455">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"10.1016/j.polymdegradstab.2009.03.009", "ISSN" : "01413910", "abstract" : "The preparation of new layered double hydroxides/unsaturated polyester (LDH/UP) nanocomposites was performed and the effect of LDH on the resin properties was studied. Two different organo-LDHs have been prepared, adipate-LDH (A-LDH) and 2-methyl-2-propene-1-sulfonate-LDH (S-LDH); in order to evaluate the influence of these nanofillers, samples with two different concentrations were dispersed in the matrix. The physical, thermal, mechanical and fire reaction properties of nanocomposites were studied. Intercalated layered structures were observed for the different organo-LDH loadings (1 and 5 wt%). Mechanical properties studied under flexural tests show that incorporation of organo-LDH in the resin reduces the flexural strength of polyester resin while the flexural modulus is unchanged for the S- LDH/UP composites and increased with 1 wt% of A-LDH. Adding 1 wt% of A-LDH to the resin produces an important reduction on the flexural strength, but an increase of the flexural modulus. The study of fire reaction properties, using cone calorimeter, suggested a significant reduction in the UP flammability, by 46 and 32%, by incorporating 1 wt% of A-LDH and 5 wt% S-LDH, respectively. Mass loss curves show enhanced char formation with the different loads tested while the amount of evolved smoke remains quite unchanged.", "author" : [ { "dropping-particle" : "", "family" : "Pereira", "given" : "C.M.C.", "non-dropping-particle" : "", "parse-names" : false, "suffix" : "" }, { "dropping-particle" : "", "family" : "Herrero", "given" : "M.", "non-dropping-particle" : "", "parse-names" : false, "suffix" : "" }, { "dropping-particle" : "", "family" : "Labajos", "given" : "F.M.", "non-dropping-particle" : "", "parse-names" : false, "suffix" : "" }, { "dropping-particle" : "", "family" : "Marques", "given" : "A.T.", "non-dropping-particle" : "", "parse-names" : false, "suffix" : "" }, { "dropping-particle" : "", "family" : "Rives", "given" : "V.", "non-dropping-particle" : "", "parse-names" : false, "suffix" : "" } ], "container-title" : "Polymer Degradation and Stability", "id" : "ITEM-1", "issue" : "6", "issued" : { "date-parts" : [ [ "2009" ] ] }, "page" : "939-946", "publisher" : "Elsevier Ltd", "title" : "Preparation and properties of new flame retardant unsaturated polyester nanocomposites based on layered double hydroxides", "type" : "article-journal", "volume" : "94" }, "uris" : [ "http://www.mendeley.com/documents/?uuid=910114b3-3ed5-4e76-b939-e7db2ace9ae4" ] }, { "id" : "ITEM-2", "itemData" : { "DOI" : "10.1002/(SICI)1097-4628(19980124)67:4&lt;695::AID-APP12&gt;3.0.CO;2-3", "ISBN" : "1097-4628", "ISSN" : "0021-8995", "abstract" : "In this work, the curing kinetic of an unsaturated polyester resin, mixed with styrene as curing agent, was studied by means of diffential scanning calorimetry (DSC) and infrared (IR) spectroscopy. Investigations were made in situ during curing and post-curing periods. The enthalpy (DHcop ization and its copolymerization with the polyester chains was determined from isother- mal DSC investigations. The residual enthalpy (DHres thermal DSC measurements. We find that the quantity (DHres ) characterizing the styrene homopolymer- ) was determined from noniso- the curing temperature (Tiso ) . Styrene homopolymerization and/or copolymerization / DHcop ) depends on lead to characteristic bonds modifications. The variations of the most characteristic bonds versus curing duration were studied from Fourier transform IR investigations. The data allow the determination of a relationship between transformation rate and curing duration using a time constant (t) characteristic of each reaction involved during the liquid to solid-state transformation", "author" : [ { "dropping-particle" : "", "family" : "Delahaye", "given" : "N.", "non-dropping-particle" : "", "parse-names" : false, "suffix" : "" }, { "dropping-particle" : "", "family" : "Marais", "given" : "S.", "non-dropping-particle" : "", "parse-names" : false, "suffix" : "" }, { "dropping-particle" : "", "family" : "Saiter", "given" : "J. M.", "non-dropping-particle" : "", "parse-names" : false, "suffix" : "" }, { "dropping-particle" : "", "family" : "Metayer", "given" : "M.", "non-dropping-particle" : "", "parse-names" : false, "suffix" : "" } ], "container-title" : "Journal of Applied Polymer Science", "id" : "ITEM-2", "issued" : { "date-parts" : [ [ "1998" ] ] }, "page" : "695-703", "title" : "Characterization of unsaturated polyester resin cured with styrene", "type" : "article-journal", "volume" : "67" }, "uris" : [ "http://www.mendeley.com/documents/?uuid=f24a4ad1-4818-4909-847e-37972e0e1f44" ] } ], "mendeley" : { "formattedCitation" : "[194,195]", "plainTextFormattedCitation" : "[194,195]", "previouslyFormattedCitation" : "[194,195]" }, "properties" : {  }, "schema" : "https://github.com/citation-style-language/schema/raw/master/csl-citation.json" }</w:instrText>
      </w:r>
      <w:r w:rsidRPr="005E0455">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[194,195]</w:t>
      </w:r>
      <w:r w:rsidRPr="005E0455">
        <w:rPr>
          <w:rFonts w:ascii="Times New Roman" w:hAnsi="Times New Roman" w:cs="Times New Roman"/>
          <w:sz w:val="24"/>
          <w:szCs w:val="24"/>
        </w:rPr>
        <w:fldChar w:fldCharType="end"/>
      </w:r>
      <w:r w:rsidRPr="005E0455">
        <w:rPr>
          <w:rFonts w:ascii="Times New Roman" w:hAnsi="Times New Roman" w:cs="Times New Roman"/>
          <w:sz w:val="24"/>
          <w:szCs w:val="24"/>
        </w:rPr>
        <w:t>. For FTIR spectra of rGO, peaks at 1548, and 1176, are assigned to aromatic C=C stretch, and C-O stretch, as discussed previously. In the FTIR spectra of UPR/rGO composite (1.0 wt.%), the peaks of C=O (1718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aromatic C=C stretch ( 1606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1453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and C-O from carboxyl acid groups (1229 cm</w:t>
      </w:r>
      <w:r w:rsidRPr="005E0455">
        <w:rPr>
          <w:rFonts w:ascii="Times New Roman" w:hAnsi="Times New Roman" w:cs="Times New Roman"/>
          <w:sz w:val="24"/>
          <w:szCs w:val="24"/>
          <w:vertAlign w:val="superscript"/>
        </w:rPr>
        <w:t xml:space="preserve">-1 </w:t>
      </w:r>
      <w:r w:rsidRPr="005E0455">
        <w:rPr>
          <w:rFonts w:ascii="Times New Roman" w:hAnsi="Times New Roman" w:cs="Times New Roman"/>
          <w:sz w:val="24"/>
          <w:szCs w:val="24"/>
        </w:rPr>
        <w:t>) shift to 1714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1609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1438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and 1226 cm</w:t>
      </w:r>
      <w:r w:rsidRPr="005E0455">
        <w:rPr>
          <w:rFonts w:ascii="Times New Roman" w:hAnsi="Times New Roman" w:cs="Times New Roman"/>
          <w:sz w:val="24"/>
          <w:szCs w:val="24"/>
          <w:vertAlign w:val="superscript"/>
        </w:rPr>
        <w:t>-1</w:t>
      </w:r>
      <w:r w:rsidRPr="005E0455">
        <w:rPr>
          <w:rFonts w:ascii="Times New Roman" w:hAnsi="Times New Roman" w:cs="Times New Roman"/>
          <w:sz w:val="24"/>
          <w:szCs w:val="24"/>
        </w:rPr>
        <w:t>, respectively. Meanwhile, peak at 1298 cm</w:t>
      </w:r>
      <w:r w:rsidRPr="005E0455">
        <w:rPr>
          <w:rFonts w:ascii="Times New Roman" w:hAnsi="Times New Roman" w:cs="Times New Roman"/>
          <w:sz w:val="24"/>
          <w:szCs w:val="24"/>
          <w:vertAlign w:val="superscript"/>
        </w:rPr>
        <w:t xml:space="preserve">-1 </w:t>
      </w:r>
      <w:r w:rsidRPr="005E0455">
        <w:rPr>
          <w:rFonts w:ascii="Times New Roman" w:hAnsi="Times New Roman" w:cs="Times New Roman"/>
          <w:sz w:val="24"/>
          <w:szCs w:val="24"/>
        </w:rPr>
        <w:t xml:space="preserve">(C-O from carboxyl acid groups) become sharper in the UPR/rGO composite. The shifting of these peaks indicates that the interactions of the polyester segments (C=O, COOH) with the remaining oxygen functional groups of rGO through </w:t>
      </w:r>
      <w:r w:rsidR="001B1095">
        <w:rPr>
          <w:rFonts w:ascii="Times New Roman" w:hAnsi="Times New Roman" w:cs="Times New Roman"/>
          <w:sz w:val="24"/>
          <w:szCs w:val="24"/>
        </w:rPr>
        <w:t>hydrogen bond</w:t>
      </w:r>
      <w:r w:rsidRPr="001B1095">
        <w:rPr>
          <w:rFonts w:ascii="Times New Roman" w:hAnsi="Times New Roman" w:cs="Times New Roman"/>
          <w:sz w:val="24"/>
          <w:szCs w:val="24"/>
        </w:rPr>
        <w:t xml:space="preserve"> </w:t>
      </w:r>
      <w:r w:rsidRPr="001B1095">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"10.1016/j.compscitech.2013.07.025", "ISSN" : "02663538", "abstract" : "In this work, we report a simple method of preparation of reduced graphene oxide (rGO) based unsaturated polyester (PE) resin nanocomposite. The synthesized samples were characterized by Fourier transform infrared spectroscopy (FTIR), X-ray diffraction (XRD), scanning electron microscopy (SEM), atomic force microscopy (AFM), thermogravimetric analysis (TGA), differential scanning calorimetry (DSC) and tensile strength measurements. The SEM analyses revealed good dispersion as well as the interaction of rGO with the matrix. The composite exhibited significant improvement in mechanical properties at a low rGO loading. The tensile strength and Young's modulus of the composites increased by 123% and 87% respectively at 3wt.% loading of the rGO. The thermal property of the PE resin was also improved with the incorporation of rGO in the composite. Moreover, the composite film showed a higher value of electrical conductivity (3.7??10-4S/cm) compared to that of neat resin. The PE/rGO nanocomposites displayed good antimicrobial activity against a number of bacteria. ?? 2013 Elsevier Ltd.", "author" : [ { "dropping-particle" : "", "family" : "Bora", "given" : "Chandramika", "non-dropping-particle" : "", "parse-names" : false, "suffix" : "" }, { "dropping-particle" : "", "family" : "Bharali", "given" : "Pranjal", "non-dropping-particle" : "", "parse-names" : false, "suffix" : "" }, { "dropping-particle" : "", "family" : "Baglari", "given" : "Silpi", "non-dropping-particle" : "", "parse-names" : false, "suffix" : "" }, { "dropping-particle" : "", "family" : "Dolui", "given" : "Swapan K.", "non-dropping-particle" : "", "parse-names" : false, "suffix" : "" }, { "dropping-particle" : "", "family" : "Konwar", "given" : "Bolin K.", "non-dropping-particle" : "", "parse-names" : false, "suffix" : "" } ], "container-title" : "Composites Science and Technology", "id" : "ITEM-1", "issued" : { "date-parts" : [ [ "2013" ] ] }, "page" : "1-7", "publisher" : "Elsevier Ltd", "title" : "Strong and conductive reduced graphene oxide/polyester resin composite films with improved mechanical strength, thermal stability and its antibacterial activity", "type" : "article-journal", "volume" : "87" }, "uris" : [ "http://www.mendeley.com/documents/?uuid=dd692942-0443-4449-8d20-52d1a7642313" ] } ], "mendeley" : { "formattedCitation" : "[196]", "plainTextFormattedCitation" : "[196]", "previouslyFormattedCitation" : "[196]" }, "properties" : {  }, "schema" : "https://github.com/citation-style-language/schema/raw/master/csl-citation.json" }</w:instrText>
      </w:r>
      <w:r w:rsidRPr="001B1095">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[196]</w:t>
      </w:r>
      <w:r w:rsidRPr="001B1095">
        <w:rPr>
          <w:rFonts w:ascii="Times New Roman" w:hAnsi="Times New Roman" w:cs="Times New Roman"/>
          <w:sz w:val="24"/>
          <w:szCs w:val="24"/>
        </w:rPr>
        <w:fldChar w:fldCharType="end"/>
      </w:r>
      <w:r w:rsidRPr="001B1095">
        <w:rPr>
          <w:rFonts w:ascii="Times New Roman" w:hAnsi="Times New Roman" w:cs="Times New Roman"/>
          <w:sz w:val="24"/>
          <w:szCs w:val="24"/>
        </w:rPr>
        <w:t>.</w:t>
      </w:r>
    </w:p>
    <w:p w14:paraId="7CC7CF12" w14:textId="77777777" w:rsidR="007E4AF6" w:rsidRPr="001A5452" w:rsidRDefault="007E4AF6" w:rsidP="007E4AF6">
      <w:pPr>
        <w:spacing w:after="0" w:line="480" w:lineRule="auto"/>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509E6F62" wp14:editId="1C4C9FE8">
            <wp:extent cx="5759303" cy="40195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7477" cy="4025255"/>
                    </a:xfrm>
                    <a:prstGeom prst="rect">
                      <a:avLst/>
                    </a:prstGeom>
                    <a:noFill/>
                  </pic:spPr>
                </pic:pic>
              </a:graphicData>
            </a:graphic>
          </wp:inline>
        </w:drawing>
      </w:r>
    </w:p>
    <w:p w14:paraId="185FD7F5" w14:textId="75D762BF" w:rsidR="007E4AF6" w:rsidRDefault="00D96FE7" w:rsidP="00492AD8">
      <w:pPr>
        <w:pStyle w:val="Caption"/>
        <w:jc w:val="center"/>
        <w:rPr>
          <w:rFonts w:cs="Times New Roman"/>
          <w:szCs w:val="24"/>
        </w:rPr>
      </w:pPr>
      <w:bookmarkStart w:id="135" w:name="_Toc502662470"/>
      <w:r>
        <w:t>Figure 4</w:t>
      </w:r>
      <w:r w:rsidR="0084355F">
        <w:t>.</w:t>
      </w:r>
      <w:r w:rsidR="00492AD8">
        <w:fldChar w:fldCharType="begin"/>
      </w:r>
      <w:r w:rsidR="00492AD8">
        <w:instrText xml:space="preserve"> SEQ Figure_4. \* ARABIC </w:instrText>
      </w:r>
      <w:r w:rsidR="00492AD8">
        <w:fldChar w:fldCharType="separate"/>
      </w:r>
      <w:r w:rsidR="00551ED9">
        <w:rPr>
          <w:noProof/>
        </w:rPr>
        <w:t>4</w:t>
      </w:r>
      <w:r w:rsidR="00492AD8">
        <w:fldChar w:fldCharType="end"/>
      </w:r>
      <w:r w:rsidR="007E4AF6" w:rsidRPr="001A5452">
        <w:rPr>
          <w:rFonts w:cs="Times New Roman"/>
          <w:b w:val="0"/>
          <w:szCs w:val="24"/>
        </w:rPr>
        <w:t xml:space="preserve">. </w:t>
      </w:r>
      <w:r w:rsidR="007E4AF6" w:rsidRPr="001A5452">
        <w:rPr>
          <w:rFonts w:cs="Times New Roman"/>
          <w:szCs w:val="24"/>
        </w:rPr>
        <w:t>FTIR spectra of UPR, UPR-THF, UPR/rGO (1.0 wt.%), and rGO.</w:t>
      </w:r>
      <w:bookmarkEnd w:id="135"/>
    </w:p>
    <w:p w14:paraId="490B6897" w14:textId="77777777" w:rsidR="00CC25B1" w:rsidRPr="001A5452" w:rsidRDefault="00CC25B1" w:rsidP="007E4AF6">
      <w:pPr>
        <w:spacing w:after="0"/>
        <w:jc w:val="center"/>
        <w:rPr>
          <w:rFonts w:ascii="Times New Roman" w:hAnsi="Times New Roman" w:cs="Times New Roman"/>
          <w:sz w:val="24"/>
          <w:szCs w:val="24"/>
        </w:rPr>
      </w:pPr>
    </w:p>
    <w:p w14:paraId="2FEC9391" w14:textId="71949719" w:rsidR="007E4AF6" w:rsidRDefault="007E4AF6" w:rsidP="007E4AF6">
      <w:pPr>
        <w:spacing w:after="0"/>
        <w:jc w:val="center"/>
        <w:rPr>
          <w:rFonts w:ascii="Times New Roman" w:hAnsi="Times New Roman" w:cs="Times New Roman"/>
          <w:sz w:val="24"/>
          <w:szCs w:val="24"/>
        </w:rPr>
      </w:pPr>
    </w:p>
    <w:p w14:paraId="4B2D3D62" w14:textId="7C734A4F" w:rsidR="00CC25B1" w:rsidRPr="001A5452" w:rsidRDefault="001D475F" w:rsidP="00CC25B1">
      <w:pPr>
        <w:pStyle w:val="Heading2"/>
        <w:spacing w:before="0"/>
        <w:rPr>
          <w:rFonts w:cs="Times New Roman"/>
          <w:szCs w:val="24"/>
        </w:rPr>
      </w:pPr>
      <w:bookmarkStart w:id="136" w:name="_Toc518823300"/>
      <w:r>
        <w:rPr>
          <w:rFonts w:cs="Times New Roman"/>
          <w:szCs w:val="24"/>
        </w:rPr>
        <w:t>4</w:t>
      </w:r>
      <w:r w:rsidR="004D0F8E">
        <w:rPr>
          <w:rFonts w:cs="Times New Roman"/>
          <w:szCs w:val="24"/>
        </w:rPr>
        <w:t>.</w:t>
      </w:r>
      <w:r w:rsidR="002E496B">
        <w:rPr>
          <w:rFonts w:cs="Times New Roman"/>
          <w:szCs w:val="24"/>
        </w:rPr>
        <w:t>3.</w:t>
      </w:r>
      <w:r w:rsidR="002E496B">
        <w:rPr>
          <w:rFonts w:cs="Times New Roman" w:hint="eastAsia"/>
          <w:szCs w:val="24"/>
        </w:rPr>
        <w:t>3</w:t>
      </w:r>
      <w:r w:rsidR="00CC25B1" w:rsidRPr="001A5452">
        <w:rPr>
          <w:rFonts w:cs="Times New Roman"/>
          <w:szCs w:val="24"/>
        </w:rPr>
        <w:t>. Electrical conductivity</w:t>
      </w:r>
      <w:bookmarkEnd w:id="136"/>
      <w:r w:rsidR="00CC25B1">
        <w:rPr>
          <w:rFonts w:cs="Times New Roman"/>
          <w:szCs w:val="24"/>
        </w:rPr>
        <w:t xml:space="preserve"> </w:t>
      </w:r>
    </w:p>
    <w:p w14:paraId="2198AF26" w14:textId="3609567D" w:rsidR="00CC25B1" w:rsidRPr="001A5452" w:rsidRDefault="00CC25B1" w:rsidP="00DF245E">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The electrical conductivity of UPR and UPR/RGO composites with various rGO content (Neat UPR, 0.05 wt.%, 0.1.0 wt.%, 0,3 wt.%, 0.5 wt.%, 1.0 wt.%, 1.5 wt.%, and 2.0 wt.%) are carried out on rectangular bars with 0.3 mm thickness. The electrical conductivity (σ) are obtained by calculating the inverse of resistivity which is measured b</w:t>
      </w:r>
      <w:r w:rsidR="008A66C3">
        <w:rPr>
          <w:rFonts w:ascii="Times New Roman" w:hAnsi="Times New Roman" w:cs="Times New Roman"/>
          <w:sz w:val="24"/>
          <w:szCs w:val="24"/>
        </w:rPr>
        <w:t>y using digital multimeter (equation</w:t>
      </w:r>
      <w:r w:rsidRPr="001A5452">
        <w:rPr>
          <w:rFonts w:ascii="Times New Roman" w:hAnsi="Times New Roman" w:cs="Times New Roman"/>
          <w:sz w:val="24"/>
          <w:szCs w:val="24"/>
        </w:rPr>
        <w:t xml:space="preserve"> (</w:t>
      </w:r>
      <w:r w:rsidR="00DF245E">
        <w:rPr>
          <w:rFonts w:ascii="Times New Roman" w:hAnsi="Times New Roman" w:cs="Times New Roman"/>
          <w:sz w:val="24"/>
          <w:szCs w:val="24"/>
        </w:rPr>
        <w:t>4</w:t>
      </w:r>
      <w:r w:rsidR="0084355F">
        <w:rPr>
          <w:rFonts w:ascii="Times New Roman" w:hAnsi="Times New Roman" w:cs="Times New Roman"/>
          <w:sz w:val="24"/>
          <w:szCs w:val="24"/>
        </w:rPr>
        <w:t xml:space="preserve">.1)), and the results are shown in Figure 5.5. </w:t>
      </w:r>
      <w:r w:rsidRPr="001A5452">
        <w:rPr>
          <w:rFonts w:ascii="Times New Roman" w:hAnsi="Times New Roman" w:cs="Times New Roman"/>
          <w:sz w:val="24"/>
          <w:szCs w:val="24"/>
        </w:rPr>
        <w:t xml:space="preserve">Neat UPR and UPR/rGO </w:t>
      </w:r>
      <w:r w:rsidRPr="001A5452">
        <w:rPr>
          <w:rFonts w:ascii="Times New Roman" w:hAnsi="Times New Roman" w:cs="Times New Roman"/>
          <w:sz w:val="24"/>
          <w:szCs w:val="24"/>
          <w:lang w:val="en-GB"/>
        </w:rPr>
        <w:t xml:space="preserve">composites </w:t>
      </w:r>
      <w:r w:rsidRPr="001A5452">
        <w:rPr>
          <w:rFonts w:ascii="Times New Roman" w:hAnsi="Times New Roman" w:cs="Times New Roman"/>
          <w:sz w:val="24"/>
          <w:szCs w:val="24"/>
        </w:rPr>
        <w:t>with low concentrations (&lt;1.0 wt.%) are electrical non-conductivity (insulator).  The conductivity of 1.0 wt.% UPR/rGO composite is 1.3 x 10</w:t>
      </w:r>
      <w:r w:rsidRPr="001A5452">
        <w:rPr>
          <w:rFonts w:ascii="Times New Roman" w:hAnsi="Times New Roman" w:cs="Times New Roman"/>
          <w:sz w:val="24"/>
          <w:szCs w:val="24"/>
          <w:vertAlign w:val="superscript"/>
        </w:rPr>
        <w:t>-4</w:t>
      </w:r>
      <w:r w:rsidRPr="001A5452">
        <w:rPr>
          <w:rFonts w:ascii="Times New Roman" w:hAnsi="Times New Roman" w:cs="Times New Roman"/>
          <w:sz w:val="24"/>
          <w:szCs w:val="24"/>
        </w:rPr>
        <w:t xml:space="preserve"> S 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which is higher than the antistatic criterion (1.0 x 10</w:t>
      </w:r>
      <w:r w:rsidRPr="001A5452">
        <w:rPr>
          <w:rFonts w:ascii="Times New Roman" w:hAnsi="Times New Roman" w:cs="Times New Roman"/>
          <w:sz w:val="24"/>
          <w:szCs w:val="24"/>
          <w:vertAlign w:val="superscript"/>
        </w:rPr>
        <w:t>-6</w:t>
      </w:r>
      <w:r w:rsidRPr="001A5452">
        <w:rPr>
          <w:rFonts w:ascii="Times New Roman" w:hAnsi="Times New Roman" w:cs="Times New Roman"/>
          <w:sz w:val="24"/>
          <w:szCs w:val="24"/>
        </w:rPr>
        <w:t xml:space="preserve"> S 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"10.1023/B:JMSC.0000021439.18202.ea", "ISBN" : "0022-2461", "ISSN" : "00222461", "PMID" : "17450889", "abstract" : "The electrical applications of carbons and their composites are reviewed, with emphasis on applications that are relevant to industrial needs. The applications include electrical conduction, electrical contacts, electrodes, electromagnetic interference shielding, resistance heating, thermoelectricity, sensing, electrical switching, electronic devices and thermal pastes. The carbons include graphite, coke, carbon fibers, carbon filaments, carbon black and flexible graphite.", "author" : [ { "dropping-particle" : "", "family" : "Chung", "given" : "D. D L", "non-dropping-particle" : "", "parse-names" : false, "suffix" : "" } ], "container-title" : "Journal of Materials Science", "id" : "ITEM-1", "issue" : "8", "issued" : { "date-parts" : [ [ "2004" ] ] }, "page" : "2645-2661", "title" : "Review Electrical applications of carbon materials", "type" : "article-journal", "volume" : "39" }, "uris" : [ "http://www.mendeley.com/documents/?uuid=4af90e95-2ff9-47a4-861b-fb033643eecb" ] }, { "id" : "ITEM-2", "itemData" : { "DOI" : "10.1039/c0jm01852j", "ISBN" : "0959-9428", "ISSN" : "0959-9428", "abstract" : "Composite films of chitosan and reduced graphene oxide (RGO) sheets with nacre-like layered structure have been prepared by vacuum filtration of the stable aqueous mixture of both components. The film containing 6 wt% RGO is electrically conductive with a conductivity of 1.2 S m\u22121. Furthermore, it is mechanically strong and ductile; its Young's modulus, tensile strength and elongation at break were measured to be 6.3 \u00b1 0.2 GPa, 206 \u00b1 6 MPa and 6.5 \u00b1 0.6%, respectively. These values partly exceed those of nacre. The high mechanical and electrical properties of chitosan/RGO composite films are mainly attributed to the uniform dispersion of RGO nanofillers in the polymer matrices to form a compact layered structure.", "author" : [ { "dropping-particle" : "", "family" : "Wang", "given" : "Xiluan", "non-dropping-particle" : "", "parse-names" : false, "suffix" : "" }, { "dropping-particle" : "", "family" : "Bai", "given" : "Hua", "non-dropping-particle" : "", "parse-names" : false, "suffix" : "" }, { "dropping-particle" : "", "family" : "Yao", "given" : "Zhiyi", "non-dropping-particle" : "", "parse-names" : false, "suffix" : "" }, { "dropping-particle" : "", "family" : "Liu", "given" : "Anran", "non-dropping-particle" : "", "parse-names" : false, "suffix" : "" }, { "dropping-particle" : "", "family" : "Shi", "given" : "Gaoquan", "non-dropping-particle" : "", "parse-names" : false, "suffix" : "" } ], "container-title" : "Journal of Materials Chemistry", "id" : "ITEM-2", "issue" : "41", "issued" : { "date-parts" : [ [ "2010" ] ] }, "page" : "9032-9036", "title" : "Electrically conductive and mechanically strong biomimetic chitosan/reduced graphene oxide composite films", "type" : "article-journal", "volume" : "20" }, "uris" : [ "http://www.mendeley.com/documents/?uuid=ebb09882-86b3-4b25-8554-920ac4c51689" ] } ], "mendeley" : { "formattedCitation" : "[182,197]", "plainTextFormattedCitation" : "[182,197]", "previouslyFormattedCitation" : "[182,197]"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[182,197]</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The conductivity of the composite increases for 3 orders more of magnitude to 0.52 S m</w:t>
      </w:r>
      <w:r w:rsidRPr="001A5452">
        <w:rPr>
          <w:rFonts w:ascii="Times New Roman" w:hAnsi="Times New Roman" w:cs="Times New Roman"/>
          <w:sz w:val="24"/>
          <w:szCs w:val="24"/>
          <w:vertAlign w:val="superscript"/>
        </w:rPr>
        <w:t xml:space="preserve">-1 </w:t>
      </w:r>
      <w:r w:rsidRPr="001A5452">
        <w:rPr>
          <w:rFonts w:ascii="Times New Roman" w:hAnsi="Times New Roman" w:cs="Times New Roman"/>
          <w:sz w:val="24"/>
          <w:szCs w:val="24"/>
        </w:rPr>
        <w:t>as rGO content increases from 1.0 wt.% to 1.5 wt.%. 2.0 wt.% UPR/rGO composite exhibit the maximum conductivity of 3.08 S m</w:t>
      </w:r>
      <w:r w:rsidRPr="001A5452">
        <w:rPr>
          <w:rFonts w:ascii="Times New Roman" w:hAnsi="Times New Roman" w:cs="Times New Roman"/>
          <w:sz w:val="24"/>
          <w:szCs w:val="24"/>
          <w:vertAlign w:val="superscript"/>
        </w:rPr>
        <w:t xml:space="preserve">-1 </w:t>
      </w:r>
      <w:r w:rsidRPr="001A5452">
        <w:rPr>
          <w:rFonts w:ascii="Times New Roman" w:hAnsi="Times New Roman" w:cs="Times New Roman"/>
          <w:sz w:val="24"/>
          <w:szCs w:val="24"/>
        </w:rPr>
        <w:t xml:space="preserve">which is 4 orders more of magnitude compared to that of 1.0 wt.% UPR/rGO composite. This indicates that rGO content of 1.0 wt.% and above can form an consecutive conductive path through the UPR matrix. The conductivity of UPR/rGO composites increased with increasing rGO content. This is because the conductivity network is getting denser with the increasing rGO content, resulting in a more effective conductivity pathway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"author" : [ { "dropping-particle" : "", "family" : "Kaiser", "given" : "A B", "non-dropping-particle" : "", "parse-names" : false, "suffix" : "" } ], "container-title" : "Reports on Progress of Physics", "id" : "ITEM-1", "issued" : { "date-parts" : [ [ "2001" ] ] }, "page" : "1-49", "title" : "Electronic transport properties of conducting polymers and carbon nanotubes", "type" : "article-journal", "volume" : "64" }, "uris" : [ "http://www.mendeley.com/documents/?uuid=bbbfd032-03f7-48b7-83e4-8841ac241627" ] }, { "id" : "ITEM-2", "itemData" : { "DOI" : "10.1021/ma300450t", "ISBN" : "0024-9297", "ISSN" : "00249297", "abstract" : "Many reported polymer/graphene composites, even some with excellent graphene dispersion, do not possess impressive conductivity, which may be due to the failure in forming interconnected conductive paths. In this work, a kind of bio-based polyester (BE) is synthesized by polycondensation between plant-derived diols and diacids. It is then grafted onto graphene oxide (GO) via the easterification between hydroxyls of BE and carboxyls of GO. Subsequently, the grafted GO is subjected to reduce by vitamin C. Because of the presence of terminal hydroxyl group in both ends of the BE chains and multiple carboxyl groups on GO, the grafts form specific spatial interconnection structure in BE matrix. The resulting BE/graphene composites possess impressive low threshold percolation of electrical conductivity, in combination of high thermal conductivity.", "author" : [ { "dropping-particle" : "", "family" : "Tang", "given" : "Zhenghai", "non-dropping-particle" : "", "parse-names" : false, "suffix" : "" }, { "dropping-particle" : "", "family" : "Kang", "given" : "Hailan", "non-dropping-particle" : "", "parse-names" : false, "suffix" : "" }, { "dropping-particle" : "", "family" : "Shen", "given" : "Zuoli", "non-dropping-particle" : "", "parse-names" : false, "suffix" : "" }, { "dropping-particle" : "", "family" : "Guo", "given" : "Baochun", "non-dropping-particle" : "", "parse-names" : false, "suffix" : "" }, { "dropping-particle" : "", "family" : "Zhang", "given" : "Liqun", "non-dropping-particle" : "", "parse-names" : false, "suffix" : "" }, { "dropping-particle" : "", "family" : "Jia", "given" : "Demin", "non-dropping-particle" : "", "parse-names" : false, "suffix" : "" } ], "container-title" : "Macromolecules", "id" : "ITEM-2", "issue" : "8", "issued" : { "date-parts" : [ [ "2012" ] ] }, "page" : "3444-3451", "title" : "Grafting of polyester onto graphene for electrically and thermally conductive composites", "type" : "article-journal", "volume" : "45" }, "uris" : [ "http://www.mendeley.com/documents/?uuid=e5b51829-2d98-4663-bd4e-b13906c6e80c" ] }, { "id" : "ITEM-3", "itemData" : { "DOI" : "10.1039/c0jm01852j", "ISBN" : "0959-9428", "ISSN" : "0959-9428", "abstract" : "Composite films of chitosan and reduced graphene oxide (RGO) sheets with nacre-like layered structure have been prepared by vacuum filtration of the stable aqueous mixture of both components. The film containing 6 wt% RGO is electrically conductive with a conductivity of 1.2 S m\u22121. Furthermore, it is mechanically strong and ductile; its Young's modulus, tensile strength and elongation at break were measured to be 6.3 \u00b1 0.2 GPa, 206 \u00b1 6 MPa and 6.5 \u00b1 0.6%, respectively. These values partly exceed those of nacre. The high mechanical and electrical properties of chitosan/RGO composite films are mainly attributed to the uniform dispersion of RGO nanofillers in the polymer matrices to form a compact layered structure.", "author" : [ { "dropping-particle" : "", "family" : "Wang", "given" : "Xiluan", "non-dropping-particle" : "", "parse-names" : false, "suffix" : "" }, { "dropping-particle" : "", "family" : "Bai", "given" : "Hua", "non-dropping-particle" : "", "parse-names" : false, "suffix" : "" }, { "dropping-particle" : "", "family" : "Yao", "given" : "Zhiyi", "non-dropping-particle" : "", "parse-names" : false, "suffix" : "" }, { "dropping-particle" : "", "family" : "Liu", "given" : "Anran", "non-dropping-particle" : "", "parse-names" : false, "suffix" : "" }, { "dropping-particle" : "", "family" : "Shi", "given" : "Gaoquan", "non-dropping-particle" : "", "parse-names" : false, "suffix" : "" } ], "container-title" : "Journal of Materials Chemistry", "id" : "ITEM-3", "issue" : "41", "issued" : { "date-parts" : [ [ "2010" ] ] }, "page" : "9032-9036", "title" : "Electrically conductive and mechanically strong biomimetic chitosan/reduced graphene oxide composite films", "type" : "article-journal", "volume" : "20" }, "uris" : [ "http://www.mendeley.com/documents/?uuid=ebb09882-86b3-4b25-8554-920ac4c51689" ] } ], "mendeley" : { "formattedCitation" : "[156,182,198]", "plainTextFormattedCitation" : "[156,182,198]", "previouslyFormattedCitation" : "[156,182,198]"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[156,182,198]</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w:t>
      </w:r>
      <w:r>
        <w:rPr>
          <w:rFonts w:ascii="Times New Roman" w:hAnsi="Times New Roman" w:cs="Times New Roman"/>
          <w:sz w:val="24"/>
          <w:szCs w:val="24"/>
        </w:rPr>
        <w:t xml:space="preserve"> Considering the electrical conductivity of UPR/GO composites in chapter 2, insulating UPR couldn’t be turned into electrically conductive. This confirms </w:t>
      </w:r>
      <w:r w:rsidRPr="002645A8">
        <w:rPr>
          <w:rFonts w:ascii="Times New Roman" w:hAnsi="Times New Roman" w:cs="Times New Roman"/>
          <w:sz w:val="24"/>
          <w:szCs w:val="24"/>
        </w:rPr>
        <w:t>that the electrical conductivity of GO can be restored during reduction by vitamin C.</w:t>
      </w:r>
    </w:p>
    <w:p w14:paraId="5762AD9F" w14:textId="77777777" w:rsidR="00CC25B1" w:rsidRPr="001A5452" w:rsidRDefault="00CC25B1" w:rsidP="00CC25B1">
      <w:pPr>
        <w:spacing w:after="0"/>
        <w:jc w:val="center"/>
        <w:rPr>
          <w:rFonts w:ascii="Times New Roman" w:hAnsi="Times New Roman" w:cs="Times New Roman"/>
        </w:rPr>
      </w:pPr>
      <w:r>
        <w:rPr>
          <w:rFonts w:ascii="Times New Roman" w:hAnsi="Times New Roman" w:cs="Times New Roman"/>
          <w:noProof/>
          <w:lang w:val="en-GB"/>
        </w:rPr>
        <w:drawing>
          <wp:inline distT="0" distB="0" distL="0" distR="0" wp14:anchorId="71661E7A" wp14:editId="7094FF34">
            <wp:extent cx="4108863" cy="373474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7400" cy="3742501"/>
                    </a:xfrm>
                    <a:prstGeom prst="rect">
                      <a:avLst/>
                    </a:prstGeom>
                    <a:noFill/>
                  </pic:spPr>
                </pic:pic>
              </a:graphicData>
            </a:graphic>
          </wp:inline>
        </w:drawing>
      </w:r>
    </w:p>
    <w:p w14:paraId="7FAB804E" w14:textId="4546E7D6" w:rsidR="00CC25B1" w:rsidRDefault="001D475F" w:rsidP="00EC3BE6">
      <w:pPr>
        <w:pStyle w:val="Caption"/>
        <w:jc w:val="center"/>
        <w:rPr>
          <w:rFonts w:cs="Times New Roman"/>
          <w:szCs w:val="24"/>
        </w:rPr>
      </w:pPr>
      <w:bookmarkStart w:id="137" w:name="_Toc502662471"/>
      <w:r>
        <w:t>Figure 4</w:t>
      </w:r>
      <w:r w:rsidR="0084355F">
        <w:t>.</w:t>
      </w:r>
      <w:r w:rsidR="00EC3BE6">
        <w:fldChar w:fldCharType="begin"/>
      </w:r>
      <w:r w:rsidR="00EC3BE6">
        <w:instrText xml:space="preserve"> SEQ Figure_4. \* ARABIC </w:instrText>
      </w:r>
      <w:r w:rsidR="00EC3BE6">
        <w:fldChar w:fldCharType="separate"/>
      </w:r>
      <w:r w:rsidR="00551ED9">
        <w:rPr>
          <w:noProof/>
        </w:rPr>
        <w:t>5</w:t>
      </w:r>
      <w:r w:rsidR="00EC3BE6">
        <w:fldChar w:fldCharType="end"/>
      </w:r>
      <w:r w:rsidR="00CC25B1" w:rsidRPr="00ED799E">
        <w:rPr>
          <w:rFonts w:cs="Times New Roman"/>
          <w:b w:val="0"/>
          <w:szCs w:val="24"/>
        </w:rPr>
        <w:t>.</w:t>
      </w:r>
      <w:r w:rsidR="00CC25B1" w:rsidRPr="00ED799E">
        <w:rPr>
          <w:rFonts w:cs="Times New Roman"/>
          <w:szCs w:val="24"/>
        </w:rPr>
        <w:t xml:space="preserve"> Electrical conductivity of UPR/rGO composites.</w:t>
      </w:r>
      <w:bookmarkEnd w:id="137"/>
    </w:p>
    <w:p w14:paraId="6A2F940F" w14:textId="77777777" w:rsidR="0099783B" w:rsidRDefault="0099783B" w:rsidP="0099783B">
      <w:pPr>
        <w:spacing w:after="0" w:line="480" w:lineRule="auto"/>
        <w:jc w:val="center"/>
        <w:rPr>
          <w:rFonts w:ascii="Times New Roman" w:hAnsi="Times New Roman" w:cs="Times New Roman"/>
          <w:b/>
          <w:sz w:val="28"/>
          <w:szCs w:val="28"/>
        </w:rPr>
      </w:pPr>
    </w:p>
    <w:p w14:paraId="2CB6D917" w14:textId="277F84DD" w:rsidR="0099783B" w:rsidRDefault="0099783B" w:rsidP="0084355F">
      <w:pPr>
        <w:spacing w:after="0" w:line="480" w:lineRule="auto"/>
        <w:jc w:val="center"/>
        <w:rPr>
          <w:rFonts w:ascii="Times New Roman" w:hAnsi="Times New Roman" w:cs="Times New Roman"/>
          <w:b/>
          <w:sz w:val="28"/>
          <w:szCs w:val="28"/>
        </w:rPr>
      </w:pPr>
      <m:oMath>
        <m:r>
          <m:rPr>
            <m:sty m:val="b"/>
          </m:rPr>
          <w:rPr>
            <w:rFonts w:ascii="Cambria Math" w:hAnsi="Cambria Math" w:cs="Times New Roman"/>
            <w:sz w:val="28"/>
            <w:szCs w:val="28"/>
          </w:rPr>
          <m:t xml:space="preserve">Resistivity </m:t>
        </m:r>
        <m:d>
          <m:dPr>
            <m:ctrlPr>
              <w:rPr>
                <w:rFonts w:ascii="Cambria Math" w:hAnsi="Cambria Math" w:cs="Times New Roman"/>
                <w:b/>
                <w:sz w:val="28"/>
                <w:szCs w:val="28"/>
              </w:rPr>
            </m:ctrlPr>
          </m:dPr>
          <m:e>
            <m:r>
              <m:rPr>
                <m:sty m:val="b"/>
              </m:rPr>
              <w:rPr>
                <w:rFonts w:ascii="Cambria Math" w:hAnsi="Cambria Math" w:cs="Times New Roman"/>
                <w:sz w:val="28"/>
                <w:szCs w:val="28"/>
              </w:rPr>
              <m:t>Ω m</m:t>
            </m:r>
          </m:e>
        </m:d>
        <m:r>
          <m:rPr>
            <m:sty m:val="bi"/>
          </m:rPr>
          <w:rPr>
            <w:rFonts w:ascii="Cambria Math" w:hAnsi="Cambria Math" w:cs="Times New Roman"/>
            <w:sz w:val="28"/>
            <w:szCs w:val="28"/>
          </w:rPr>
          <m:t xml:space="preserve">=resistance </m:t>
        </m:r>
        <m:d>
          <m:dPr>
            <m:ctrlPr>
              <w:rPr>
                <w:rFonts w:ascii="Cambria Math" w:hAnsi="Cambria Math" w:cs="Times New Roman"/>
                <w:b/>
                <w:i/>
                <w:sz w:val="28"/>
                <w:szCs w:val="28"/>
              </w:rPr>
            </m:ctrlPr>
          </m:dPr>
          <m:e>
            <m:r>
              <m:rPr>
                <m:sty m:val="bi"/>
              </m:rPr>
              <w:rPr>
                <w:rFonts w:ascii="Cambria Math" w:hAnsi="Cambria Math" w:cs="Times New Roman"/>
                <w:sz w:val="28"/>
                <w:szCs w:val="28"/>
              </w:rPr>
              <m:t>Ω</m:t>
            </m:r>
          </m:e>
        </m:d>
        <m:r>
          <m:rPr>
            <m:sty m:val="bi"/>
          </m:rPr>
          <w:rPr>
            <w:rFonts w:ascii="Cambria Math" w:hAnsi="Cambria Math" w:cs="Times New Roman"/>
            <w:sz w:val="28"/>
            <w:szCs w:val="28"/>
          </w:rPr>
          <m:t xml:space="preserve"> × </m:t>
        </m:r>
        <m:f>
          <m:fPr>
            <m:ctrlPr>
              <w:rPr>
                <w:rFonts w:ascii="Cambria Math" w:hAnsi="Cambria Math" w:cs="Times New Roman"/>
                <w:b/>
                <w:i/>
                <w:sz w:val="28"/>
                <w:szCs w:val="28"/>
              </w:rPr>
            </m:ctrlPr>
          </m:fPr>
          <m:num>
            <m:r>
              <m:rPr>
                <m:sty m:val="bi"/>
              </m:rPr>
              <w:rPr>
                <w:rFonts w:ascii="Cambria Math" w:hAnsi="Cambria Math" w:cs="Times New Roman"/>
                <w:sz w:val="28"/>
                <w:szCs w:val="28"/>
              </w:rPr>
              <m:t>area (</m:t>
            </m:r>
            <m:sSup>
              <m:sSupPr>
                <m:ctrlPr>
                  <w:rPr>
                    <w:rFonts w:ascii="Cambria Math" w:hAnsi="Cambria Math" w:cs="Times New Roman"/>
                    <w:b/>
                    <w:i/>
                    <w:sz w:val="28"/>
                    <w:szCs w:val="28"/>
                  </w:rPr>
                </m:ctrlPr>
              </m:sSupPr>
              <m:e>
                <m:r>
                  <m:rPr>
                    <m:sty m:val="bi"/>
                  </m:rPr>
                  <w:rPr>
                    <w:rFonts w:ascii="Cambria Math" w:hAnsi="Cambria Math" w:cs="Times New Roman"/>
                    <w:sz w:val="28"/>
                    <w:szCs w:val="28"/>
                  </w:rPr>
                  <m:t>m</m:t>
                </m:r>
              </m:e>
              <m:sup>
                <m:r>
                  <m:rPr>
                    <m:sty m:val="bi"/>
                  </m:rPr>
                  <w:rPr>
                    <w:rFonts w:ascii="Cambria Math" w:hAnsi="Cambria Math" w:cs="Times New Roman"/>
                    <w:sz w:val="28"/>
                    <w:szCs w:val="28"/>
                  </w:rPr>
                  <m:t>2</m:t>
                </m:r>
              </m:sup>
            </m:sSup>
            <m:r>
              <m:rPr>
                <m:sty m:val="bi"/>
              </m:rPr>
              <w:rPr>
                <w:rFonts w:ascii="Cambria Math" w:hAnsi="Cambria Math" w:cs="Times New Roman"/>
                <w:sz w:val="28"/>
                <w:szCs w:val="28"/>
              </w:rPr>
              <m:t>)</m:t>
            </m:r>
          </m:num>
          <m:den>
            <m:r>
              <m:rPr>
                <m:sty m:val="bi"/>
              </m:rPr>
              <w:rPr>
                <w:rFonts w:ascii="Cambria Math" w:hAnsi="Cambria Math" w:cs="Times New Roman"/>
                <w:sz w:val="28"/>
                <w:szCs w:val="28"/>
              </w:rPr>
              <m:t>length (m)</m:t>
            </m:r>
          </m:den>
        </m:f>
      </m:oMath>
      <w:r>
        <w:rPr>
          <w:rFonts w:ascii="Times New Roman" w:hAnsi="Times New Roman" w:cs="Times New Roman"/>
          <w:b/>
          <w:sz w:val="28"/>
          <w:szCs w:val="28"/>
        </w:rPr>
        <w:t xml:space="preserve">      (</w:t>
      </w:r>
      <w:r w:rsidR="001D475F">
        <w:rPr>
          <w:rFonts w:ascii="Times New Roman" w:hAnsi="Times New Roman" w:cs="Times New Roman"/>
          <w:b/>
          <w:sz w:val="28"/>
          <w:szCs w:val="28"/>
        </w:rPr>
        <w:t>4</w:t>
      </w:r>
      <w:r w:rsidR="0084355F">
        <w:rPr>
          <w:rFonts w:ascii="Times New Roman" w:hAnsi="Times New Roman" w:cs="Times New Roman"/>
          <w:b/>
          <w:sz w:val="28"/>
          <w:szCs w:val="28"/>
        </w:rPr>
        <w:t>.</w:t>
      </w:r>
      <w:r>
        <w:rPr>
          <w:rFonts w:ascii="Times New Roman" w:hAnsi="Times New Roman" w:cs="Times New Roman"/>
          <w:b/>
          <w:sz w:val="28"/>
          <w:szCs w:val="28"/>
        </w:rPr>
        <w:t>1)</w:t>
      </w:r>
    </w:p>
    <w:p w14:paraId="1B762564" w14:textId="0376207F" w:rsidR="001B7B3F" w:rsidRPr="001D475F" w:rsidRDefault="00BC0920" w:rsidP="001D475F">
      <w:pPr>
        <w:spacing w:after="0" w:line="480" w:lineRule="auto"/>
        <w:jc w:val="both"/>
        <w:rPr>
          <w:rFonts w:ascii="Times New Roman" w:hAnsi="Times New Roman" w:cs="Times New Roman"/>
          <w:sz w:val="28"/>
          <w:szCs w:val="28"/>
        </w:rPr>
      </w:pPr>
      <w:r w:rsidRPr="001D475F">
        <w:rPr>
          <w:rFonts w:ascii="Times New Roman" w:hAnsi="Times New Roman" w:cs="Times New Roman"/>
          <w:sz w:val="28"/>
          <w:szCs w:val="28"/>
        </w:rPr>
        <w:t>For composites, the electrical percolation threshold can be calculated by sim</w:t>
      </w:r>
      <w:r w:rsidR="00DF245E">
        <w:rPr>
          <w:rFonts w:ascii="Times New Roman" w:hAnsi="Times New Roman" w:cs="Times New Roman"/>
          <w:sz w:val="28"/>
          <w:szCs w:val="28"/>
        </w:rPr>
        <w:t xml:space="preserve">ple power-law expression </w:t>
      </w:r>
      <w:r w:rsidR="00AB6160">
        <w:rPr>
          <w:rFonts w:ascii="Times New Roman" w:hAnsi="Times New Roman" w:cs="Times New Roman"/>
          <w:sz w:val="24"/>
          <w:szCs w:val="24"/>
        </w:rPr>
        <w:t>(equation</w:t>
      </w:r>
      <w:r w:rsidR="00DF245E" w:rsidRPr="001A5452">
        <w:rPr>
          <w:rFonts w:ascii="Times New Roman" w:hAnsi="Times New Roman" w:cs="Times New Roman"/>
          <w:sz w:val="24"/>
          <w:szCs w:val="24"/>
        </w:rPr>
        <w:t xml:space="preserve"> (</w:t>
      </w:r>
      <w:r w:rsidR="00DF245E">
        <w:rPr>
          <w:rFonts w:ascii="Times New Roman" w:hAnsi="Times New Roman" w:cs="Times New Roman"/>
          <w:sz w:val="24"/>
          <w:szCs w:val="24"/>
        </w:rPr>
        <w:t xml:space="preserve">4.2), </w:t>
      </w:r>
      <w:r w:rsidRPr="001D475F">
        <w:rPr>
          <w:rFonts w:ascii="Times New Roman" w:hAnsi="Times New Roman" w:cs="Times New Roman"/>
          <w:sz w:val="28"/>
          <w:szCs w:val="28"/>
        </w:rPr>
        <w:t>in which σ</w:t>
      </w:r>
      <w:r w:rsidRPr="001D475F">
        <w:rPr>
          <w:rFonts w:ascii="Times New Roman" w:hAnsi="Times New Roman" w:cs="Times New Roman"/>
          <w:sz w:val="28"/>
          <w:szCs w:val="28"/>
          <w:vertAlign w:val="subscript"/>
        </w:rPr>
        <w:t>c</w:t>
      </w:r>
      <w:r w:rsidRPr="001D475F">
        <w:rPr>
          <w:rFonts w:ascii="Times New Roman" w:hAnsi="Times New Roman" w:cs="Times New Roman"/>
          <w:sz w:val="28"/>
          <w:szCs w:val="28"/>
        </w:rPr>
        <w:t xml:space="preserve"> is the electrical conductivity of composite, σ</w:t>
      </w:r>
      <w:r w:rsidRPr="001D475F">
        <w:rPr>
          <w:rFonts w:ascii="Times New Roman" w:hAnsi="Times New Roman" w:cs="Times New Roman"/>
          <w:sz w:val="28"/>
          <w:szCs w:val="28"/>
          <w:vertAlign w:val="subscript"/>
        </w:rPr>
        <w:t xml:space="preserve">f </w:t>
      </w:r>
      <w:r w:rsidRPr="001D475F">
        <w:rPr>
          <w:rFonts w:ascii="Times New Roman" w:hAnsi="Times New Roman" w:cs="Times New Roman"/>
          <w:sz w:val="28"/>
          <w:szCs w:val="28"/>
        </w:rPr>
        <w:t>is the electrical conductivity of filler, φ is the filler volume, and φ</w:t>
      </w:r>
      <w:r w:rsidRPr="001D475F">
        <w:rPr>
          <w:rFonts w:ascii="Times New Roman" w:hAnsi="Times New Roman" w:cs="Times New Roman"/>
          <w:sz w:val="28"/>
          <w:szCs w:val="28"/>
          <w:vertAlign w:val="subscript"/>
        </w:rPr>
        <w:t xml:space="preserve">c </w:t>
      </w:r>
      <w:r w:rsidRPr="001D475F">
        <w:rPr>
          <w:rFonts w:ascii="Times New Roman" w:hAnsi="Times New Roman" w:cs="Times New Roman"/>
          <w:sz w:val="28"/>
          <w:szCs w:val="28"/>
        </w:rPr>
        <w:t>is the electrical percolation threshold, τ is the universal critical exponent</w:t>
      </w:r>
      <w:r w:rsidR="0076089E" w:rsidRPr="001D475F">
        <w:rPr>
          <w:rFonts w:ascii="Times New Roman" w:hAnsi="Times New Roman" w:cs="Times New Roman"/>
          <w:sz w:val="28"/>
          <w:szCs w:val="28"/>
        </w:rPr>
        <w:t xml:space="preserve"> </w:t>
      </w:r>
      <w:r w:rsidR="0076089E" w:rsidRPr="001D475F">
        <w:rPr>
          <w:rFonts w:ascii="Times New Roman" w:hAnsi="Times New Roman" w:cs="Times New Roman"/>
          <w:sz w:val="24"/>
          <w:szCs w:val="24"/>
        </w:rPr>
        <w:fldChar w:fldCharType="begin" w:fldLock="1"/>
      </w:r>
      <w:r w:rsidR="008F0DFC" w:rsidRPr="001D475F">
        <w:rPr>
          <w:rFonts w:ascii="Times New Roman" w:hAnsi="Times New Roman" w:cs="Times New Roman"/>
          <w:sz w:val="24"/>
          <w:szCs w:val="24"/>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"id" : "ITEM-2", "itemData" : { "DOI" : "10.1038/nature04969", "ISBN" : "1476-4687 (Electronic)\\r0028-0836 (Linking)", "ISSN" : "0028-0836", "PMID" : "16855586", "abstract" : "Graphene sheets--one-atom-thick two-dimensional layers of sp2-bonded carbon--are predicted to have a range of unusual properties. Their thermal conductivity and mechanical stiffness may rival the remarkable in-plane values for graphite (approximately 3,000 W m(-1) K(-1) and 1,060 GPa, respectively); their fracture strength should be comparable to that of carbon nanotubes for similar types of defects; and recent studies have shown that individual graphene sheets have extraordinary electronic transport properties. One possible route to harnessing these properties for applications would be to incorporate graphene sheets in a composite material. The manufacturing of such composites requires not only that graphene sheets be produced on a sufficient scale but that they also be incorporated, and homogeneously distributed, into various matrices. Graphite, inexpensive and available in large quantity, unfortunately does not readily exfoliate to yield individual graphene sheets. Here we present a general approach for the preparation of graphene-polymer composites via complete exfoliation of graphite and molecular-level dispersion of individual, chemically modified graphene sheets within polymer hosts. A polystyrene-graphene composite formed by this route exhibits a percolation threshold of approximately 0.1 volume per cent for room-temperature electrical conductivity, the lowest reported value for any carbon-based composite except for those involving carbon nanotubes; at only 1 volume per cent, this composite has a conductivity of approximately 0.1 S m(-1), sufficient for many electrical applications. Our bottom-up chemical approach of tuning the graphene sheet properties provides a path to a broad new class of graphene-based materials and their use in a variety of applications.", "author" : [ { "dropping-particle" : "", "family" : "Stankovich", "given" : "Sasha", "non-dropping-particle" : "", "parse-names" : false, "suffix" : "" }, { "dropping-particle" : "", "family" : "Dikin", "given" : "Dmitriy A.", "non-dropping-particle" : "", "parse-names" : false, "suffix" : "" }, { "dropping-particle" : "", "family" : "Dommett", "given" : "Geoffrey H B", "non-dropping-particle" : "", "parse-names" : false, "suffix" : "" }, { "dropping-particle" : "", "family" : "Kohlhaas", "given" : "Kevin M.", "non-dropping-particle" : "", "parse-names" : false, "suffix" : "" }, { "dropping-particle" : "", "family" : "Zimney", "given" : "Eric J.", "non-dropping-particle" : "", "parse-names" : false, "suffix" : "" }, { "dropping-particle" : "", "family" : "Stach", "given" : "Eric A.", "non-dropping-particle" : "", "parse-names" : false, "suffix" : "" }, { "dropping-particle" : "", "family" : "Piner", "given" : "Richard D.", "non-dropping-particle" : "", "parse-names" : false, "suffix" : "" }, { "dropping-particle" : "", "family" : "Nguyen", "given" : "SonBinh Binh T", "non-dropping-particle" : "", "parse-names" : false, "suffix" : "" }, { "dropping-particle" : "", "family" : "Ruoff", "given" : "Rodney S.", "non-dropping-particle" : "", "parse-names" : false, "suffix" : "" } ], "container-title" : "Nature", "id" : "ITEM-2", "issued" : { "date-parts" : [ [ "2006" ] ] }, "page" : "282-286", "title" : "Graphene-based composite materials", "type" : "article-journal", "volume" : "442" }, "uris" : [ "http://www.mendeley.com/documents/?uuid=16f87648-7759-4a98-8832-e8964431e15c" ] } ], "mendeley" : { "formattedCitation" : "[61,151]", "plainTextFormattedCitation" : "[61,151]", "previouslyFormattedCitation" : "[61,151]" }, "properties" : {  }, "schema" : "https://github.com/citation-style-language/schema/raw/master/csl-citation.json" }</w:instrText>
      </w:r>
      <w:r w:rsidR="0076089E" w:rsidRPr="001D475F">
        <w:rPr>
          <w:rFonts w:ascii="Times New Roman" w:hAnsi="Times New Roman" w:cs="Times New Roman"/>
          <w:sz w:val="24"/>
          <w:szCs w:val="24"/>
        </w:rPr>
        <w:fldChar w:fldCharType="separate"/>
      </w:r>
      <w:r w:rsidR="0076089E" w:rsidRPr="001D475F">
        <w:rPr>
          <w:rFonts w:ascii="Times New Roman" w:hAnsi="Times New Roman" w:cs="Times New Roman"/>
          <w:noProof/>
          <w:sz w:val="24"/>
          <w:szCs w:val="24"/>
        </w:rPr>
        <w:t>[61,151]</w:t>
      </w:r>
      <w:r w:rsidR="0076089E" w:rsidRPr="001D475F">
        <w:rPr>
          <w:rFonts w:ascii="Times New Roman" w:hAnsi="Times New Roman" w:cs="Times New Roman"/>
          <w:sz w:val="24"/>
          <w:szCs w:val="24"/>
        </w:rPr>
        <w:fldChar w:fldCharType="end"/>
      </w:r>
      <w:r w:rsidRPr="001D475F">
        <w:rPr>
          <w:rFonts w:ascii="Times New Roman" w:hAnsi="Times New Roman" w:cs="Times New Roman"/>
          <w:sz w:val="28"/>
          <w:szCs w:val="28"/>
        </w:rPr>
        <w:t>. According to the electrical conductivity of 1 wt.%, 1.5 wt.%, and 2 wt.% obtained from electrical tests, the electrical threshold is around 0.8 wt.%.</w:t>
      </w:r>
    </w:p>
    <w:p w14:paraId="17687086" w14:textId="4D4FB3A3" w:rsidR="00BC0920" w:rsidRPr="001D475F" w:rsidRDefault="00B72F48" w:rsidP="00BC0920">
      <w:pPr>
        <w:spacing w:after="0" w:line="480" w:lineRule="auto"/>
        <w:ind w:firstLine="284"/>
        <w:jc w:val="center"/>
        <w:rPr>
          <w:rFonts w:ascii="Times New Roman" w:hAnsi="Times New Roman" w:cs="Times New Roman"/>
          <w:b/>
          <w:sz w:val="24"/>
          <w:szCs w:val="24"/>
        </w:rPr>
      </w:pPr>
      <m:oMath>
        <m:sSub>
          <m:sSubPr>
            <m:ctrlPr>
              <w:rPr>
                <w:rFonts w:ascii="Cambria Math" w:hAnsi="Cambria Math" w:cs="Times New Roman"/>
                <w:b/>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 xml:space="preserve">c  </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 xml:space="preserve">f  </m:t>
            </m:r>
          </m:sub>
        </m:sSub>
        <m:sSup>
          <m:sSupPr>
            <m:ctrlPr>
              <w:rPr>
                <w:rFonts w:ascii="Cambria Math" w:hAnsi="Cambria Math" w:cs="Times New Roman"/>
                <w:b/>
                <w:i/>
                <w:sz w:val="24"/>
                <w:szCs w:val="24"/>
              </w:rPr>
            </m:ctrlPr>
          </m:sSupPr>
          <m:e>
            <m:r>
              <m:rPr>
                <m:sty m:val="bi"/>
              </m:rPr>
              <w:rPr>
                <w:rFonts w:ascii="Cambria Math" w:hAnsi="Cambria Math" w:cs="Times New Roman"/>
                <w:sz w:val="24"/>
                <w:szCs w:val="24"/>
              </w:rPr>
              <m:t xml:space="preserve">(φ -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φ</m:t>
                </m:r>
              </m:e>
              <m:sub>
                <m:r>
                  <m:rPr>
                    <m:sty m:val="bi"/>
                  </m:rPr>
                  <w:rPr>
                    <w:rFonts w:ascii="Cambria Math" w:hAnsi="Cambria Math" w:cs="Times New Roman"/>
                    <w:sz w:val="24"/>
                    <w:szCs w:val="24"/>
                  </w:rPr>
                  <m:t>c</m:t>
                </m:r>
              </m:sub>
            </m:sSub>
            <m:r>
              <m:rPr>
                <m:sty m:val="bi"/>
              </m:rPr>
              <w:rPr>
                <w:rFonts w:ascii="Cambria Math" w:hAnsi="Cambria Math" w:cs="Times New Roman"/>
                <w:sz w:val="24"/>
                <w:szCs w:val="24"/>
              </w:rPr>
              <m:t>)</m:t>
            </m:r>
          </m:e>
          <m:sup>
            <m:r>
              <m:rPr>
                <m:sty m:val="bi"/>
              </m:rPr>
              <w:rPr>
                <w:rFonts w:ascii="Cambria Math" w:hAnsi="Cambria Math" w:cs="Times New Roman"/>
                <w:sz w:val="24"/>
                <w:szCs w:val="24"/>
              </w:rPr>
              <m:t>t</m:t>
            </m:r>
          </m:sup>
        </m:sSup>
      </m:oMath>
      <w:r w:rsidR="001D475F">
        <w:rPr>
          <w:rFonts w:ascii="Times New Roman" w:hAnsi="Times New Roman" w:cs="Times New Roman"/>
          <w:b/>
          <w:sz w:val="24"/>
          <w:szCs w:val="24"/>
        </w:rPr>
        <w:t xml:space="preserve">              (4</w:t>
      </w:r>
      <w:r w:rsidR="00BC0920" w:rsidRPr="001D475F">
        <w:rPr>
          <w:rFonts w:ascii="Times New Roman" w:hAnsi="Times New Roman" w:cs="Times New Roman"/>
          <w:b/>
          <w:sz w:val="24"/>
          <w:szCs w:val="24"/>
        </w:rPr>
        <w:t>.2)</w:t>
      </w:r>
    </w:p>
    <w:p w14:paraId="25659750" w14:textId="77777777" w:rsidR="00BC0920" w:rsidRPr="00BC0920" w:rsidRDefault="00BC0920" w:rsidP="001B7B3F">
      <w:pPr>
        <w:spacing w:after="0" w:line="480" w:lineRule="auto"/>
        <w:rPr>
          <w:rFonts w:ascii="Times New Roman" w:hAnsi="Times New Roman" w:cs="Times New Roman"/>
          <w:sz w:val="28"/>
          <w:szCs w:val="28"/>
        </w:rPr>
      </w:pPr>
    </w:p>
    <w:p w14:paraId="0B8C0FB0" w14:textId="0DFB1076" w:rsidR="00CC25B1" w:rsidRPr="001A5452" w:rsidRDefault="00DF245E" w:rsidP="00CC25B1">
      <w:pPr>
        <w:pStyle w:val="Heading2"/>
        <w:tabs>
          <w:tab w:val="left" w:pos="3052"/>
        </w:tabs>
        <w:spacing w:before="0"/>
        <w:rPr>
          <w:rFonts w:cs="Times New Roman"/>
          <w:szCs w:val="24"/>
        </w:rPr>
      </w:pPr>
      <w:bookmarkStart w:id="138" w:name="_Toc518823301"/>
      <w:r>
        <w:rPr>
          <w:rFonts w:cs="Times New Roman"/>
          <w:szCs w:val="24"/>
        </w:rPr>
        <w:t>4</w:t>
      </w:r>
      <w:r w:rsidR="004D0F8E">
        <w:rPr>
          <w:rFonts w:cs="Times New Roman"/>
          <w:szCs w:val="24"/>
        </w:rPr>
        <w:t>.</w:t>
      </w:r>
      <w:r w:rsidR="002E496B">
        <w:rPr>
          <w:rFonts w:cs="Times New Roman"/>
          <w:szCs w:val="24"/>
        </w:rPr>
        <w:t>3.</w:t>
      </w:r>
      <w:r w:rsidR="002E496B">
        <w:rPr>
          <w:rFonts w:cs="Times New Roman" w:hint="eastAsia"/>
          <w:szCs w:val="24"/>
        </w:rPr>
        <w:t>4</w:t>
      </w:r>
      <w:r w:rsidR="00CC25B1" w:rsidRPr="001A5452">
        <w:rPr>
          <w:rFonts w:cs="Times New Roman"/>
          <w:szCs w:val="24"/>
        </w:rPr>
        <w:t>. Thermal conductivities of UPR and URP/rGO composites</w:t>
      </w:r>
      <w:bookmarkEnd w:id="138"/>
    </w:p>
    <w:p w14:paraId="17428238" w14:textId="7F085083" w:rsidR="00CC25B1" w:rsidRPr="001A5452" w:rsidRDefault="00CC25B1" w:rsidP="00CC25B1">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The thermal conductivities of UPR and UPR/rGO composites are measured by a thermal conductivity analyzer at various temperature</w:t>
      </w:r>
      <w:r>
        <w:rPr>
          <w:rFonts w:ascii="Times New Roman" w:hAnsi="Times New Roman" w:cs="Times New Roman"/>
          <w:sz w:val="24"/>
          <w:szCs w:val="24"/>
        </w:rPr>
        <w:t>s</w:t>
      </w:r>
      <w:r w:rsidRPr="001A5452">
        <w:rPr>
          <w:rFonts w:ascii="Times New Roman" w:hAnsi="Times New Roman" w:cs="Times New Roman"/>
          <w:sz w:val="24"/>
          <w:szCs w:val="24"/>
        </w:rPr>
        <w:t xml:space="preserve"> </w:t>
      </w:r>
      <w:r>
        <w:rPr>
          <w:rFonts w:ascii="Times New Roman" w:hAnsi="Times New Roman" w:cs="Times New Roman"/>
          <w:sz w:val="24"/>
          <w:szCs w:val="24"/>
        </w:rPr>
        <w:t xml:space="preserve">of </w:t>
      </w:r>
      <w:r w:rsidRPr="001A5452">
        <w:rPr>
          <w:rFonts w:ascii="Times New Roman" w:hAnsi="Times New Roman" w:cs="Times New Roman"/>
          <w:sz w:val="24"/>
          <w:szCs w:val="24"/>
        </w:rPr>
        <w:t xml:space="preserve">50 °C, 70 °C, 90 °C, and 110 °C. The thermal conductivity as a function of </w:t>
      </w:r>
      <w:r w:rsidR="0098706E">
        <w:rPr>
          <w:rFonts w:ascii="Times New Roman" w:hAnsi="Times New Roman" w:cs="Times New Roman"/>
          <w:sz w:val="24"/>
          <w:szCs w:val="24"/>
        </w:rPr>
        <w:t xml:space="preserve">temperature is shown in Figure </w:t>
      </w:r>
      <w:r w:rsidR="006C2A20">
        <w:rPr>
          <w:rFonts w:ascii="Times New Roman" w:hAnsi="Times New Roman" w:cs="Times New Roman" w:hint="eastAsia"/>
          <w:sz w:val="24"/>
          <w:szCs w:val="24"/>
        </w:rPr>
        <w:t>4</w:t>
      </w:r>
      <w:r w:rsidR="0098706E">
        <w:rPr>
          <w:rFonts w:ascii="Times New Roman" w:hAnsi="Times New Roman" w:cs="Times New Roman" w:hint="eastAsia"/>
          <w:sz w:val="24"/>
          <w:szCs w:val="24"/>
        </w:rPr>
        <w:t>.6</w:t>
      </w:r>
      <w:r w:rsidRPr="001A5452">
        <w:rPr>
          <w:rFonts w:ascii="Times New Roman" w:hAnsi="Times New Roman" w:cs="Times New Roman"/>
          <w:sz w:val="24"/>
          <w:szCs w:val="24"/>
        </w:rPr>
        <w:t>, and the r</w:t>
      </w:r>
      <w:r w:rsidR="0098706E">
        <w:rPr>
          <w:rFonts w:ascii="Times New Roman" w:hAnsi="Times New Roman" w:cs="Times New Roman"/>
          <w:sz w:val="24"/>
          <w:szCs w:val="24"/>
        </w:rPr>
        <w:t xml:space="preserve">esults are summarized in Table </w:t>
      </w:r>
      <w:r w:rsidR="006C2A20">
        <w:rPr>
          <w:rFonts w:ascii="Times New Roman" w:hAnsi="Times New Roman" w:cs="Times New Roman" w:hint="eastAsia"/>
          <w:sz w:val="24"/>
          <w:szCs w:val="24"/>
        </w:rPr>
        <w:t>4</w:t>
      </w:r>
      <w:r w:rsidR="0098706E">
        <w:rPr>
          <w:rFonts w:ascii="Times New Roman" w:hAnsi="Times New Roman" w:cs="Times New Roman" w:hint="eastAsia"/>
          <w:sz w:val="24"/>
          <w:szCs w:val="24"/>
        </w:rPr>
        <w:t>.2</w:t>
      </w:r>
      <w:r w:rsidR="0098706E">
        <w:rPr>
          <w:rFonts w:ascii="Times New Roman" w:hAnsi="Times New Roman" w:cs="Times New Roman"/>
          <w:sz w:val="24"/>
          <w:szCs w:val="24"/>
        </w:rPr>
        <w:t xml:space="preserve">. As shown in Figure </w:t>
      </w:r>
      <w:r w:rsidR="006C2A20">
        <w:rPr>
          <w:rFonts w:ascii="Times New Roman" w:hAnsi="Times New Roman" w:cs="Times New Roman" w:hint="eastAsia"/>
          <w:sz w:val="24"/>
          <w:szCs w:val="24"/>
        </w:rPr>
        <w:t>4</w:t>
      </w:r>
      <w:r w:rsidR="0098706E">
        <w:rPr>
          <w:rFonts w:ascii="Times New Roman" w:hAnsi="Times New Roman" w:cs="Times New Roman" w:hint="eastAsia"/>
          <w:sz w:val="24"/>
          <w:szCs w:val="24"/>
        </w:rPr>
        <w:t>.6</w:t>
      </w:r>
      <w:r w:rsidRPr="001A5452">
        <w:rPr>
          <w:rFonts w:ascii="Times New Roman" w:hAnsi="Times New Roman" w:cs="Times New Roman"/>
          <w:sz w:val="24"/>
          <w:szCs w:val="24"/>
        </w:rPr>
        <w:t>, the thermal conductivities increase with the increasing temp</w:t>
      </w:r>
      <w:r w:rsidR="002D50C5">
        <w:rPr>
          <w:rFonts w:ascii="Times New Roman" w:hAnsi="Times New Roman" w:cs="Times New Roman"/>
          <w:sz w:val="24"/>
          <w:szCs w:val="24"/>
        </w:rPr>
        <w:t>erature. This is because the nu</w:t>
      </w:r>
      <w:r w:rsidR="002D50C5" w:rsidRPr="001A5452">
        <w:rPr>
          <w:rFonts w:ascii="Times New Roman" w:hAnsi="Times New Roman" w:cs="Times New Roman"/>
          <w:sz w:val="24"/>
          <w:szCs w:val="24"/>
        </w:rPr>
        <w:t>mber</w:t>
      </w:r>
      <w:r w:rsidRPr="001A5452">
        <w:rPr>
          <w:rFonts w:ascii="Times New Roman" w:hAnsi="Times New Roman" w:cs="Times New Roman"/>
          <w:sz w:val="24"/>
          <w:szCs w:val="24"/>
        </w:rPr>
        <w:t xml:space="preserve"> of active phonon increases with increasing temperatures, resulting in an increasing interaction between different phonons in polymer with a lower thermal interfacial barrier resistance which is the barrier to the heat flow </w:t>
      </w:r>
      <w:r w:rsidRPr="001A5452">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"10.1002/pol.1961.1205015413", "ISBN" : "1542-6238", "ISSN" : "00223832", "author" : [ { "dropping-particle" : "", "family" : "Kline", "given" : "Donald E", "non-dropping-particle" : "", "parse-names" : false, "suffix" : "" } ], "container-title" : "Journal of polymer science", "id" : "ITEM-1", "issue" : "154", "issued" : { "date-parts" : [ [ "1961" ] ] }, "page" : "441-450", "title" : "Thermal conductivity studies of polymers", "type" : "article-journal", "volume" : "50" }, "uris" : [ "http://www.mendeley.com/documents/?uuid=f6e5784c-7821-414d-a93c-763ab5169089" ] } ], "mendeley" : { "formattedCitation" : "[89]", "plainTextFormattedCitation" : "[89]", "previouslyFormattedCitation" : "[89]" }, "properties" : {  }, "schema" : "https://github.com/citation-style-language/schema/raw/master/csl-citation.json" }</w:instrText>
      </w:r>
      <w:r w:rsidRPr="001A5452">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[89]</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Theoretically, </w:t>
      </w:r>
      <w:r>
        <w:rPr>
          <w:rFonts w:ascii="Times New Roman" w:hAnsi="Times New Roman" w:cs="Times New Roman"/>
          <w:sz w:val="24"/>
          <w:szCs w:val="24"/>
        </w:rPr>
        <w:t>t</w:t>
      </w:r>
      <w:r w:rsidRPr="001A5452">
        <w:rPr>
          <w:rFonts w:ascii="Times New Roman" w:hAnsi="Times New Roman" w:cs="Times New Roman"/>
          <w:sz w:val="24"/>
          <w:szCs w:val="24"/>
        </w:rPr>
        <w:t xml:space="preserve">he thermal conductivity of polymer composite is affected by the reinforcement structure, the matrix, the dispersion quality and the thermal interfacial resistance between fillers and matrix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"10.1016/j.carbon.2009.08.047", "ISBN" : "0008-6223", "ISSN" : "00086223", "abstract" : "Direct functionalized carbon nanotubes (CNTs) were utilized to form the heat flow network for epoxy composites through covalent integration. A method of preparing a fully heat flow network between benzenetricarboxylic acid grafted multi-walled carbon nanotubes (BTC-MWCNTs) and epoxy matrix is described. A Friedel-Crafts modification was used to functionalize MWCNTs effectively and without damaging the MWCNT surface. Raman spectra, X-ray photoelectron spectra and thermogravimetric analysis reveal the characteristics of functionalized MWCNTs. The scanning electron microscope images of the fracture surfaces of the epoxy matrix showed BTC-MWCNTs exhibited higher solubility and compatibility than pristine-MWCNTs. The MWCNTs/epoxy composites were prepared by mixing BTC-MWCNTs and epoxy resin in tetrahydrofuran, followed by a cross-linking reaction with a curing agent. The BTC was grafted onto the MWCNTs, creating a rigid covalent bond between MWCNTs and epoxy resin and forming an effective network for heat flow. The effect of functionalized MWCNTs on the formation of the heat flow network and thermal conductivity was also investigated. The thermal conductivity of composites exhibits a significant improvement from 0.13 to 0.96W/mK (an increase of 684%) with the addition of a small quantity (1-5vol%) of BTC-MWCNTs.", "author" : [ { "dropping-particle" : "", "family" : "Yang", "given" : "Shin-Yi", "non-dropping-particle" : "", "parse-names" : false, "suffix" : "" }, { "dropping-particle" : "", "family" : "Ma", "given" : "Chen-Chi M.", "non-dropping-particle" : "", "parse-names" : false, "suffix" : "" }, { "dropping-particle" : "", "family" : "Teng", "given" : "Chih-Chun", "non-dropping-particle" : "", "parse-names" : false, "suffix" : "" }, { "dropping-particle" : "", "family" : "Huang", "given" : "Yen-Wei", "non-dropping-particle" : "", "parse-names" : false, "suffix" : "" }, { "dropping-particle" : "", "family" : "Liao", "given" : "Shu-Hang", "non-dropping-particle" : "", "parse-names" : false, "suffix" : "" }, { "dropping-particle" : "", "family" : "Huang", "given" : "Yuan-Li", "non-dropping-particle" : "", "parse-names" : false, "suffix" : "" }, { "dropping-particle" : "", "family" : "Tien", "given" : "Hsi-Wen", "non-dropping-particle" : "", "parse-names" : false, "suffix" : "" }, { "dropping-particle" : "", "family" : "Lee", "given" : "Tzong-Ming", "non-dropping-particle" : "", "parse-names" : false, "suffix" : "" }, { "dropping-particle" : "", "family" : "Chiou", "given" : "Kuo-Chan", "non-dropping-particle" : "", "parse-names" : false, "suffix" : "" } ], "container-title" : "Carbon", "id" : "ITEM-1", "issue" : "3", "issued" : { "date-parts" : [ [ "2010" ] ] }, "page" : "592-603", "publisher" : "Elsevier Ltd", "title" : "Effect of functionalized carbon nanotubes on the thermal conductivity of epoxy composites", "type" : "article-journal", "volume" : "48" }, "uris" : [ "http://www.mendeley.com/documents/?uuid=d99a2c1b-8161-4a69-98c8-e1a11b5da0bd" ] }, { "id" : "ITEM-2", "itemData" : { "DOI" : "10.1016/j.carbon.2010.10.014", "ISBN" : "00086223", "ISSN" : "00086223", "abstract" : "A remarkable synergetic effect between the multi-graphene platelets (MGPs) and multi-walled carbon nanotubes (MWCNTs) in improving the mechanical properties and thermal conductivity of epoxy composites is demonstrated. Stacking of individual two-dimensional MGPs is effectively inhibited by introducing one-dimensional MWCNTs. Long and tortuous MWCNTs can bridge adjacent MGPs and inhibit their aggregation, resulting in a high contact area between the MGP/MWCNT structures and the polymer matrix. Scanning electron microscope images of the fracture surfaces of the epoxy matrix showed that MWCNT/MGP hybrid nanofillers exhibited higher solubility and better compatibility than individual MWCNTs and MGPs did. The tensile strength of GD400-MWCNT/MGP/epoxy composites was 35.4% higher than that of the epoxy alone, compared to only a 0.9% increase in tensile strength for MGP/epoxy composites over the epoxy compound. Thermal conductivity increased by 146.9% using GD400-MWCNT/MGP hybrid fillers and 23.9% for MGP fillers, compared to non-derivatised epoxy. ?? 2010 Elsevier Ltd. All rights reserved.", "author" : [ { "dropping-particle" : "", "family" : "Yang", "given" : "Shin Yi", "non-dropping-particle" : "", "parse-names" : false, "suffix" : "" }, { "dropping-particle" : "", "family" : "Lin", "given" : "Wei Ning", "non-dropping-particle" : "", "parse-names" : false, "suffix" : "" }, { "dropping-particle" : "", "family" : "Huang", "given" : "Yuan Li", "non-dropping-particle" : "", "parse-names" : false, "suffix" : "" }, { "dropping-particle" : "", "family" : "Tien", "given" : "Hsi Wen", "non-dropping-particle" : "", "parse-names" : false, "suffix" : "" }, { "dropping-particle" : "", "family" : "Wang", "given" : "Jeng Yu", "non-dropping-particle" : "", "parse-names" : false, "suffix" : "" }, { "dropping-particle" : "", "family" : "Ma", "given" : "Chen Chi M", "non-dropping-particle" : "", "parse-names" : false, "suffix" : "" }, { "dropping-particle" : "", "family" : "Li", "given" : "Shin Ming", "non-dropping-particle" : "", "parse-names" : false, "suffix" : "" }, { "dropping-particle" : "", "family" : "Wang", "given" : "Yu Sheng", "non-dropping-particle" : "", "parse-names" : false, "suffix" : "" } ], "container-title" : "Carbon", "id" : "ITEM-2", "issue" : "3", "issued" : { "date-parts" : [ [ "2011" ] ] }, "page" : "793-803", "publisher" : "Elsevier Ltd", "title" : "Synergetic effects of graphene platelets and carbon nanotubes on the mechanical and thermal properties of epoxy composites", "type" : "article-journal", "volume" : "49" }, "uris" : [ "http://www.mendeley.com/documents/?uuid=549bbcdc-d411-479f-8654-abdc4c93af4d" ] } ], "mendeley" : { "formattedCitation" : "[199,200]", "plainTextFormattedCitation" : "[199,200]", "previouslyFormattedCitation" : "[199,200]"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[199,200]</w:t>
      </w:r>
      <w:r w:rsidRPr="001A5452">
        <w:rPr>
          <w:rFonts w:ascii="Times New Roman" w:hAnsi="Times New Roman" w:cs="Times New Roman"/>
          <w:sz w:val="24"/>
          <w:szCs w:val="24"/>
        </w:rPr>
        <w:fldChar w:fldCharType="end"/>
      </w:r>
      <w:r w:rsidR="0098706E">
        <w:rPr>
          <w:rFonts w:ascii="Times New Roman" w:hAnsi="Times New Roman" w:cs="Times New Roman"/>
          <w:sz w:val="24"/>
          <w:szCs w:val="24"/>
        </w:rPr>
        <w:t xml:space="preserve">.  According to Figure </w:t>
      </w:r>
      <w:r w:rsidR="006C2A20">
        <w:rPr>
          <w:rFonts w:ascii="Times New Roman" w:hAnsi="Times New Roman" w:cs="Times New Roman" w:hint="eastAsia"/>
          <w:sz w:val="24"/>
          <w:szCs w:val="24"/>
        </w:rPr>
        <w:t>4</w:t>
      </w:r>
      <w:r w:rsidR="0098706E">
        <w:rPr>
          <w:rFonts w:ascii="Times New Roman" w:hAnsi="Times New Roman" w:cs="Times New Roman" w:hint="eastAsia"/>
          <w:sz w:val="24"/>
          <w:szCs w:val="24"/>
        </w:rPr>
        <w:t>.6</w:t>
      </w:r>
      <w:r w:rsidR="0098706E">
        <w:rPr>
          <w:rFonts w:ascii="Times New Roman" w:hAnsi="Times New Roman" w:cs="Times New Roman"/>
          <w:sz w:val="24"/>
          <w:szCs w:val="24"/>
        </w:rPr>
        <w:t xml:space="preserve"> and Table </w:t>
      </w:r>
      <w:r w:rsidR="006C2A20">
        <w:rPr>
          <w:rFonts w:ascii="Times New Roman" w:hAnsi="Times New Roman" w:cs="Times New Roman" w:hint="eastAsia"/>
          <w:sz w:val="24"/>
          <w:szCs w:val="24"/>
        </w:rPr>
        <w:t>4</w:t>
      </w:r>
      <w:r w:rsidR="0098706E">
        <w:rPr>
          <w:rFonts w:ascii="Times New Roman" w:hAnsi="Times New Roman" w:cs="Times New Roman" w:hint="eastAsia"/>
          <w:sz w:val="24"/>
          <w:szCs w:val="24"/>
        </w:rPr>
        <w:t>.2</w:t>
      </w:r>
      <w:r w:rsidRPr="001A5452">
        <w:rPr>
          <w:rFonts w:ascii="Times New Roman" w:hAnsi="Times New Roman" w:cs="Times New Roman"/>
          <w:sz w:val="24"/>
          <w:szCs w:val="24"/>
        </w:rPr>
        <w:t xml:space="preserve">, the thermal conductivities of UPR/rGO composites increase as rGO content increases (≤0.5 wt.%). The maximum values are observed at 0.5 wt.%, which displays improvements of 39% at 50 °C, 50% at 70 °C, 58% at 90 °C, and 60% at </w:t>
      </w:r>
      <w:r w:rsidRPr="00301529">
        <w:rPr>
          <w:rFonts w:ascii="Times New Roman" w:hAnsi="Times New Roman" w:cs="Times New Roman"/>
          <w:sz w:val="24"/>
          <w:szCs w:val="24"/>
        </w:rPr>
        <w:t>110 °C over neat UPR, respectively due to high thermal conductivity of graphene</w:t>
      </w:r>
      <w:r w:rsidRPr="008F2D49">
        <w:rPr>
          <w:rFonts w:ascii="Times New Roman" w:hAnsi="Times New Roman" w:cs="Times New Roman"/>
          <w:sz w:val="24"/>
          <w:szCs w:val="24"/>
        </w:rPr>
        <w:t>. However, UPR/rGO of 1.0 wt.% shows a decrease over neat UPR</w:t>
      </w:r>
      <w:r w:rsidRPr="00EE1B27">
        <w:rPr>
          <w:rFonts w:ascii="Times New Roman" w:hAnsi="Times New Roman" w:cs="Times New Roman"/>
          <w:sz w:val="24"/>
          <w:szCs w:val="24"/>
        </w:rPr>
        <w:t>. This is because that rGO processes large</w:t>
      </w:r>
      <w:r w:rsidRPr="00301529">
        <w:rPr>
          <w:rFonts w:ascii="Times New Roman" w:hAnsi="Times New Roman" w:cs="Times New Roman"/>
          <w:sz w:val="24"/>
          <w:szCs w:val="24"/>
        </w:rPr>
        <w:t xml:space="preserve"> surface area to contact </w:t>
      </w:r>
      <w:r w:rsidRPr="00EE1B27">
        <w:rPr>
          <w:rFonts w:ascii="Times New Roman" w:hAnsi="Times New Roman" w:cs="Times New Roman"/>
          <w:sz w:val="24"/>
          <w:szCs w:val="24"/>
        </w:rPr>
        <w:t>with polymer matrix, the thinner polymer layers on rGO can create a lower thermally conductive</w:t>
      </w:r>
      <w:r>
        <w:rPr>
          <w:rFonts w:ascii="Times New Roman" w:hAnsi="Times New Roman" w:cs="Times New Roman"/>
          <w:sz w:val="24"/>
          <w:szCs w:val="24"/>
        </w:rPr>
        <w:t xml:space="preserve"> </w:t>
      </w:r>
      <w:r w:rsidRPr="00EE1B27">
        <w:rPr>
          <w:rFonts w:ascii="Times New Roman" w:hAnsi="Times New Roman" w:cs="Times New Roman"/>
          <w:sz w:val="24"/>
          <w:szCs w:val="24"/>
        </w:rPr>
        <w:t xml:space="preserve">interface </w:t>
      </w:r>
      <w:r w:rsidRPr="00EE1B27">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"10.1016/j.progpolymsci.2010.11.004", "ISBN" : "0079-6700", "ISSN" : "00796700", "PMID" : "15867920", "abstract" : "Thermally conductive polymer composites offer new possibilities for replacing metal parts in several applications, including power electronics, electric motors and generators, heat exchangers, etc., thanks to the polymer advantages such as light weight, corrosion resistance and ease of processing. Current interest to improve the thermal conductivity of polymers is focused on the selective addition of nanofillers with high thermal conductivity. Unusually high thermal conductivity makes carbon nanotube (CNT) the best promising candidate material for thermally conductive composites. However, the thermal conductivities of polymer/CNT nanocomposites are relatively low compared with expectations from the intrinsic thermal conductivity of CNTs. The challenge primarily comes from the large interfacial thermal resistance between the CNT and the surrounding polymer matrix, which hinders the transfer of phonon dominating heat conduction in polymer and CNT. This article reviews the status of worldwide research in the thermal conductivity of CNTs and their polymer nanocomposites. The dependence of thermal conductivity of nanotubes on the atomic structure, the tube size, the morphology, the defect and the purification is reviewed. The roles of particle/polymer and particle/particle interfaces on the thermal conductivity of polymer/CNT nanocomposites are discussed in detail, as well as the relationship between the thermal conductivity and the micro- and nano-structure of the composites. \u00a9 2010 Elsevier Ltd.", "author" : [ { "dropping-particle" : "", "family" : "Han", "given" : "Zhidong", "non-dropping-particle" : "", "parse-names" : false, "suffix" : "" }, { "dropping-particle" : "", "family" : "Fina", "given" : "Alberto", "non-dropping-particle" : "", "parse-names" : false, "suffix" : "" } ], "container-title" : "Progress in Polymer Science", "id" : "ITEM-1", "issue" : "7", "issued" : { "date-parts" : [ [ "2011" ] ] }, "page" : "914-944", "publisher" : "Elsevier Ltd", "title" : "Thermal conductivity of carbon nanotubes and their polymer nanocomposites: A review", "type" : "article-journal", "volume" : "36" }, "uris" : [ "http://www.mendeley.com/documents/?uuid=412531e2-177e-43a7-93d8-16ce0c8c0fac" ] } ], "mendeley" : { "formattedCitation" : "[90]", "plainTextFormattedCitation" : "[90]", "previouslyFormattedCitation" : "[90]" }, "properties" : {  }, "schema" : "https://github.com/citation-style-language/schema/raw/master/csl-citation.json" }</w:instrText>
      </w:r>
      <w:r w:rsidRPr="00EE1B27">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[90]</w:t>
      </w:r>
      <w:r w:rsidRPr="00EE1B27">
        <w:rPr>
          <w:rFonts w:ascii="Times New Roman" w:hAnsi="Times New Roman" w:cs="Times New Roman"/>
          <w:sz w:val="24"/>
          <w:szCs w:val="24"/>
        </w:rPr>
        <w:fldChar w:fldCharType="end"/>
      </w:r>
      <w:r w:rsidRPr="00EE1B27">
        <w:rPr>
          <w:rFonts w:ascii="Times New Roman" w:hAnsi="Times New Roman" w:cs="Times New Roman"/>
          <w:sz w:val="24"/>
          <w:szCs w:val="24"/>
        </w:rPr>
        <w:t>. When the rGO content is no more than 0.5 wt.%, rGO can disperse homogeneously through polymeric matrix and forms a path for phonon diffusion with a lower thermal interfacial resistance. Hence, the thermal conductivity of composites increases with rGO loadings</w:t>
      </w:r>
      <w:r>
        <w:rPr>
          <w:rFonts w:ascii="Times New Roman" w:hAnsi="Times New Roman" w:cs="Times New Roman"/>
          <w:sz w:val="24"/>
          <w:szCs w:val="24"/>
        </w:rPr>
        <w:t xml:space="preserve"> below 0.5 wt.%</w:t>
      </w:r>
      <w:r w:rsidRPr="00EE1B27">
        <w:rPr>
          <w:rFonts w:ascii="Times New Roman" w:hAnsi="Times New Roman" w:cs="Times New Roman"/>
          <w:sz w:val="24"/>
          <w:szCs w:val="24"/>
        </w:rPr>
        <w:t xml:space="preserve">. However, when rGO content reaches 1.0 wt.%, rGO tends to aggregate, which reduces the aspect ratio of fillers. Consequently, the contact area between rGO and UPR matrix is decreased, resulting in a restricted phonon transport and a high thermal interfacial resistance. Therefore, the thermal conductivity of 1.0 wt.% UPR/rGO composite is reduced over neat UPR </w:t>
      </w:r>
      <w:r w:rsidRPr="00EE1B27">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"10.1016/j.carbon.2009.08.047", "ISBN" : "0008-6223", "ISSN" : "00086223", "abstract" : "Direct functionalized carbon nanotubes (CNTs) were utilized to form the heat flow network for epoxy composites through covalent integration. A method of preparing a fully heat flow network between benzenetricarboxylic acid grafted multi-walled carbon nanotubes (BTC-MWCNTs) and epoxy matrix is described. A Friedel-Crafts modification was used to functionalize MWCNTs effectively and without damaging the MWCNT surface. Raman spectra, X-ray photoelectron spectra and thermogravimetric analysis reveal the characteristics of functionalized MWCNTs. The scanning electron microscope images of the fracture surfaces of the epoxy matrix showed BTC-MWCNTs exhibited higher solubility and compatibility than pristine-MWCNTs. The MWCNTs/epoxy composites were prepared by mixing BTC-MWCNTs and epoxy resin in tetrahydrofuran, followed by a cross-linking reaction with a curing agent. The BTC was grafted onto the MWCNTs, creating a rigid covalent bond between MWCNTs and epoxy resin and forming an effective network for heat flow. The effect of functionalized MWCNTs on the formation of the heat flow network and thermal conductivity was also investigated. The thermal conductivity of composites exhibits a significant improvement from 0.13 to 0.96W/mK (an increase of 684%) with the addition of a small quantity (1-5vol%) of BTC-MWCNTs.", "author" : [ { "dropping-particle" : "", "family" : "Yang", "given" : "Shin-Yi", "non-dropping-particle" : "", "parse-names" : false, "suffix" : "" }, { "dropping-particle" : "", "family" : "Ma", "given" : "Chen-Chi M.", "non-dropping-particle" : "", "parse-names" : false, "suffix" : "" }, { "dropping-particle" : "", "family" : "Teng", "given" : "Chih-Chun", "non-dropping-particle" : "", "parse-names" : false, "suffix" : "" }, { "dropping-particle" : "", "family" : "Huang", "given" : "Yen-Wei", "non-dropping-particle" : "", "parse-names" : false, "suffix" : "" }, { "dropping-particle" : "", "family" : "Liao", "given" : "Shu-Hang", "non-dropping-particle" : "", "parse-names" : false, "suffix" : "" }, { "dropping-particle" : "", "family" : "Huang", "given" : "Yuan-Li", "non-dropping-particle" : "", "parse-names" : false, "suffix" : "" }, { "dropping-particle" : "", "family" : "Tien", "given" : "Hsi-Wen", "non-dropping-particle" : "", "parse-names" : false, "suffix" : "" }, { "dropping-particle" : "", "family" : "Lee", "given" : "Tzong-Ming", "non-dropping-particle" : "", "parse-names" : false, "suffix" : "" }, { "dropping-particle" : "", "family" : "Chiou", "given" : "Kuo-Chan", "non-dropping-particle" : "", "parse-names" : false, "suffix" : "" } ], "container-title" : "Carbon", "id" : "ITEM-1", "issue" : "3", "issued" : { "date-parts" : [ [ "2010" ] ] }, "page" : "592-603", "publisher" : "Elsevier Ltd", "title" : "Effect of functionalized carbon nanotubes on the thermal conductivity of epoxy composites", "type" : "article-journal", "volume" : "48" }, "uris" : [ "http://www.mendeley.com/documents/?uuid=d99a2c1b-8161-4a69-98c8-e1a11b5da0bd" ] }, { "id" : "ITEM-2", "itemData" : { "DOI" : "10.1016/j.carbon.2010.10.014", "ISBN" : "00086223", "ISSN" : "00086223", "abstract" : "A remarkable synergetic effect between the multi-graphene platelets (MGPs) and multi-walled carbon nanotubes (MWCNTs) in improving the mechanical properties and thermal conductivity of epoxy composites is demonstrated. Stacking of individual two-dimensional MGPs is effectively inhibited by introducing one-dimensional MWCNTs. Long and tortuous MWCNTs can bridge adjacent MGPs and inhibit their aggregation, resulting in a high contact area between the MGP/MWCNT structures and the polymer matrix. Scanning electron microscope images of the fracture surfaces of the epoxy matrix showed that MWCNT/MGP hybrid nanofillers exhibited higher solubility and better compatibility than individual MWCNTs and MGPs did. The tensile strength of GD400-MWCNT/MGP/epoxy composites was 35.4% higher than that of the epoxy alone, compared to only a 0.9% increase in tensile strength for MGP/epoxy composites over the epoxy compound. Thermal conductivity increased by 146.9% using GD400-MWCNT/MGP hybrid fillers and 23.9% for MGP fillers, compared to non-derivatised epoxy. ?? 2010 Elsevier Ltd. All rights reserved.", "author" : [ { "dropping-particle" : "", "family" : "Yang", "given" : "Shin Yi", "non-dropping-particle" : "", "parse-names" : false, "suffix" : "" }, { "dropping-particle" : "", "family" : "Lin", "given" : "Wei Ning", "non-dropping-particle" : "", "parse-names" : false, "suffix" : "" }, { "dropping-particle" : "", "family" : "Huang", "given" : "Yuan Li", "non-dropping-particle" : "", "parse-names" : false, "suffix" : "" }, { "dropping-particle" : "", "family" : "Tien", "given" : "Hsi Wen", "non-dropping-particle" : "", "parse-names" : false, "suffix" : "" }, { "dropping-particle" : "", "family" : "Wang", "given" : "Jeng Yu", "non-dropping-particle" : "", "parse-names" : false, "suffix" : "" }, { "dropping-particle" : "", "family" : "Ma", "given" : "Chen Chi M", "non-dropping-particle" : "", "parse-names" : false, "suffix" : "" }, { "dropping-particle" : "", "family" : "Li", "given" : "Shin Ming", "non-dropping-particle" : "", "parse-names" : false, "suffix" : "" }, { "dropping-particle" : "", "family" : "Wang", "given" : "Yu Sheng", "non-dropping-particle" : "", "parse-names" : false, "suffix" : "" } ], "container-title" : "Carbon", "id" : "ITEM-2", "issue" : "3", "issued" : { "date-parts" : [ [ "2011" ] ] }, "page" : "793-803", "publisher" : "Elsevier Ltd", "title" : "Synergetic effects of graphene platelets and carbon nanotubes on the mechanical and thermal properties of epoxy composites", "type" : "article-journal", "volume" : "49" }, "uris" : [ "http://www.mendeley.com/documents/?uuid=549bbcdc-d411-479f-8654-abdc4c93af4d" ] }, { "id" : "ITEM-3", "itemData" : { "DOI" : "10.1016/j.carbon.2008.10.011", "ISBN" : "00086223", "ISSN" : "00086223", "abstract" : "Comparison of graphite nanoplatelet (GNP) and carbon black (CB) pastes as thermal interface materials shows that the optimum filler content for attaining the maximum thermal contact conductance (copper proximate surfaces, roughness 15 \u03bcm) are 2.4, 15 and 2.4 vol.% for GNP, CB (Tokai) and CB (Cabot), respectively. Except for CB (Cabot), the optimum filler content is diminished when the roughness is decreased from 15 to 0.009 \u03bcm. Comparing the fillers at their respective optimum contents shows that (i) GNP is similarly effective as CB (Tokai) for rough (15 \u03bcm) surfaces, but is less effective than CB (Tokai) for smooth (0.009 \u03bcm) surfaces, and (ii) GNP is more effective than CB (Cabot) for rough surfaces, but is slightly less effective than CB (Cabot) for smooth surfaces. GNP gives higher thermal conductivity and greater bond line thickness than CB (Tokai or Cabot), whether the comparison is at the same filler content or at the respective optimum filler contents. In spite of the high thermal conductivity, the effectiveness of GNP is limited, due to the high bond line thickness. CB (Tokai) gives higher thermal conductivity than CB (Cabot), thus causing CB (Tokai) to be more effective than CB (Cabot). \u00a9 2008 Elsevier Ltd. All rights reserved.", "author" : [ { "dropping-particle" : "", "family" : "Lin", "given" : "Chuangang", "non-dropping-particle" : "", "parse-names" : false, "suffix" : "" }, { "dropping-particle" : "", "family" : "Chung", "given" : "D. D.L.", "non-dropping-particle" : "", "parse-names" : false, "suffix" : "" } ], "container-title" : "Carbon", "id" : "ITEM-3", "issue" : "1", "issued" : { "date-parts" : [ [ "2009" ] ] }, "page" : "295-305", "publisher" : "Elsevier Ltd", "title" : "Graphite nanoplatelet pastes vs. carbon black pastes as thermal interface materials", "type" : "article-journal", "volume" : "47" }, "uris" : [ "http://www.mendeley.com/documents/?uuid=d62b9023-8c80-45db-9ac6-8245aa52caa9" ] }, { "id" : "ITEM-4", "itemData" : { "DOI" : "10.3390/ma8085262", "ISSN" : "1996-1944", "abstract" : "In the present investigation, we successfully fabricate a hybrid polymer nanocomposite containing epoxy/polyester blend resin and graphene nanoplatelets (GNPs) by a novel technique. A high intensity ultrasonicator is used to obtain a homogeneous mixture of epoxy/polyester resin and graphene nanoplatelets. This mixture is then mixed with a hardener using a high-speed mechanical stirrer. The trapped air and reaction volatiles are removed from the mixture using high vacuum. The hot press casting method is used to make the nanocomposite specimens. Tensile tests, dynamic mechanical analysis (DMA) and thermogravimetric analysis (TGA) are performed on neat, 0.2 wt %, 0.5 wt %, 1 wt %, 1.5 wt % and 2 wt % GNP-reinforced epoxy/polyester blend resin to investigate the reinforcement effect on the thermal and mechanical properties of the nanocomposites. The results of this research indicate that the tensile strength of the novel nanocomposite material increases to 86.8% with the addition of a ratio of graphene nanoplatelets as low as 0.2 wt %. DMA results indicate that the 1 wt % GNP-reinforced epoxy/polyester nanocomposite possesses the highest storage modulus and glass transition temperature (Tg), as compared to neat epoxy/polyester or the other nanocomposite specimens. In addition, TGA results verify thethermal stability of the experimental specimens, regardless of the weight percentage of GNPs.", "author" : [ { "dropping-particle" : "", "family" : "Le", "given" : "Minh-Tai", "non-dropping-particle" : "", "parse-names" : false, "suffix" : "" }, { "dropping-particle" : "", "family" : "Huang", "given" : "Shyh-Chour", "non-dropping-particle" : "", "parse-names" : false, "suffix" : "" } ], "container-title" : "Materials", "id" : "ITEM-4", "issued" : { "date-parts" : [ [ "2015" ] ] }, "page" : "5526-5536", "title" : "Thermal and Mechanical Behavior of Hybrid Polymer Nanocomposite Reinforced with Graphene Nanoplatelets", "type" : "article-journal", "volume" : "8" }, "uris" : [ "http://www.mendeley.com/documents/?uuid=6a45183f-61c8-4a50-bb39-8578e93ec3bc" ] } ], "mendeley" : { "formattedCitation" : "[199\u2013202]", "plainTextFormattedCitation" : "[199\u2013202]", "previouslyFormattedCitation" : "[199\u2013202]" }, "properties" : {  }, "schema" : "https://github.com/citation-style-language/schema/raw/master/csl-citation.json" }</w:instrText>
      </w:r>
      <w:r w:rsidRPr="00EE1B27">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[199–202]</w:t>
      </w:r>
      <w:r w:rsidRPr="00EE1B27">
        <w:rPr>
          <w:rFonts w:ascii="Times New Roman" w:hAnsi="Times New Roman" w:cs="Times New Roman"/>
          <w:sz w:val="24"/>
          <w:szCs w:val="24"/>
        </w:rPr>
        <w:fldChar w:fldCharType="end"/>
      </w:r>
      <w:r w:rsidRPr="00EE1B27">
        <w:rPr>
          <w:rFonts w:ascii="Times New Roman" w:hAnsi="Times New Roman" w:cs="Times New Roman"/>
          <w:sz w:val="24"/>
          <w:szCs w:val="24"/>
        </w:rPr>
        <w:t>.</w:t>
      </w:r>
    </w:p>
    <w:p w14:paraId="6D8A696B" w14:textId="77777777" w:rsidR="00CC25B1" w:rsidRPr="001A5452" w:rsidRDefault="00CC25B1" w:rsidP="00CC25B1">
      <w:pPr>
        <w:spacing w:after="0" w:line="480" w:lineRule="auto"/>
        <w:jc w:val="both"/>
        <w:rPr>
          <w:rFonts w:ascii="Times New Roman" w:hAnsi="Times New Roman" w:cs="Times New Roman"/>
          <w:sz w:val="24"/>
          <w:szCs w:val="24"/>
        </w:rPr>
      </w:pPr>
    </w:p>
    <w:p w14:paraId="71FB2E38" w14:textId="77777777" w:rsidR="00CC25B1" w:rsidRPr="001A5452" w:rsidRDefault="00CC25B1" w:rsidP="00CC25B1">
      <w:pPr>
        <w:spacing w:after="0"/>
        <w:ind w:firstLine="720"/>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21C63944" wp14:editId="4C8FA432">
            <wp:extent cx="4846320" cy="33823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46320" cy="3382358"/>
                    </a:xfrm>
                    <a:prstGeom prst="rect">
                      <a:avLst/>
                    </a:prstGeom>
                    <a:noFill/>
                  </pic:spPr>
                </pic:pic>
              </a:graphicData>
            </a:graphic>
          </wp:inline>
        </w:drawing>
      </w:r>
    </w:p>
    <w:p w14:paraId="4C292064" w14:textId="1E128832" w:rsidR="00CC25B1" w:rsidRDefault="00B72F48" w:rsidP="00EC3BE6">
      <w:pPr>
        <w:pStyle w:val="Caption"/>
        <w:ind w:firstLine="0"/>
        <w:rPr>
          <w:rFonts w:cs="Times New Roman"/>
          <w:szCs w:val="24"/>
        </w:rPr>
      </w:pPr>
      <w:bookmarkStart w:id="139" w:name="_Toc502662472"/>
      <w:r>
        <w:t>Figure 4</w:t>
      </w:r>
      <w:r w:rsidR="000713C1">
        <w:t>.</w:t>
      </w:r>
      <w:r w:rsidR="00EC3BE6">
        <w:fldChar w:fldCharType="begin"/>
      </w:r>
      <w:r w:rsidR="00EC3BE6">
        <w:instrText xml:space="preserve"> SEQ Figure_4. \* ARABIC </w:instrText>
      </w:r>
      <w:r w:rsidR="00EC3BE6">
        <w:fldChar w:fldCharType="separate"/>
      </w:r>
      <w:r w:rsidR="00551ED9">
        <w:rPr>
          <w:noProof/>
        </w:rPr>
        <w:t>6</w:t>
      </w:r>
      <w:r w:rsidR="00EC3BE6">
        <w:fldChar w:fldCharType="end"/>
      </w:r>
      <w:r w:rsidR="00CC25B1" w:rsidRPr="001A5452">
        <w:rPr>
          <w:rFonts w:cs="Times New Roman"/>
          <w:b w:val="0"/>
          <w:szCs w:val="24"/>
        </w:rPr>
        <w:t>.</w:t>
      </w:r>
      <w:r w:rsidR="00CC25B1" w:rsidRPr="001A5452">
        <w:rPr>
          <w:rFonts w:cs="Times New Roman"/>
          <w:szCs w:val="24"/>
        </w:rPr>
        <w:t xml:space="preserve"> Thermal conductivity of UPR and UPR/rGO composites at elevated temperatures.</w:t>
      </w:r>
      <w:bookmarkEnd w:id="139"/>
      <w:r w:rsidR="00CC25B1" w:rsidRPr="001A5452">
        <w:rPr>
          <w:rFonts w:cs="Times New Roman"/>
          <w:szCs w:val="24"/>
        </w:rPr>
        <w:t xml:space="preserve"> </w:t>
      </w:r>
    </w:p>
    <w:p w14:paraId="3183682E" w14:textId="77777777" w:rsidR="00304442" w:rsidRDefault="00304442" w:rsidP="00EC3BE6">
      <w:pPr>
        <w:pStyle w:val="Caption"/>
        <w:rPr>
          <w:rFonts w:cs="Times New Roman"/>
          <w:b w:val="0"/>
          <w:color w:val="auto"/>
          <w:szCs w:val="24"/>
        </w:rPr>
      </w:pPr>
    </w:p>
    <w:p w14:paraId="1E9EE424" w14:textId="3A3372EC" w:rsidR="00CC25B1" w:rsidRPr="001A5452" w:rsidRDefault="00B72F48" w:rsidP="00EC3BE6">
      <w:pPr>
        <w:pStyle w:val="Caption"/>
        <w:rPr>
          <w:rFonts w:cs="Times New Roman"/>
          <w:szCs w:val="24"/>
        </w:rPr>
      </w:pPr>
      <w:bookmarkStart w:id="140" w:name="_Toc518823486"/>
      <w:r>
        <w:t>Table 4</w:t>
      </w:r>
      <w:r w:rsidR="000713C1">
        <w:t>.</w:t>
      </w:r>
      <w:r w:rsidR="00EC3BE6">
        <w:fldChar w:fldCharType="begin"/>
      </w:r>
      <w:r w:rsidR="00EC3BE6">
        <w:instrText xml:space="preserve"> SEQ Table_4. \* ARABIC </w:instrText>
      </w:r>
      <w:r w:rsidR="00EC3BE6">
        <w:fldChar w:fldCharType="separate"/>
      </w:r>
      <w:r w:rsidR="00551ED9">
        <w:rPr>
          <w:noProof/>
        </w:rPr>
        <w:t>2</w:t>
      </w:r>
      <w:r w:rsidR="00EC3BE6">
        <w:fldChar w:fldCharType="end"/>
      </w:r>
      <w:r w:rsidR="00CC25B1" w:rsidRPr="001A5452">
        <w:rPr>
          <w:rFonts w:cs="Times New Roman"/>
          <w:b w:val="0"/>
          <w:szCs w:val="24"/>
        </w:rPr>
        <w:t>.</w:t>
      </w:r>
      <w:r w:rsidR="00CC25B1" w:rsidRPr="001A5452">
        <w:rPr>
          <w:rFonts w:cs="Times New Roman"/>
          <w:szCs w:val="24"/>
        </w:rPr>
        <w:t xml:space="preserve"> Thermal conductivity of UPR and UPR/rGO composites.</w:t>
      </w:r>
      <w:bookmarkEnd w:id="140"/>
    </w:p>
    <w:tbl>
      <w:tblPr>
        <w:tblStyle w:val="TableGrid"/>
        <w:tblW w:w="9990" w:type="dxa"/>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ayout w:type="fixed"/>
        <w:tblLook w:val="04A0" w:firstRow="1" w:lastRow="0" w:firstColumn="1" w:lastColumn="0" w:noHBand="0" w:noVBand="1"/>
      </w:tblPr>
      <w:tblGrid>
        <w:gridCol w:w="1620"/>
        <w:gridCol w:w="1260"/>
        <w:gridCol w:w="1260"/>
        <w:gridCol w:w="1260"/>
        <w:gridCol w:w="1170"/>
        <w:gridCol w:w="1080"/>
        <w:gridCol w:w="1170"/>
        <w:gridCol w:w="1170"/>
      </w:tblGrid>
      <w:tr w:rsidR="00CC25B1" w:rsidRPr="001A5452" w14:paraId="3BD992B0" w14:textId="77777777" w:rsidTr="00D003E1">
        <w:tc>
          <w:tcPr>
            <w:tcW w:w="1620" w:type="dxa"/>
            <w:vMerge w:val="restart"/>
            <w:tcBorders>
              <w:top w:val="single" w:sz="12" w:space="0" w:color="auto"/>
              <w:left w:val="nil"/>
              <w:bottom w:val="single" w:sz="12" w:space="0" w:color="auto"/>
              <w:right w:val="nil"/>
            </w:tcBorders>
            <w:vAlign w:val="center"/>
          </w:tcPr>
          <w:p w14:paraId="50A2FA0A"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Temperature / °C</w:t>
            </w:r>
          </w:p>
        </w:tc>
        <w:tc>
          <w:tcPr>
            <w:tcW w:w="8370" w:type="dxa"/>
            <w:gridSpan w:val="7"/>
            <w:tcBorders>
              <w:top w:val="single" w:sz="12" w:space="0" w:color="auto"/>
              <w:left w:val="nil"/>
              <w:bottom w:val="nil"/>
              <w:right w:val="nil"/>
            </w:tcBorders>
          </w:tcPr>
          <w:p w14:paraId="175F3DFB"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Thermal conductivity / W m</w:t>
            </w:r>
            <w:r w:rsidRPr="001A5452">
              <w:rPr>
                <w:rFonts w:ascii="Times New Roman" w:hAnsi="Times New Roman" w:cs="Times New Roman"/>
                <w:vertAlign w:val="superscript"/>
              </w:rPr>
              <w:t xml:space="preserve">-1 </w:t>
            </w:r>
            <w:r w:rsidRPr="001A5452">
              <w:rPr>
                <w:rFonts w:ascii="Times New Roman" w:hAnsi="Times New Roman" w:cs="Times New Roman"/>
              </w:rPr>
              <w:t>K</w:t>
            </w:r>
            <w:r w:rsidRPr="001A5452">
              <w:rPr>
                <w:rFonts w:ascii="Times New Roman" w:hAnsi="Times New Roman" w:cs="Times New Roman"/>
                <w:vertAlign w:val="superscript"/>
              </w:rPr>
              <w:t>-1</w:t>
            </w:r>
          </w:p>
        </w:tc>
      </w:tr>
      <w:tr w:rsidR="00CC25B1" w:rsidRPr="001A5452" w14:paraId="6A52DAFB" w14:textId="77777777" w:rsidTr="00D003E1">
        <w:tc>
          <w:tcPr>
            <w:tcW w:w="1620" w:type="dxa"/>
            <w:vMerge/>
            <w:tcBorders>
              <w:top w:val="nil"/>
              <w:left w:val="nil"/>
              <w:bottom w:val="single" w:sz="12" w:space="0" w:color="auto"/>
              <w:right w:val="nil"/>
            </w:tcBorders>
          </w:tcPr>
          <w:p w14:paraId="24DD2EE0" w14:textId="77777777" w:rsidR="00CC25B1" w:rsidRPr="001A5452" w:rsidRDefault="00CC25B1" w:rsidP="00EC3BE6">
            <w:pPr>
              <w:spacing w:line="360" w:lineRule="auto"/>
              <w:jc w:val="center"/>
              <w:rPr>
                <w:rFonts w:ascii="Times New Roman" w:hAnsi="Times New Roman" w:cs="Times New Roman"/>
              </w:rPr>
            </w:pPr>
          </w:p>
        </w:tc>
        <w:tc>
          <w:tcPr>
            <w:tcW w:w="1260" w:type="dxa"/>
            <w:tcBorders>
              <w:top w:val="nil"/>
              <w:left w:val="nil"/>
              <w:bottom w:val="single" w:sz="12" w:space="0" w:color="auto"/>
              <w:right w:val="nil"/>
            </w:tcBorders>
          </w:tcPr>
          <w:p w14:paraId="545BFF0C"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UPR</w:t>
            </w:r>
          </w:p>
        </w:tc>
        <w:tc>
          <w:tcPr>
            <w:tcW w:w="1260" w:type="dxa"/>
            <w:tcBorders>
              <w:top w:val="nil"/>
              <w:left w:val="nil"/>
              <w:bottom w:val="single" w:sz="12" w:space="0" w:color="auto"/>
              <w:right w:val="nil"/>
            </w:tcBorders>
          </w:tcPr>
          <w:p w14:paraId="6854479F"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UPR-THF</w:t>
            </w:r>
          </w:p>
        </w:tc>
        <w:tc>
          <w:tcPr>
            <w:tcW w:w="1260" w:type="dxa"/>
            <w:tcBorders>
              <w:top w:val="nil"/>
              <w:left w:val="nil"/>
              <w:bottom w:val="single" w:sz="12" w:space="0" w:color="auto"/>
              <w:right w:val="nil"/>
            </w:tcBorders>
          </w:tcPr>
          <w:p w14:paraId="044C9DEB"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0.05 wt.%</w:t>
            </w:r>
          </w:p>
        </w:tc>
        <w:tc>
          <w:tcPr>
            <w:tcW w:w="1170" w:type="dxa"/>
            <w:tcBorders>
              <w:top w:val="nil"/>
              <w:left w:val="nil"/>
              <w:bottom w:val="single" w:sz="12" w:space="0" w:color="auto"/>
              <w:right w:val="nil"/>
            </w:tcBorders>
          </w:tcPr>
          <w:p w14:paraId="0A52FD37"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0.1wt.%</w:t>
            </w:r>
          </w:p>
        </w:tc>
        <w:tc>
          <w:tcPr>
            <w:tcW w:w="1080" w:type="dxa"/>
            <w:tcBorders>
              <w:top w:val="nil"/>
              <w:left w:val="nil"/>
              <w:bottom w:val="single" w:sz="12" w:space="0" w:color="auto"/>
              <w:right w:val="nil"/>
            </w:tcBorders>
          </w:tcPr>
          <w:p w14:paraId="2CC8ED57"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0.3 wt.%</w:t>
            </w:r>
          </w:p>
        </w:tc>
        <w:tc>
          <w:tcPr>
            <w:tcW w:w="1170" w:type="dxa"/>
            <w:tcBorders>
              <w:top w:val="nil"/>
              <w:left w:val="nil"/>
              <w:bottom w:val="single" w:sz="12" w:space="0" w:color="auto"/>
              <w:right w:val="nil"/>
            </w:tcBorders>
          </w:tcPr>
          <w:p w14:paraId="3345EB96"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0.5 wt.%</w:t>
            </w:r>
          </w:p>
        </w:tc>
        <w:tc>
          <w:tcPr>
            <w:tcW w:w="1170" w:type="dxa"/>
            <w:tcBorders>
              <w:top w:val="nil"/>
              <w:left w:val="nil"/>
              <w:bottom w:val="single" w:sz="12" w:space="0" w:color="auto"/>
              <w:right w:val="nil"/>
            </w:tcBorders>
          </w:tcPr>
          <w:p w14:paraId="1C6BB030"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1.0 wt.%</w:t>
            </w:r>
          </w:p>
        </w:tc>
      </w:tr>
      <w:tr w:rsidR="00CC25B1" w:rsidRPr="001A5452" w14:paraId="0F14ED72" w14:textId="77777777" w:rsidTr="00D003E1">
        <w:tc>
          <w:tcPr>
            <w:tcW w:w="1620" w:type="dxa"/>
            <w:tcBorders>
              <w:top w:val="single" w:sz="12" w:space="0" w:color="auto"/>
              <w:left w:val="nil"/>
              <w:bottom w:val="nil"/>
              <w:right w:val="nil"/>
            </w:tcBorders>
          </w:tcPr>
          <w:p w14:paraId="07A7BC35"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50</w:t>
            </w:r>
          </w:p>
        </w:tc>
        <w:tc>
          <w:tcPr>
            <w:tcW w:w="1260" w:type="dxa"/>
            <w:tcBorders>
              <w:top w:val="single" w:sz="12" w:space="0" w:color="auto"/>
              <w:left w:val="nil"/>
              <w:right w:val="nil"/>
            </w:tcBorders>
          </w:tcPr>
          <w:p w14:paraId="48EBFBBE"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0.18</w:t>
            </w:r>
          </w:p>
        </w:tc>
        <w:tc>
          <w:tcPr>
            <w:tcW w:w="1260" w:type="dxa"/>
            <w:tcBorders>
              <w:top w:val="single" w:sz="12" w:space="0" w:color="auto"/>
              <w:left w:val="nil"/>
            </w:tcBorders>
          </w:tcPr>
          <w:p w14:paraId="20259499"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0.18</w:t>
            </w:r>
          </w:p>
        </w:tc>
        <w:tc>
          <w:tcPr>
            <w:tcW w:w="1260" w:type="dxa"/>
            <w:tcBorders>
              <w:top w:val="single" w:sz="12" w:space="0" w:color="auto"/>
            </w:tcBorders>
          </w:tcPr>
          <w:p w14:paraId="5CC26CA0"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0.19</w:t>
            </w:r>
          </w:p>
        </w:tc>
        <w:tc>
          <w:tcPr>
            <w:tcW w:w="1170" w:type="dxa"/>
            <w:tcBorders>
              <w:top w:val="single" w:sz="12" w:space="0" w:color="auto"/>
            </w:tcBorders>
          </w:tcPr>
          <w:p w14:paraId="29CE1510"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0.22</w:t>
            </w:r>
          </w:p>
        </w:tc>
        <w:tc>
          <w:tcPr>
            <w:tcW w:w="1080" w:type="dxa"/>
            <w:tcBorders>
              <w:top w:val="single" w:sz="12" w:space="0" w:color="auto"/>
            </w:tcBorders>
          </w:tcPr>
          <w:p w14:paraId="620ABF9B"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0.24</w:t>
            </w:r>
          </w:p>
        </w:tc>
        <w:tc>
          <w:tcPr>
            <w:tcW w:w="1170" w:type="dxa"/>
            <w:tcBorders>
              <w:top w:val="single" w:sz="12" w:space="0" w:color="auto"/>
            </w:tcBorders>
          </w:tcPr>
          <w:p w14:paraId="5165915F"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0.25</w:t>
            </w:r>
          </w:p>
        </w:tc>
        <w:tc>
          <w:tcPr>
            <w:tcW w:w="1170" w:type="dxa"/>
            <w:tcBorders>
              <w:top w:val="single" w:sz="12" w:space="0" w:color="auto"/>
              <w:bottom w:val="nil"/>
              <w:right w:val="nil"/>
            </w:tcBorders>
          </w:tcPr>
          <w:p w14:paraId="4086D136"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0.16</w:t>
            </w:r>
          </w:p>
        </w:tc>
      </w:tr>
      <w:tr w:rsidR="00CC25B1" w:rsidRPr="001A5452" w14:paraId="66E32AE2" w14:textId="77777777" w:rsidTr="00D003E1">
        <w:tc>
          <w:tcPr>
            <w:tcW w:w="1620" w:type="dxa"/>
            <w:tcBorders>
              <w:top w:val="nil"/>
              <w:left w:val="nil"/>
              <w:bottom w:val="nil"/>
              <w:right w:val="nil"/>
            </w:tcBorders>
          </w:tcPr>
          <w:p w14:paraId="30E5E650"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70</w:t>
            </w:r>
          </w:p>
        </w:tc>
        <w:tc>
          <w:tcPr>
            <w:tcW w:w="1260" w:type="dxa"/>
            <w:tcBorders>
              <w:left w:val="nil"/>
              <w:right w:val="nil"/>
            </w:tcBorders>
          </w:tcPr>
          <w:p w14:paraId="7EC151DE"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0.18</w:t>
            </w:r>
          </w:p>
        </w:tc>
        <w:tc>
          <w:tcPr>
            <w:tcW w:w="1260" w:type="dxa"/>
            <w:tcBorders>
              <w:left w:val="nil"/>
            </w:tcBorders>
          </w:tcPr>
          <w:p w14:paraId="596EA470"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0.18</w:t>
            </w:r>
          </w:p>
        </w:tc>
        <w:tc>
          <w:tcPr>
            <w:tcW w:w="1260" w:type="dxa"/>
          </w:tcPr>
          <w:p w14:paraId="04A74105"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0.20</w:t>
            </w:r>
          </w:p>
        </w:tc>
        <w:tc>
          <w:tcPr>
            <w:tcW w:w="1170" w:type="dxa"/>
          </w:tcPr>
          <w:p w14:paraId="1F76189D"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0.24</w:t>
            </w:r>
          </w:p>
        </w:tc>
        <w:tc>
          <w:tcPr>
            <w:tcW w:w="1080" w:type="dxa"/>
          </w:tcPr>
          <w:p w14:paraId="109AF091"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0.25</w:t>
            </w:r>
          </w:p>
        </w:tc>
        <w:tc>
          <w:tcPr>
            <w:tcW w:w="1170" w:type="dxa"/>
          </w:tcPr>
          <w:p w14:paraId="230BA0A0"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0.27</w:t>
            </w:r>
          </w:p>
        </w:tc>
        <w:tc>
          <w:tcPr>
            <w:tcW w:w="1170" w:type="dxa"/>
            <w:tcBorders>
              <w:top w:val="nil"/>
              <w:bottom w:val="nil"/>
              <w:right w:val="nil"/>
            </w:tcBorders>
          </w:tcPr>
          <w:p w14:paraId="101DEB93"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0.16</w:t>
            </w:r>
          </w:p>
        </w:tc>
      </w:tr>
      <w:tr w:rsidR="00CC25B1" w:rsidRPr="001A5452" w14:paraId="2CB0DF75" w14:textId="77777777" w:rsidTr="00D003E1">
        <w:tc>
          <w:tcPr>
            <w:tcW w:w="1620" w:type="dxa"/>
            <w:tcBorders>
              <w:top w:val="nil"/>
              <w:left w:val="nil"/>
              <w:bottom w:val="nil"/>
              <w:right w:val="nil"/>
            </w:tcBorders>
          </w:tcPr>
          <w:p w14:paraId="33F1210E"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90</w:t>
            </w:r>
          </w:p>
        </w:tc>
        <w:tc>
          <w:tcPr>
            <w:tcW w:w="1260" w:type="dxa"/>
            <w:tcBorders>
              <w:left w:val="nil"/>
              <w:right w:val="nil"/>
            </w:tcBorders>
          </w:tcPr>
          <w:p w14:paraId="448DE0B7"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0.19</w:t>
            </w:r>
          </w:p>
        </w:tc>
        <w:tc>
          <w:tcPr>
            <w:tcW w:w="1260" w:type="dxa"/>
            <w:tcBorders>
              <w:left w:val="nil"/>
            </w:tcBorders>
          </w:tcPr>
          <w:p w14:paraId="11F2A307"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0.19</w:t>
            </w:r>
          </w:p>
        </w:tc>
        <w:tc>
          <w:tcPr>
            <w:tcW w:w="1260" w:type="dxa"/>
          </w:tcPr>
          <w:p w14:paraId="2464EF27"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0.22</w:t>
            </w:r>
          </w:p>
        </w:tc>
        <w:tc>
          <w:tcPr>
            <w:tcW w:w="1170" w:type="dxa"/>
          </w:tcPr>
          <w:p w14:paraId="4F377A11"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0.25</w:t>
            </w:r>
          </w:p>
        </w:tc>
        <w:tc>
          <w:tcPr>
            <w:tcW w:w="1080" w:type="dxa"/>
          </w:tcPr>
          <w:p w14:paraId="1E52C248"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0.27</w:t>
            </w:r>
          </w:p>
        </w:tc>
        <w:tc>
          <w:tcPr>
            <w:tcW w:w="1170" w:type="dxa"/>
          </w:tcPr>
          <w:p w14:paraId="67F41168"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0.30</w:t>
            </w:r>
          </w:p>
        </w:tc>
        <w:tc>
          <w:tcPr>
            <w:tcW w:w="1170" w:type="dxa"/>
            <w:tcBorders>
              <w:top w:val="nil"/>
              <w:bottom w:val="nil"/>
              <w:right w:val="nil"/>
            </w:tcBorders>
          </w:tcPr>
          <w:p w14:paraId="194CA70A"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0.17</w:t>
            </w:r>
          </w:p>
        </w:tc>
      </w:tr>
      <w:tr w:rsidR="00CC25B1" w:rsidRPr="001A5452" w14:paraId="6CA4A046" w14:textId="77777777" w:rsidTr="00D003E1">
        <w:tc>
          <w:tcPr>
            <w:tcW w:w="1620" w:type="dxa"/>
            <w:tcBorders>
              <w:top w:val="nil"/>
              <w:left w:val="nil"/>
              <w:bottom w:val="single" w:sz="12" w:space="0" w:color="auto"/>
              <w:right w:val="nil"/>
            </w:tcBorders>
          </w:tcPr>
          <w:p w14:paraId="18796785"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110</w:t>
            </w:r>
          </w:p>
        </w:tc>
        <w:tc>
          <w:tcPr>
            <w:tcW w:w="1260" w:type="dxa"/>
            <w:tcBorders>
              <w:left w:val="nil"/>
              <w:bottom w:val="single" w:sz="12" w:space="0" w:color="auto"/>
              <w:right w:val="nil"/>
            </w:tcBorders>
          </w:tcPr>
          <w:p w14:paraId="04850EE5"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0.20</w:t>
            </w:r>
          </w:p>
        </w:tc>
        <w:tc>
          <w:tcPr>
            <w:tcW w:w="1260" w:type="dxa"/>
            <w:tcBorders>
              <w:left w:val="nil"/>
            </w:tcBorders>
          </w:tcPr>
          <w:p w14:paraId="7F9915CB"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0.20</w:t>
            </w:r>
          </w:p>
        </w:tc>
        <w:tc>
          <w:tcPr>
            <w:tcW w:w="1260" w:type="dxa"/>
          </w:tcPr>
          <w:p w14:paraId="2EE60C33"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0.24</w:t>
            </w:r>
          </w:p>
        </w:tc>
        <w:tc>
          <w:tcPr>
            <w:tcW w:w="1170" w:type="dxa"/>
          </w:tcPr>
          <w:p w14:paraId="4A6ED951"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0.27</w:t>
            </w:r>
          </w:p>
        </w:tc>
        <w:tc>
          <w:tcPr>
            <w:tcW w:w="1080" w:type="dxa"/>
          </w:tcPr>
          <w:p w14:paraId="1993DBA2"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0.29</w:t>
            </w:r>
          </w:p>
        </w:tc>
        <w:tc>
          <w:tcPr>
            <w:tcW w:w="1170" w:type="dxa"/>
          </w:tcPr>
          <w:p w14:paraId="585D9C35"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0.32</w:t>
            </w:r>
          </w:p>
        </w:tc>
        <w:tc>
          <w:tcPr>
            <w:tcW w:w="1170" w:type="dxa"/>
            <w:tcBorders>
              <w:top w:val="nil"/>
              <w:bottom w:val="single" w:sz="12" w:space="0" w:color="auto"/>
              <w:right w:val="nil"/>
            </w:tcBorders>
          </w:tcPr>
          <w:p w14:paraId="1A3E8C9A" w14:textId="77777777" w:rsidR="00CC25B1" w:rsidRPr="001A5452" w:rsidRDefault="00CC25B1" w:rsidP="00EC3BE6">
            <w:pPr>
              <w:spacing w:line="360" w:lineRule="auto"/>
              <w:jc w:val="center"/>
              <w:rPr>
                <w:rFonts w:ascii="Times New Roman" w:hAnsi="Times New Roman" w:cs="Times New Roman"/>
              </w:rPr>
            </w:pPr>
            <w:r w:rsidRPr="001A5452">
              <w:rPr>
                <w:rFonts w:ascii="Times New Roman" w:hAnsi="Times New Roman" w:cs="Times New Roman"/>
              </w:rPr>
              <w:t>0.18</w:t>
            </w:r>
          </w:p>
        </w:tc>
      </w:tr>
    </w:tbl>
    <w:p w14:paraId="02A57D58" w14:textId="77777777" w:rsidR="00CC25B1" w:rsidRPr="001A5452" w:rsidRDefault="00CC25B1" w:rsidP="00CC25B1">
      <w:pPr>
        <w:spacing w:after="0"/>
        <w:rPr>
          <w:rFonts w:ascii="Times New Roman" w:hAnsi="Times New Roman" w:cs="Times New Roman"/>
          <w:sz w:val="24"/>
          <w:szCs w:val="24"/>
        </w:rPr>
      </w:pPr>
    </w:p>
    <w:p w14:paraId="21E5F90B" w14:textId="79F5B89F" w:rsidR="007E4AF6" w:rsidRDefault="007E4AF6" w:rsidP="007E4AF6">
      <w:pPr>
        <w:spacing w:after="0"/>
        <w:jc w:val="center"/>
        <w:rPr>
          <w:rFonts w:ascii="Times New Roman" w:hAnsi="Times New Roman" w:cs="Times New Roman"/>
          <w:sz w:val="24"/>
          <w:szCs w:val="24"/>
        </w:rPr>
      </w:pPr>
    </w:p>
    <w:p w14:paraId="62B8B268" w14:textId="77777777" w:rsidR="00CC25B1" w:rsidRPr="001A5452" w:rsidRDefault="00CC25B1" w:rsidP="007E4AF6">
      <w:pPr>
        <w:spacing w:after="0"/>
        <w:jc w:val="center"/>
        <w:rPr>
          <w:rFonts w:ascii="Times New Roman" w:hAnsi="Times New Roman" w:cs="Times New Roman"/>
          <w:sz w:val="24"/>
          <w:szCs w:val="24"/>
        </w:rPr>
      </w:pPr>
    </w:p>
    <w:p w14:paraId="0E8FECE5" w14:textId="1775CA8E" w:rsidR="007E4AF6" w:rsidRPr="001A5452" w:rsidRDefault="006C2A20" w:rsidP="007E4AF6">
      <w:pPr>
        <w:pStyle w:val="Heading2"/>
        <w:spacing w:before="0"/>
        <w:rPr>
          <w:rFonts w:cs="Times New Roman"/>
          <w:szCs w:val="24"/>
        </w:rPr>
      </w:pPr>
      <w:bookmarkStart w:id="141" w:name="_Toc518823302"/>
      <w:r>
        <w:rPr>
          <w:rFonts w:cs="Times New Roman"/>
          <w:szCs w:val="24"/>
        </w:rPr>
        <w:t>4</w:t>
      </w:r>
      <w:r w:rsidR="004D0F8E">
        <w:rPr>
          <w:rFonts w:cs="Times New Roman"/>
          <w:szCs w:val="24"/>
        </w:rPr>
        <w:t>.</w:t>
      </w:r>
      <w:r w:rsidR="002E496B">
        <w:rPr>
          <w:rFonts w:cs="Times New Roman"/>
          <w:szCs w:val="24"/>
        </w:rPr>
        <w:t>3.</w:t>
      </w:r>
      <w:r w:rsidR="002E496B">
        <w:rPr>
          <w:rFonts w:cs="Times New Roman" w:hint="eastAsia"/>
          <w:szCs w:val="24"/>
        </w:rPr>
        <w:t>5</w:t>
      </w:r>
      <w:r w:rsidR="007E4AF6" w:rsidRPr="001A5452">
        <w:rPr>
          <w:rFonts w:cs="Times New Roman"/>
          <w:szCs w:val="24"/>
        </w:rPr>
        <w:t>. Mechanical properties of UPR, and UPR/rGO composites</w:t>
      </w:r>
      <w:bookmarkEnd w:id="141"/>
    </w:p>
    <w:p w14:paraId="427FD51F" w14:textId="7AC7CDB2" w:rsidR="007E4AF6" w:rsidRPr="001A5452" w:rsidRDefault="006C2A20" w:rsidP="007E4AF6">
      <w:pPr>
        <w:pStyle w:val="Heading3"/>
        <w:spacing w:before="0"/>
        <w:rPr>
          <w:rFonts w:cs="Times New Roman"/>
        </w:rPr>
      </w:pPr>
      <w:bookmarkStart w:id="142" w:name="_Toc518823303"/>
      <w:r>
        <w:rPr>
          <w:rFonts w:cs="Times New Roman"/>
        </w:rPr>
        <w:t>4</w:t>
      </w:r>
      <w:r w:rsidR="004D0F8E">
        <w:rPr>
          <w:rFonts w:cs="Times New Roman"/>
        </w:rPr>
        <w:t>.</w:t>
      </w:r>
      <w:r w:rsidR="002E496B">
        <w:rPr>
          <w:rFonts w:cs="Times New Roman"/>
        </w:rPr>
        <w:t>3.</w:t>
      </w:r>
      <w:r w:rsidR="002E496B">
        <w:rPr>
          <w:rFonts w:cs="Times New Roman" w:hint="eastAsia"/>
        </w:rPr>
        <w:t>5</w:t>
      </w:r>
      <w:r w:rsidR="007E4AF6" w:rsidRPr="001A5452">
        <w:rPr>
          <w:rFonts w:cs="Times New Roman"/>
        </w:rPr>
        <w:t>.1. Tensile properties</w:t>
      </w:r>
      <w:bookmarkEnd w:id="142"/>
    </w:p>
    <w:p w14:paraId="056620F0" w14:textId="50E2E461" w:rsidR="00AB0341" w:rsidRDefault="0098706E" w:rsidP="007E4AF6">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Figure </w:t>
      </w:r>
      <w:r w:rsidR="001640F9">
        <w:rPr>
          <w:rFonts w:ascii="Times New Roman" w:hAnsi="Times New Roman" w:cs="Times New Roman" w:hint="eastAsia"/>
          <w:sz w:val="24"/>
          <w:szCs w:val="24"/>
        </w:rPr>
        <w:t>4</w:t>
      </w:r>
      <w:r>
        <w:rPr>
          <w:rFonts w:ascii="Times New Roman" w:hAnsi="Times New Roman" w:cs="Times New Roman" w:hint="eastAsia"/>
          <w:sz w:val="24"/>
          <w:szCs w:val="24"/>
        </w:rPr>
        <w:t>.7</w:t>
      </w:r>
      <w:r w:rsidR="007E4AF6" w:rsidRPr="00444ED0">
        <w:rPr>
          <w:rFonts w:ascii="Times New Roman" w:hAnsi="Times New Roman" w:cs="Times New Roman"/>
          <w:sz w:val="24"/>
          <w:szCs w:val="24"/>
        </w:rPr>
        <w:t xml:space="preserve"> shows the tensile properties of UPR and its rGO composites, and the r</w:t>
      </w:r>
      <w:r>
        <w:rPr>
          <w:rFonts w:ascii="Times New Roman" w:hAnsi="Times New Roman" w:cs="Times New Roman"/>
          <w:sz w:val="24"/>
          <w:szCs w:val="24"/>
        </w:rPr>
        <w:t xml:space="preserve">esults are summarized in Table </w:t>
      </w:r>
      <w:r w:rsidR="001640F9">
        <w:rPr>
          <w:rFonts w:ascii="Times New Roman" w:hAnsi="Times New Roman" w:cs="Times New Roman" w:hint="eastAsia"/>
          <w:sz w:val="24"/>
          <w:szCs w:val="24"/>
        </w:rPr>
        <w:t>4</w:t>
      </w:r>
      <w:r>
        <w:rPr>
          <w:rFonts w:ascii="Times New Roman" w:hAnsi="Times New Roman" w:cs="Times New Roman" w:hint="eastAsia"/>
          <w:sz w:val="24"/>
          <w:szCs w:val="24"/>
        </w:rPr>
        <w:t>.3</w:t>
      </w:r>
      <w:r w:rsidR="007E4AF6" w:rsidRPr="00444ED0">
        <w:rPr>
          <w:rFonts w:ascii="Times New Roman" w:hAnsi="Times New Roman" w:cs="Times New Roman"/>
          <w:sz w:val="24"/>
          <w:szCs w:val="24"/>
        </w:rPr>
        <w:t>. In order to investigate the influence of THF on the mechanical properties of UPR, the tensile test was carried out on the control sample (UPR-THF). According to the tensile properties, the difference between UPR and UPR-THF is stati</w:t>
      </w:r>
      <w:r w:rsidR="00AB0341">
        <w:rPr>
          <w:rFonts w:ascii="Times New Roman" w:hAnsi="Times New Roman" w:cs="Times New Roman"/>
          <w:sz w:val="24"/>
          <w:szCs w:val="24"/>
        </w:rPr>
        <w:t>sti</w:t>
      </w:r>
      <w:r w:rsidR="007E4AF6" w:rsidRPr="00ED26A0">
        <w:rPr>
          <w:rFonts w:ascii="Times New Roman" w:hAnsi="Times New Roman" w:cs="Times New Roman"/>
          <w:sz w:val="24"/>
          <w:szCs w:val="24"/>
        </w:rPr>
        <w:t xml:space="preserve">cally insignificant (p &gt; 0.05, two-tailed t-test). Hence, the addition of THF does not affect the mechanical properties of UPR. Young’s modulus, and tensile strength, decrease with rGO loadings, and the lowest values are observed at 0.5 wt.% (0.6 GPa for Young’s modulus, and 17.8 MPa for tensile strength). </w:t>
      </w:r>
      <w:r w:rsidR="00AB0341">
        <w:rPr>
          <w:rFonts w:ascii="Times New Roman" w:hAnsi="Times New Roman" w:cs="Times New Roman"/>
          <w:sz w:val="24"/>
          <w:szCs w:val="24"/>
        </w:rPr>
        <w:t>In contrast,</w:t>
      </w:r>
      <w:r w:rsidR="007E4AF6" w:rsidRPr="00ED26A0">
        <w:rPr>
          <w:rFonts w:ascii="Times New Roman" w:hAnsi="Times New Roman" w:cs="Times New Roman"/>
          <w:sz w:val="24"/>
          <w:szCs w:val="24"/>
        </w:rPr>
        <w:t xml:space="preserve"> 1.0 wt.% exhibits a relatively high Young’s modulus (1.2 GPa) and tensile strength (21.3 MPa). Furthermore, the elongation at break increases with the rGO loading below 0.5 wt.%, which is stati</w:t>
      </w:r>
      <w:r w:rsidR="00AB0341">
        <w:rPr>
          <w:rFonts w:ascii="Times New Roman" w:hAnsi="Times New Roman" w:cs="Times New Roman"/>
          <w:sz w:val="24"/>
          <w:szCs w:val="24"/>
        </w:rPr>
        <w:t>sti</w:t>
      </w:r>
      <w:r w:rsidR="007E4AF6" w:rsidRPr="00493E7C">
        <w:rPr>
          <w:rFonts w:ascii="Times New Roman" w:hAnsi="Times New Roman" w:cs="Times New Roman"/>
          <w:sz w:val="24"/>
          <w:szCs w:val="24"/>
        </w:rPr>
        <w:t xml:space="preserve">cally insignificant (p &gt; 0.05, two-tailed t-test). 0.5 wt.% UPR/rGO exhibits a significant improvement on elongation at break of 17.9% (120% over UPR-THF and neat UPR). </w:t>
      </w:r>
      <w:r w:rsidR="00AB0341">
        <w:rPr>
          <w:rFonts w:ascii="Times New Roman" w:hAnsi="Times New Roman" w:cs="Times New Roman"/>
          <w:sz w:val="24"/>
          <w:szCs w:val="24"/>
        </w:rPr>
        <w:t>However</w:t>
      </w:r>
      <w:r w:rsidR="007E4AF6" w:rsidRPr="00493E7C">
        <w:rPr>
          <w:rFonts w:ascii="Times New Roman" w:hAnsi="Times New Roman" w:cs="Times New Roman"/>
          <w:sz w:val="24"/>
          <w:szCs w:val="24"/>
        </w:rPr>
        <w:t xml:space="preserve">, 1.0 wt.% UPR/rGO composite exhibits the lowest value of 3.9%. </w:t>
      </w:r>
    </w:p>
    <w:p w14:paraId="3D1FEE7D" w14:textId="6C5BF92E" w:rsidR="007E4AF6" w:rsidRPr="00CB2FE7" w:rsidRDefault="00AB0341" w:rsidP="00CB2FE7">
      <w:pPr>
        <w:spacing w:after="0" w:line="480" w:lineRule="auto"/>
        <w:ind w:firstLine="240"/>
        <w:jc w:val="both"/>
        <w:rPr>
          <w:rFonts w:ascii="Times New Roman" w:hAnsi="Times New Roman" w:cs="Times New Roman"/>
          <w:sz w:val="24"/>
          <w:szCs w:val="24"/>
        </w:rPr>
      </w:pPr>
      <w:r>
        <w:rPr>
          <w:rFonts w:ascii="Times New Roman" w:hAnsi="Times New Roman" w:cs="Times New Roman"/>
          <w:sz w:val="24"/>
          <w:szCs w:val="24"/>
        </w:rPr>
        <w:t>T</w:t>
      </w:r>
      <w:r w:rsidR="007E4AF6" w:rsidRPr="00493E7C">
        <w:rPr>
          <w:rFonts w:ascii="Times New Roman" w:hAnsi="Times New Roman" w:cs="Times New Roman"/>
          <w:sz w:val="24"/>
          <w:szCs w:val="24"/>
        </w:rPr>
        <w:t>he addition of nanoparticles could affect the curing process of polymers, which in turn determine</w:t>
      </w:r>
      <w:r w:rsidRPr="00493E7C">
        <w:rPr>
          <w:rFonts w:ascii="Times New Roman" w:hAnsi="Times New Roman" w:cs="Times New Roman"/>
          <w:sz w:val="24"/>
          <w:szCs w:val="24"/>
        </w:rPr>
        <w:t>s</w:t>
      </w:r>
      <w:r w:rsidR="007E4AF6" w:rsidRPr="00493E7C">
        <w:rPr>
          <w:rFonts w:ascii="Times New Roman" w:hAnsi="Times New Roman" w:cs="Times New Roman"/>
          <w:sz w:val="24"/>
          <w:szCs w:val="24"/>
        </w:rPr>
        <w:t xml:space="preserve"> the rheological behavior, cure kinetics, and crosslinking density, resulting in significant changes on the mechanical properties, thermal properties, etc. </w:t>
      </w:r>
      <w:r w:rsidR="007E4AF6" w:rsidRPr="001B1095">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"ISBN" : "9783527328789", "editor" : [ { "dropping-particle" : "", "family" : "Mittal", "given" : "Vikas", "non-dropping-particle" : "", "parse-names" : false, "suffix" : "" } ], "id" : "ITEM-1", "issued" : { "date-parts" : [ [ "2010" ] ] }, "number-of-pages" : "2260", "publisher" : "The petroleum institute chemical engineering department", "title" : "Modeling and prediction of polymer nanocomposite properties", "type" : "book" }, "uris" : [ "http://www.mendeley.com/documents/?uuid=c72d6084-8c5f-451a-a88b-7ab4079bb814" ] } ], "mendeley" : { "formattedCitation" : "[203]", "plainTextFormattedCitation" : "[203]", "previouslyFormattedCitation" : "[203]" }, "properties" : {  }, "schema" : "https://github.com/citation-style-language/schema/raw/master/csl-citation.json" }</w:instrText>
      </w:r>
      <w:r w:rsidR="007E4AF6" w:rsidRPr="001B1095">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[203]</w:t>
      </w:r>
      <w:r w:rsidR="007E4AF6" w:rsidRPr="001B1095">
        <w:rPr>
          <w:rFonts w:ascii="Times New Roman" w:hAnsi="Times New Roman" w:cs="Times New Roman"/>
          <w:sz w:val="24"/>
          <w:szCs w:val="24"/>
        </w:rPr>
        <w:fldChar w:fldCharType="end"/>
      </w:r>
      <w:r w:rsidR="007E4AF6" w:rsidRPr="00493E7C">
        <w:rPr>
          <w:rFonts w:ascii="Times New Roman" w:hAnsi="Times New Roman" w:cs="Times New Roman"/>
          <w:sz w:val="24"/>
          <w:szCs w:val="24"/>
        </w:rPr>
        <w:t xml:space="preserve">. </w:t>
      </w:r>
      <w:r w:rsidR="00D16D20">
        <w:rPr>
          <w:rFonts w:ascii="Times New Roman" w:hAnsi="Times New Roman" w:cs="Times New Roman"/>
          <w:sz w:val="24"/>
          <w:szCs w:val="24"/>
        </w:rPr>
        <w:t>Fundamentally</w:t>
      </w:r>
      <w:r w:rsidR="007E4AF6" w:rsidRPr="00493E7C">
        <w:rPr>
          <w:rFonts w:ascii="Times New Roman" w:hAnsi="Times New Roman" w:cs="Times New Roman"/>
          <w:sz w:val="24"/>
          <w:szCs w:val="24"/>
        </w:rPr>
        <w:t xml:space="preserve">, the mechanical properties of polymer nanocomposites mostly depend on the </w:t>
      </w:r>
      <w:r>
        <w:rPr>
          <w:rFonts w:ascii="Times New Roman" w:hAnsi="Times New Roman" w:cs="Times New Roman"/>
          <w:sz w:val="24"/>
          <w:szCs w:val="24"/>
        </w:rPr>
        <w:t xml:space="preserve">mechanical properties of the </w:t>
      </w:r>
      <w:r w:rsidR="007E4AF6" w:rsidRPr="001B1095">
        <w:rPr>
          <w:rFonts w:ascii="Times New Roman" w:hAnsi="Times New Roman" w:cs="Times New Roman"/>
          <w:sz w:val="24"/>
          <w:szCs w:val="24"/>
        </w:rPr>
        <w:t>polymer matrix</w:t>
      </w:r>
      <w:r>
        <w:rPr>
          <w:rFonts w:ascii="Times New Roman" w:hAnsi="Times New Roman" w:cs="Times New Roman"/>
          <w:sz w:val="24"/>
          <w:szCs w:val="24"/>
        </w:rPr>
        <w:t xml:space="preserve"> and the</w:t>
      </w:r>
      <w:r w:rsidR="007E4AF6" w:rsidRPr="001B1095">
        <w:rPr>
          <w:rFonts w:ascii="Times New Roman" w:hAnsi="Times New Roman" w:cs="Times New Roman"/>
          <w:sz w:val="24"/>
          <w:szCs w:val="24"/>
        </w:rPr>
        <w:t xml:space="preserve"> nanoparticles, the dispersion of nanoparticles, the shape and type of nanoparticles, </w:t>
      </w:r>
      <w:r>
        <w:rPr>
          <w:rFonts w:ascii="Times New Roman" w:hAnsi="Times New Roman" w:cs="Times New Roman"/>
          <w:sz w:val="24"/>
          <w:szCs w:val="24"/>
        </w:rPr>
        <w:t xml:space="preserve">and </w:t>
      </w:r>
      <w:r w:rsidR="007E4AF6" w:rsidRPr="001B1095">
        <w:rPr>
          <w:rFonts w:ascii="Times New Roman" w:hAnsi="Times New Roman" w:cs="Times New Roman"/>
          <w:sz w:val="24"/>
          <w:szCs w:val="24"/>
        </w:rPr>
        <w:t xml:space="preserve">the </w:t>
      </w:r>
      <w:r w:rsidR="00D16D20">
        <w:rPr>
          <w:rFonts w:ascii="Times New Roman" w:hAnsi="Times New Roman" w:cs="Times New Roman"/>
          <w:sz w:val="24"/>
          <w:szCs w:val="24"/>
        </w:rPr>
        <w:t>density of crosslinking</w:t>
      </w:r>
      <w:r w:rsidR="00092445">
        <w:rPr>
          <w:rFonts w:ascii="Times New Roman" w:hAnsi="Times New Roman" w:cs="Times New Roman"/>
          <w:sz w:val="24"/>
          <w:szCs w:val="24"/>
        </w:rPr>
        <w:t xml:space="preserve"> </w:t>
      </w:r>
      <w:r w:rsidR="007E4AF6" w:rsidRPr="001B1095">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"10.1016/j.compscitech.2011.06.010", "ISSN" : "02663538", "abstract" : "We report the study of the effects of carbon nanofibers (CNFs) on the cure kinetics and on the chemorheology of unsaturated polyester resins (UP). Two main experimental techniques were utilized: differential scanning calorimetry and rheometry. Isothermal and dynamic tests were performed on the neat polyester resin and on two nanocomposite systems, with 0.5 and 1.0. wt.% of CNFs. Furthermore, a TGA study of the selected systems at different isothermal temperatures was performed to evaluate the styrene consumption and related loss rate during the curing process. Subsequently, a phenomenological model (autocatalytic approach) was applied to the experimental data, both in isothermal and dynamic conditions. In the case of dynamic curing, the evidence of multiple peaks in the heat flow curves was studied through the deconvolution of the overall reaction thermogram in single reaction steps. An empirical rheological model coupled with the reaction kinetics was successfully applied to simulate the viscosity changes of the UP matrix. Experimental and modelling results demonstrate the presence of a delay effect of the CNFs on the cure of the UP resin matrix. \u00a9 2011 Elsevier Ltd.", "author" : [ { "dropping-particle" : "", "family" : "Monti", "given" : "Marco", "non-dropping-particle" : "", "parse-names" : false, "suffix" : "" }, { "dropping-particle" : "", "family" : "Puglia", "given" : "Debora", "non-dropping-particle" : "", "parse-names" : false, "suffix" : "" }, { "dropping-particle" : "", "family" : "Natali", "given" : "Maurizio", "non-dropping-particle" : "", "parse-names" : false, "suffix" : "" }, { "dropping-particle" : "", "family" : "Torre", "given" : "Luigi", "non-dropping-particle" : "", "parse-names" : false, "suffix" : "" }, { "dropping-particle" : "", "family" : "Kenny", "given" : "Jos\u00e9 M.", "non-dropping-particle" : "", "parse-names" : false, "suffix" : "" } ], "container-title" : "Composites Science and Technology", "id" : "ITEM-1", "issue" : "12", "issued" : { "date-parts" : [ [ "2011" ] ] }, "page" : "1507-1516", "publisher" : "Elsevier Ltd", "title" : "Effect of carbon nanofibers on the cure kinetics of unsaturated polyester resin: Thermal and chemorheological modelling", "type" : "article-journal", "volume" : "71" }, "uris" : [ "http://www.mendeley.com/documents/?uuid=2ba89525-98cf-441d-8d2e-d965a63e5c2a" ] }, { "id" : "ITEM-2", "itemData" : { "ISBN" : "9783527328789", "editor" : [ { "dropping-particle" : "", "family" : "Mittal", "given" : "Vikas", "non-dropping-particle" : "", "parse-names" : false, "suffix" : "" } ], "id" : "ITEM-2", "issued" : { "date-parts" : [ [ "2010" ] ] }, "number-of-pages" : "2260", "publisher" : "The petroleum institute chemical engineering department", "title" : "Modeling and prediction of polymer nanocomposite properties", "type" : "book" }, "uris" : [ "http://www.mendeley.com/documents/?uuid=c72d6084-8c5f-451a-a88b-7ab4079bb814" ] } ], "mendeley" : { "formattedCitation" : "[203,204]", "plainTextFormattedCitation" : "[203,204]", "previouslyFormattedCitation" : "[203,204]" }, "properties" : {  }, "schema" : "https://github.com/citation-style-language/schema/raw/master/csl-citation.json" }</w:instrText>
      </w:r>
      <w:r w:rsidR="007E4AF6" w:rsidRPr="001B1095">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[203,204]</w:t>
      </w:r>
      <w:r w:rsidR="007E4AF6" w:rsidRPr="001B1095">
        <w:rPr>
          <w:rFonts w:ascii="Times New Roman" w:hAnsi="Times New Roman" w:cs="Times New Roman"/>
          <w:sz w:val="24"/>
          <w:szCs w:val="24"/>
        </w:rPr>
        <w:fldChar w:fldCharType="end"/>
      </w:r>
      <w:r w:rsidR="007E4AF6" w:rsidRPr="001B1095">
        <w:rPr>
          <w:rFonts w:ascii="Times New Roman" w:hAnsi="Times New Roman" w:cs="Times New Roman"/>
          <w:sz w:val="24"/>
          <w:szCs w:val="24"/>
        </w:rPr>
        <w:t xml:space="preserve">. </w:t>
      </w:r>
      <w:r w:rsidR="00D16D20">
        <w:rPr>
          <w:rFonts w:ascii="Times New Roman" w:hAnsi="Times New Roman" w:cs="Times New Roman"/>
          <w:sz w:val="24"/>
          <w:szCs w:val="24"/>
        </w:rPr>
        <w:t xml:space="preserve">As discussed in previous chapter, some styrene and cobalt may absorbed on the surface of GO sheet via chemical bonding and п-п interaction. </w:t>
      </w:r>
      <w:r w:rsidR="007E4AF6" w:rsidRPr="001B1095">
        <w:rPr>
          <w:rFonts w:ascii="Times New Roman" w:hAnsi="Times New Roman" w:cs="Times New Roman"/>
          <w:sz w:val="24"/>
          <w:szCs w:val="24"/>
        </w:rPr>
        <w:t>At a lower concentration (</w:t>
      </w:r>
      <w:r w:rsidR="007E4AF6" w:rsidRPr="001B1095">
        <w:rPr>
          <w:rFonts w:ascii="Times New Roman" w:hAnsi="Times New Roman" w:cs="Times New Roman" w:hint="eastAsia"/>
          <w:sz w:val="24"/>
          <w:szCs w:val="24"/>
        </w:rPr>
        <w:t>≤</w:t>
      </w:r>
      <w:r w:rsidR="007E4AF6" w:rsidRPr="001B1095">
        <w:rPr>
          <w:rFonts w:ascii="Times New Roman" w:hAnsi="Times New Roman" w:cs="Times New Roman"/>
          <w:sz w:val="24"/>
          <w:szCs w:val="24"/>
        </w:rPr>
        <w:t xml:space="preserve">0.5 wt.%), rGO can be dispersed homogeneously in polymeric matrix. Therefore, </w:t>
      </w:r>
      <w:r w:rsidR="003867DA">
        <w:rPr>
          <w:rFonts w:ascii="Times New Roman" w:hAnsi="Times New Roman" w:cs="Times New Roman"/>
          <w:sz w:val="24"/>
          <w:szCs w:val="24"/>
        </w:rPr>
        <w:t xml:space="preserve">the amount of styrene for crosslinking with UPR chains </w:t>
      </w:r>
      <w:r w:rsidR="00EE7F1B">
        <w:rPr>
          <w:rFonts w:ascii="Times New Roman" w:hAnsi="Times New Roman" w:cs="Times New Roman"/>
          <w:sz w:val="24"/>
          <w:szCs w:val="24"/>
        </w:rPr>
        <w:t>are reduced. Although the reduced amount of cobalt does not directly affect crosslinking density, the curing time would be negatively affected.</w:t>
      </w:r>
      <w:r w:rsidR="003867DA">
        <w:rPr>
          <w:rFonts w:ascii="Times New Roman" w:hAnsi="Times New Roman" w:cs="Times New Roman"/>
          <w:sz w:val="24"/>
          <w:szCs w:val="24"/>
        </w:rPr>
        <w:t xml:space="preserve"> </w:t>
      </w:r>
      <w:r w:rsidR="00EE7F1B">
        <w:rPr>
          <w:rFonts w:ascii="Times New Roman" w:hAnsi="Times New Roman" w:cs="Times New Roman"/>
          <w:sz w:val="24"/>
          <w:szCs w:val="24"/>
        </w:rPr>
        <w:t xml:space="preserve">In other word, the crosslinking density would be reduced for a given curing time. </w:t>
      </w:r>
      <w:r w:rsidR="00CB2FE7">
        <w:rPr>
          <w:rFonts w:ascii="Times New Roman" w:hAnsi="Times New Roman" w:cs="Times New Roman"/>
          <w:sz w:val="24"/>
          <w:szCs w:val="24"/>
        </w:rPr>
        <w:t xml:space="preserve">Therefore, a homogeneous dispersion of GO at lower concentration would reduce the crosslinking density, </w:t>
      </w:r>
      <w:r w:rsidR="007E4AF6" w:rsidRPr="00CB2FE7">
        <w:rPr>
          <w:rFonts w:ascii="Times New Roman" w:hAnsi="Times New Roman" w:cs="Times New Roman"/>
          <w:sz w:val="24"/>
          <w:szCs w:val="24"/>
        </w:rPr>
        <w:t xml:space="preserve">resulting in a </w:t>
      </w:r>
      <w:r w:rsidR="00ED3960">
        <w:rPr>
          <w:rFonts w:ascii="Times New Roman" w:hAnsi="Times New Roman" w:cs="Times New Roman"/>
          <w:sz w:val="24"/>
          <w:szCs w:val="24"/>
        </w:rPr>
        <w:t xml:space="preserve">more </w:t>
      </w:r>
      <w:r w:rsidR="007E4AF6" w:rsidRPr="00CB2FE7">
        <w:rPr>
          <w:rFonts w:ascii="Times New Roman" w:hAnsi="Times New Roman" w:cs="Times New Roman"/>
          <w:sz w:val="24"/>
          <w:szCs w:val="24"/>
        </w:rPr>
        <w:t xml:space="preserve">flexible material with reduced Young’s modulus, tensile strength, and increased elongation at break </w:t>
      </w:r>
      <w:r w:rsidR="007E4AF6" w:rsidRPr="00CB2FE7">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"10.1016/S0032-3861(00)00216-0", "ISBN" : "8242869391", "ISSN" : "00323861", "abstract" : "The properties of unsaturated polyester (UP)/montmorillonite (MMT) nanocomposite greatly depend on the preparation procedure because of the chemical reactions and physical interactions involved. To investigate the properties and formation mechanism of UP/MMT nanocomposite, samples were prepared by two different mixing methods. The first method, simultaneous mixing, is similar to the method used for preparing the conventional unsaturated polyester and filler composite. The second method is the sequential mixing, a new approach for preparing unsaturated polyester-layered silicate nanocomposite. In the first step, pre-intercalates of the unsaturated polyester and MMT nanocomposites were prepared. In other words, mixture of the UP and organophillic-treated MMT are prepared in the first step; a styrene monomer was then added to the pre-intercalates of UP/MMT with varying mixing time. The structures of UP/MMT nanocomposite were investigated by X-ray diffraction and transmission electron microscopy. To investigate the formation mechanism of UP/MMT nanocomposite, dynamic mechanical thermal analysis, solution-rheometry and melt-rheometry were performed. The properties and formation processes depending on two methods are compared. These tests enable us to understand the mechanism of UP-silicate nanocomposite formation. Based on this mechanism, we have been able to increase the crosslinking density and the degree of dispersion in UP/MMT nanocomposite. \u00a9 2000 Published by Elsevier Science Ltd.", "author" : [ { "dropping-particle" : "", "family" : "Suh", "given" : "D. J.", "non-dropping-particle" : "", "parse-names" : false, "suffix" : "" }, { "dropping-particle" : "", "family" : "Lim", "given" : "Y. T.", "non-dropping-particle" : "", "parse-names" : false, "suffix" : "" }, { "dropping-particle" : "", "family" : "Park", "given" : "O. O.", "non-dropping-particle" : "", "parse-names" : false, "suffix" : "" } ], "container-title" : "Polymer", "id" : "ITEM-1", "issue" : "24", "issued" : { "date-parts" : [ [ "2000" ] ] }, "page" : "8557-8563", "title" : "The property and formation mechanism of unsaturated polyester-layered silicate nanocomposite depending on the fabrication methods", "type" : "article-journal", "volume" : "41" }, "uris" : [ "http://www.mendeley.com/documents/?uuid=f6c1a6bf-5b05-4157-bc6b-2c1b5fe7168a" ] }, { "id" : "ITEM-2", "itemData" : { "DOI" : "10.1002/pol.1965.100030719", "ISBN" : "1542-6246", "author" : [ { "dropping-particle" : "", "family" : "Shibayama", "given" : "K", "non-dropping-particle" : "", "parse-names" : false, "suffix" : "" }, { "dropping-particle" : "", "family" : "Suzuki", "given" : "Y", "non-dropping-particle" : "", "parse-names" : false, "suffix" : "" } ], "container-title" : "Journal of Polymer Science Part A \u2026", "id" : "ITEM-2", "issued" : { "date-parts" : [ [ "1965" ] ] }, "page" : "2637-2651", "title" : "Effect of crosslinking density on the viscoelastic properties of unsaturated polyesters", "type" : "article-journal", "volume" : "3" }, "uris" : [ "http://www.mendeley.com/documents/?uuid=3c5e0cab-72fb-49d5-933f-b2f94991468b" ] } ], "mendeley" : { "formattedCitation" : "[205,206]", "plainTextFormattedCitation" : "[205,206]", "previouslyFormattedCitation" : "[205,206]" }, "properties" : {  }, "schema" : "https://github.com/citation-style-language/schema/raw/master/csl-citation.json" }</w:instrText>
      </w:r>
      <w:r w:rsidR="007E4AF6" w:rsidRPr="00CB2FE7">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[205,206]</w:t>
      </w:r>
      <w:r w:rsidR="007E4AF6" w:rsidRPr="00CB2FE7">
        <w:rPr>
          <w:rFonts w:ascii="Times New Roman" w:hAnsi="Times New Roman" w:cs="Times New Roman"/>
          <w:sz w:val="24"/>
          <w:szCs w:val="24"/>
        </w:rPr>
        <w:fldChar w:fldCharType="end"/>
      </w:r>
      <w:r w:rsidR="007E4AF6" w:rsidRPr="00CB2FE7">
        <w:rPr>
          <w:rFonts w:ascii="Times New Roman" w:hAnsi="Times New Roman" w:cs="Times New Roman"/>
          <w:sz w:val="24"/>
          <w:szCs w:val="24"/>
        </w:rPr>
        <w:t>. However, at the higher concentration of 1.0 wt.%, the dispersion of rGO is relatively poorer than that of composites at lower rGO loadings (</w:t>
      </w:r>
      <w:r w:rsidR="007E4AF6" w:rsidRPr="00CB2FE7">
        <w:rPr>
          <w:rFonts w:ascii="Times New Roman" w:hAnsi="Times New Roman" w:cs="Times New Roman" w:hint="eastAsia"/>
          <w:sz w:val="24"/>
          <w:szCs w:val="24"/>
        </w:rPr>
        <w:t>≤</w:t>
      </w:r>
      <w:r w:rsidR="007E4AF6" w:rsidRPr="00CB2FE7">
        <w:rPr>
          <w:rFonts w:ascii="Times New Roman" w:hAnsi="Times New Roman" w:cs="Times New Roman"/>
          <w:sz w:val="24"/>
          <w:szCs w:val="24"/>
        </w:rPr>
        <w:t>0.5 wt.%) due to the aggregation of rGO particles, resulting in a reduced specific surface area</w:t>
      </w:r>
      <w:r w:rsidR="00ED3960" w:rsidRPr="00CB2FE7">
        <w:rPr>
          <w:rFonts w:ascii="Times New Roman" w:hAnsi="Times New Roman" w:cs="Times New Roman"/>
          <w:sz w:val="24"/>
          <w:szCs w:val="24"/>
        </w:rPr>
        <w:t xml:space="preserve"> despite of the higher amount</w:t>
      </w:r>
      <w:r w:rsidR="007E4AF6" w:rsidRPr="00CB2FE7">
        <w:rPr>
          <w:rFonts w:ascii="Times New Roman" w:hAnsi="Times New Roman" w:cs="Times New Roman"/>
          <w:sz w:val="24"/>
          <w:szCs w:val="24"/>
        </w:rPr>
        <w:t xml:space="preserve">. Therefore, less amount of </w:t>
      </w:r>
      <w:r w:rsidR="00CB2FE7">
        <w:rPr>
          <w:rFonts w:ascii="Times New Roman" w:hAnsi="Times New Roman" w:cs="Times New Roman"/>
          <w:sz w:val="24"/>
          <w:szCs w:val="24"/>
        </w:rPr>
        <w:t>styrene and cobalt</w:t>
      </w:r>
      <w:r w:rsidR="007E4AF6" w:rsidRPr="00CB2FE7">
        <w:rPr>
          <w:rFonts w:ascii="Times New Roman" w:hAnsi="Times New Roman" w:cs="Times New Roman"/>
          <w:sz w:val="24"/>
          <w:szCs w:val="24"/>
        </w:rPr>
        <w:t xml:space="preserve"> are absorbed on rGO surface</w:t>
      </w:r>
      <w:r w:rsidR="00ED3960" w:rsidRPr="00CB2FE7">
        <w:rPr>
          <w:rFonts w:ascii="Times New Roman" w:hAnsi="Times New Roman" w:cs="Times New Roman"/>
          <w:sz w:val="24"/>
          <w:szCs w:val="24"/>
        </w:rPr>
        <w:t>, that is,</w:t>
      </w:r>
      <w:r w:rsidR="007E4AF6" w:rsidRPr="00CB2FE7">
        <w:rPr>
          <w:rFonts w:ascii="Times New Roman" w:hAnsi="Times New Roman" w:cs="Times New Roman"/>
          <w:sz w:val="24"/>
          <w:szCs w:val="24"/>
        </w:rPr>
        <w:t xml:space="preserve"> more reactive </w:t>
      </w:r>
      <w:r w:rsidR="004A6871">
        <w:rPr>
          <w:rFonts w:ascii="Times New Roman" w:hAnsi="Times New Roman" w:cs="Times New Roman"/>
          <w:sz w:val="24"/>
          <w:szCs w:val="24"/>
        </w:rPr>
        <w:t xml:space="preserve">styrene monomers </w:t>
      </w:r>
      <w:r w:rsidR="007E4AF6" w:rsidRPr="00CB2FE7">
        <w:rPr>
          <w:rFonts w:ascii="Times New Roman" w:hAnsi="Times New Roman" w:cs="Times New Roman"/>
          <w:sz w:val="24"/>
          <w:szCs w:val="24"/>
        </w:rPr>
        <w:t xml:space="preserve">can </w:t>
      </w:r>
      <w:r w:rsidR="004A6871">
        <w:rPr>
          <w:rFonts w:ascii="Times New Roman" w:hAnsi="Times New Roman" w:cs="Times New Roman"/>
          <w:sz w:val="24"/>
          <w:szCs w:val="24"/>
        </w:rPr>
        <w:t xml:space="preserve">polymerize with UPR. </w:t>
      </w:r>
      <w:r w:rsidR="007E4AF6" w:rsidRPr="00CB2FE7">
        <w:rPr>
          <w:rFonts w:ascii="Times New Roman" w:hAnsi="Times New Roman" w:cs="Times New Roman"/>
          <w:sz w:val="24"/>
          <w:szCs w:val="24"/>
        </w:rPr>
        <w:t xml:space="preserve">Moreover, the high modulus of rGO at high concentration also contributes to the final mechanical properties of UPR/rGO composites. Hence, UPR/rGO (1.0 wt.%) exhibits increased mechanical properties and reduced elongation at break. According to the results of energy at break, the UPR/rGO (0.5 wt.%) shows an improvement of 7.5% over pristine UPR. This is because that energy at break, the area underneath of the stress-strain curve, is a combination of Young’s modulus, tensile strength, and elongation at break. UPR/rGO composites with concentrations below 0.5 wt.% possess deceased tensile strength with slightly increased elongation at break, resulting in reduced energy at break with rGO loadings. </w:t>
      </w:r>
      <w:r w:rsidR="00ED3960" w:rsidRPr="00CB2FE7">
        <w:rPr>
          <w:rFonts w:ascii="Times New Roman" w:hAnsi="Times New Roman" w:cs="Times New Roman"/>
          <w:sz w:val="24"/>
          <w:szCs w:val="24"/>
        </w:rPr>
        <w:t>However</w:t>
      </w:r>
      <w:r w:rsidR="007E4AF6" w:rsidRPr="00CB2FE7">
        <w:rPr>
          <w:rFonts w:ascii="Times New Roman" w:hAnsi="Times New Roman" w:cs="Times New Roman"/>
          <w:sz w:val="24"/>
          <w:szCs w:val="24"/>
        </w:rPr>
        <w:t>, UPR/rGO (1.0 wt.%) displays a much higher elongation at break, so the energy at break is much higher compared to other composites and UPR due to the value of deformation. In other words, UPR/rGO</w:t>
      </w:r>
      <w:r w:rsidR="007E4AF6" w:rsidRPr="00CB2FE7">
        <w:rPr>
          <w:rFonts w:ascii="Times New Roman" w:hAnsi="Times New Roman" w:cs="Times New Roman"/>
          <w:sz w:val="24"/>
          <w:szCs w:val="24"/>
          <w:lang w:val="en-GB"/>
        </w:rPr>
        <w:t xml:space="preserve"> (0.5 wt.%) composite is more ductile and the deformation allows the energy absorbed to be dissipated, leading to a higher energy to be broken </w:t>
      </w:r>
      <w:r w:rsidR="007E4AF6" w:rsidRPr="00EB07E6">
        <w:rPr>
          <w:rFonts w:ascii="Times New Roman" w:hAnsi="Times New Roman" w:cs="Times New Roman"/>
          <w:sz w:val="24"/>
          <w:szCs w:val="24"/>
          <w:lang w:val="en-GB"/>
        </w:rPr>
        <w:fldChar w:fldCharType="begin" w:fldLock="1"/>
      </w:r>
      <w:r w:rsidR="0076089E">
        <w:rPr>
          <w:rFonts w:ascii="Times New Roman" w:hAnsi="Times New Roman" w:cs="Times New Roman"/>
          <w:sz w:val="24"/>
          <w:szCs w:val="24"/>
          <w:lang w:val="en-GB"/>
        </w:rPr>
        <w:instrText>ADDIN CSL_CITATION { "citationItems" : [ { "id" : "ITEM-1", "itemData" : { "author" : [ { "dropping-particle" : "", "family" : "Pearce", "given" : "Eli. M.", "non-dropping-particle" : "", "parse-names" : false, "suffix" : "" } ], "container-title" : "Journal of polymer science part A: Polymer Chemistry", "id" : "ITEM-1", "issue" : "7", "issued" : { "date-parts" : [ [ "1992" ] ] }, "page" : "1508", "title" : "principles of polymerization", "type" : "article-journal", "volume" : "30" }, "uris" : [ "http://www.mendeley.com/documents/?uuid=5eaa10ef-b3be-4155-9503-418f611ed780" ] } ], "mendeley" : { "formattedCitation" : "[207]", "plainTextFormattedCitation" : "[207]", "previouslyFormattedCitation" : "[207]" }, "properties" : {  }, "schema" : "https://github.com/citation-style-language/schema/raw/master/csl-citation.json" }</w:instrText>
      </w:r>
      <w:r w:rsidR="007E4AF6" w:rsidRPr="00EB07E6">
        <w:rPr>
          <w:rFonts w:ascii="Times New Roman" w:hAnsi="Times New Roman" w:cs="Times New Roman"/>
          <w:sz w:val="24"/>
          <w:szCs w:val="24"/>
          <w:lang w:val="en-GB"/>
        </w:rPr>
        <w:fldChar w:fldCharType="separate"/>
      </w:r>
      <w:r w:rsidR="0076089E" w:rsidRPr="0076089E">
        <w:rPr>
          <w:rFonts w:ascii="Times New Roman" w:hAnsi="Times New Roman" w:cs="Times New Roman"/>
          <w:noProof/>
          <w:sz w:val="24"/>
          <w:szCs w:val="24"/>
          <w:lang w:val="en-GB"/>
        </w:rPr>
        <w:t>[207]</w:t>
      </w:r>
      <w:r w:rsidR="007E4AF6" w:rsidRPr="00EB07E6">
        <w:rPr>
          <w:rFonts w:ascii="Times New Roman" w:hAnsi="Times New Roman" w:cs="Times New Roman"/>
          <w:sz w:val="24"/>
          <w:szCs w:val="24"/>
          <w:lang w:val="en-GB"/>
        </w:rPr>
        <w:fldChar w:fldCharType="end"/>
      </w:r>
      <w:r w:rsidR="007E4AF6" w:rsidRPr="00CB2FE7">
        <w:rPr>
          <w:rFonts w:ascii="Times New Roman" w:hAnsi="Times New Roman" w:cs="Times New Roman"/>
          <w:sz w:val="24"/>
          <w:szCs w:val="24"/>
          <w:lang w:val="en-GB"/>
        </w:rPr>
        <w:t>.</w:t>
      </w:r>
      <w:r w:rsidR="007E4AF6" w:rsidRPr="001A5452">
        <w:rPr>
          <w:rFonts w:ascii="Times New Roman" w:hAnsi="Times New Roman" w:cs="Times New Roman"/>
          <w:sz w:val="24"/>
          <w:szCs w:val="24"/>
          <w:lang w:val="en-GB"/>
        </w:rPr>
        <w:t xml:space="preserve"> </w:t>
      </w:r>
    </w:p>
    <w:p w14:paraId="0D0CFE4A" w14:textId="7EECEDF0" w:rsidR="007E4AF6" w:rsidRDefault="007E4AF6" w:rsidP="007E4AF6">
      <w:pPr>
        <w:spacing w:after="0" w:line="480" w:lineRule="auto"/>
        <w:jc w:val="both"/>
        <w:rPr>
          <w:rFonts w:ascii="Times New Roman" w:hAnsi="Times New Roman" w:cs="Times New Roman"/>
          <w:sz w:val="24"/>
          <w:szCs w:val="24"/>
          <w:lang w:val="en-GB"/>
        </w:rPr>
      </w:pPr>
    </w:p>
    <w:p w14:paraId="62711F39" w14:textId="0ACE58B9" w:rsidR="002E496B" w:rsidRDefault="002E496B" w:rsidP="007E4AF6">
      <w:pPr>
        <w:spacing w:after="0" w:line="480" w:lineRule="auto"/>
        <w:jc w:val="both"/>
        <w:rPr>
          <w:rFonts w:ascii="Times New Roman" w:hAnsi="Times New Roman" w:cs="Times New Roman"/>
          <w:sz w:val="24"/>
          <w:szCs w:val="24"/>
          <w:lang w:val="en-GB"/>
        </w:rPr>
      </w:pPr>
    </w:p>
    <w:p w14:paraId="6776A5B2" w14:textId="045D1063" w:rsidR="006C2A20" w:rsidRDefault="006C2A20" w:rsidP="00EC3BE6">
      <w:pPr>
        <w:pStyle w:val="Caption"/>
        <w:ind w:firstLine="0"/>
      </w:pPr>
      <w:r w:rsidRPr="001A5452">
        <w:rPr>
          <w:rFonts w:cs="Times New Roman"/>
          <w:noProof/>
          <w:szCs w:val="24"/>
          <w:lang w:val="en-GB"/>
        </w:rPr>
        <w:drawing>
          <wp:inline distT="0" distB="0" distL="0" distR="0" wp14:anchorId="014A5DF1" wp14:editId="1D028DF7">
            <wp:extent cx="5898758" cy="627553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04561" cy="6281712"/>
                    </a:xfrm>
                    <a:prstGeom prst="rect">
                      <a:avLst/>
                    </a:prstGeom>
                    <a:noFill/>
                  </pic:spPr>
                </pic:pic>
              </a:graphicData>
            </a:graphic>
          </wp:inline>
        </w:drawing>
      </w:r>
    </w:p>
    <w:p w14:paraId="7CFE58AC" w14:textId="77777777" w:rsidR="006C2A20" w:rsidRPr="001A5452" w:rsidRDefault="006C2A20" w:rsidP="006C2A20">
      <w:pPr>
        <w:pStyle w:val="Caption"/>
        <w:ind w:firstLine="0"/>
        <w:rPr>
          <w:rFonts w:cs="Times New Roman"/>
          <w:szCs w:val="24"/>
        </w:rPr>
      </w:pPr>
      <w:bookmarkStart w:id="143" w:name="_Toc502662473"/>
      <w:r>
        <w:t>Figure 4.</w:t>
      </w:r>
      <w:r>
        <w:fldChar w:fldCharType="begin"/>
      </w:r>
      <w:r>
        <w:instrText xml:space="preserve"> SEQ Figure_4. \* ARABIC </w:instrText>
      </w:r>
      <w:r>
        <w:fldChar w:fldCharType="separate"/>
      </w:r>
      <w:r>
        <w:rPr>
          <w:noProof/>
        </w:rPr>
        <w:t>7</w:t>
      </w:r>
      <w:r>
        <w:fldChar w:fldCharType="end"/>
      </w:r>
      <w:r w:rsidRPr="001A5452">
        <w:rPr>
          <w:rFonts w:cs="Times New Roman"/>
          <w:b w:val="0"/>
          <w:szCs w:val="24"/>
        </w:rPr>
        <w:t>.</w:t>
      </w:r>
      <w:r w:rsidRPr="001A5452">
        <w:rPr>
          <w:rFonts w:cs="Times New Roman"/>
          <w:szCs w:val="24"/>
        </w:rPr>
        <w:t xml:space="preserve"> Tensile properties of UPR and UPR/rGO composites: (a) stress-strain curves, (b) Young’s modulus, (c) tensile strength, (d) elongation at break, and (e) energy at break.</w:t>
      </w:r>
      <w:bookmarkEnd w:id="143"/>
    </w:p>
    <w:p w14:paraId="1A559841" w14:textId="622A0C51" w:rsidR="006C2A20" w:rsidRDefault="006C2A20" w:rsidP="00EC3BE6">
      <w:pPr>
        <w:pStyle w:val="Caption"/>
        <w:ind w:firstLine="0"/>
      </w:pPr>
    </w:p>
    <w:p w14:paraId="022762A3" w14:textId="0E24D117" w:rsidR="006C2A20" w:rsidRDefault="006C2A20" w:rsidP="006C2A20"/>
    <w:p w14:paraId="35762677" w14:textId="77777777" w:rsidR="006C2A20" w:rsidRPr="006C2A20" w:rsidRDefault="006C2A20" w:rsidP="006C2A20"/>
    <w:p w14:paraId="46841E4C" w14:textId="14159082" w:rsidR="007E4AF6" w:rsidRPr="001A5452" w:rsidRDefault="00644524" w:rsidP="00EC3BE6">
      <w:pPr>
        <w:pStyle w:val="Caption"/>
        <w:ind w:firstLine="0"/>
        <w:rPr>
          <w:rFonts w:cs="Times New Roman"/>
          <w:szCs w:val="24"/>
        </w:rPr>
      </w:pPr>
      <w:bookmarkStart w:id="144" w:name="_Toc518823487"/>
      <w:r>
        <w:t>T</w:t>
      </w:r>
      <w:r w:rsidR="006C2A20">
        <w:t>able 4</w:t>
      </w:r>
      <w:r>
        <w:t>.</w:t>
      </w:r>
      <w:r w:rsidR="00EC3BE6">
        <w:fldChar w:fldCharType="begin"/>
      </w:r>
      <w:r w:rsidR="00EC3BE6">
        <w:instrText xml:space="preserve"> SEQ Table_4. \* ARABIC </w:instrText>
      </w:r>
      <w:r w:rsidR="00EC3BE6">
        <w:fldChar w:fldCharType="separate"/>
      </w:r>
      <w:r w:rsidR="00551ED9">
        <w:rPr>
          <w:noProof/>
        </w:rPr>
        <w:t>3</w:t>
      </w:r>
      <w:r w:rsidR="00EC3BE6">
        <w:fldChar w:fldCharType="end"/>
      </w:r>
      <w:r w:rsidR="007E4AF6" w:rsidRPr="001A5452">
        <w:rPr>
          <w:rFonts w:cs="Times New Roman"/>
          <w:b w:val="0"/>
          <w:szCs w:val="24"/>
        </w:rPr>
        <w:t>.</w:t>
      </w:r>
      <w:r w:rsidR="007E4AF6" w:rsidRPr="001A5452">
        <w:rPr>
          <w:rFonts w:cs="Times New Roman"/>
          <w:szCs w:val="24"/>
        </w:rPr>
        <w:t xml:space="preserve"> Tensile properties of UPR, UPR-THF, and UPR/rGO composites.</w:t>
      </w:r>
      <w:bookmarkEnd w:id="144"/>
    </w:p>
    <w:tbl>
      <w:tblPr>
        <w:tblStyle w:val="TableGrid"/>
        <w:tblW w:w="9639"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1642"/>
        <w:gridCol w:w="2051"/>
        <w:gridCol w:w="1797"/>
        <w:gridCol w:w="2165"/>
        <w:gridCol w:w="1984"/>
      </w:tblGrid>
      <w:tr w:rsidR="007E4AF6" w:rsidRPr="001A5452" w14:paraId="4CA7F486" w14:textId="77777777" w:rsidTr="00314423">
        <w:trPr>
          <w:trHeight w:val="690"/>
        </w:trPr>
        <w:tc>
          <w:tcPr>
            <w:tcW w:w="1642" w:type="dxa"/>
            <w:tcBorders>
              <w:left w:val="nil"/>
              <w:bottom w:val="single" w:sz="12" w:space="0" w:color="000000" w:themeColor="text1"/>
              <w:right w:val="nil"/>
            </w:tcBorders>
          </w:tcPr>
          <w:p w14:paraId="558B130A" w14:textId="77777777" w:rsidR="007E4AF6" w:rsidRPr="001A5452" w:rsidRDefault="007E4AF6" w:rsidP="00DA69B8">
            <w:pPr>
              <w:spacing w:line="360" w:lineRule="auto"/>
              <w:rPr>
                <w:rFonts w:ascii="Times New Roman" w:hAnsi="Times New Roman" w:cs="Times New Roman"/>
              </w:rPr>
            </w:pPr>
          </w:p>
        </w:tc>
        <w:tc>
          <w:tcPr>
            <w:tcW w:w="2051" w:type="dxa"/>
            <w:tcBorders>
              <w:left w:val="nil"/>
              <w:bottom w:val="single" w:sz="12" w:space="0" w:color="000000" w:themeColor="text1"/>
              <w:right w:val="nil"/>
            </w:tcBorders>
            <w:vAlign w:val="center"/>
          </w:tcPr>
          <w:p w14:paraId="536640C5" w14:textId="77777777" w:rsidR="007E4AF6" w:rsidRPr="001A5452" w:rsidRDefault="007E4AF6" w:rsidP="00DA69B8">
            <w:pPr>
              <w:spacing w:line="360" w:lineRule="auto"/>
              <w:rPr>
                <w:rFonts w:ascii="Times New Roman" w:hAnsi="Times New Roman" w:cs="Times New Roman"/>
              </w:rPr>
            </w:pPr>
            <w:r w:rsidRPr="001A5452">
              <w:rPr>
                <w:rFonts w:ascii="Times New Roman" w:hAnsi="Times New Roman" w:cs="Times New Roman"/>
              </w:rPr>
              <w:t xml:space="preserve">Young’s modulus </w:t>
            </w:r>
          </w:p>
          <w:p w14:paraId="14CFB31D" w14:textId="77777777" w:rsidR="007E4AF6" w:rsidRPr="001A5452" w:rsidRDefault="007E4AF6" w:rsidP="00DA69B8">
            <w:pPr>
              <w:spacing w:line="360" w:lineRule="auto"/>
              <w:rPr>
                <w:rFonts w:ascii="Times New Roman" w:hAnsi="Times New Roman" w:cs="Times New Roman"/>
              </w:rPr>
            </w:pPr>
            <w:r w:rsidRPr="001A5452">
              <w:rPr>
                <w:rFonts w:ascii="Times New Roman" w:hAnsi="Times New Roman" w:cs="Times New Roman"/>
              </w:rPr>
              <w:t xml:space="preserve">          / GPa</w:t>
            </w:r>
          </w:p>
        </w:tc>
        <w:tc>
          <w:tcPr>
            <w:tcW w:w="1797" w:type="dxa"/>
            <w:tcBorders>
              <w:left w:val="nil"/>
              <w:bottom w:val="single" w:sz="12" w:space="0" w:color="000000" w:themeColor="text1"/>
              <w:right w:val="nil"/>
            </w:tcBorders>
            <w:vAlign w:val="center"/>
          </w:tcPr>
          <w:p w14:paraId="7F172870" w14:textId="77777777" w:rsidR="007E4AF6" w:rsidRPr="001A5452" w:rsidRDefault="007E4AF6" w:rsidP="00DA69B8">
            <w:pPr>
              <w:spacing w:line="360" w:lineRule="auto"/>
              <w:jc w:val="center"/>
              <w:rPr>
                <w:rFonts w:ascii="Times New Roman" w:hAnsi="Times New Roman" w:cs="Times New Roman"/>
                <w:bCs/>
                <w:color w:val="000000"/>
              </w:rPr>
            </w:pPr>
          </w:p>
          <w:p w14:paraId="367746C7" w14:textId="77777777" w:rsidR="007E4AF6" w:rsidRPr="001A5452" w:rsidRDefault="007E4AF6" w:rsidP="00DA69B8">
            <w:pPr>
              <w:spacing w:line="360" w:lineRule="auto"/>
              <w:jc w:val="center"/>
              <w:rPr>
                <w:rFonts w:ascii="Times New Roman" w:hAnsi="Times New Roman" w:cs="Times New Roman"/>
                <w:bCs/>
                <w:color w:val="000000"/>
              </w:rPr>
            </w:pPr>
            <w:r w:rsidRPr="001A5452">
              <w:rPr>
                <w:rFonts w:ascii="Times New Roman" w:hAnsi="Times New Roman" w:cs="Times New Roman"/>
                <w:bCs/>
                <w:color w:val="000000"/>
              </w:rPr>
              <w:t>Tensile Strength</w:t>
            </w:r>
          </w:p>
          <w:p w14:paraId="18E2FDF6" w14:textId="77777777" w:rsidR="007E4AF6" w:rsidRPr="001A5452" w:rsidRDefault="007E4AF6" w:rsidP="00DA69B8">
            <w:pPr>
              <w:spacing w:line="360" w:lineRule="auto"/>
              <w:jc w:val="center"/>
              <w:rPr>
                <w:rFonts w:ascii="Times New Roman" w:hAnsi="Times New Roman" w:cs="Times New Roman"/>
                <w:bCs/>
                <w:color w:val="000000"/>
              </w:rPr>
            </w:pPr>
            <w:r w:rsidRPr="001A5452">
              <w:rPr>
                <w:rFonts w:ascii="Times New Roman" w:hAnsi="Times New Roman" w:cs="Times New Roman"/>
                <w:bCs/>
                <w:color w:val="000000"/>
              </w:rPr>
              <w:t>/ MPa</w:t>
            </w:r>
          </w:p>
          <w:p w14:paraId="57358CA6" w14:textId="77777777" w:rsidR="007E4AF6" w:rsidRPr="001A5452" w:rsidRDefault="007E4AF6" w:rsidP="00DA69B8">
            <w:pPr>
              <w:spacing w:line="360" w:lineRule="auto"/>
              <w:rPr>
                <w:rFonts w:ascii="Times New Roman" w:hAnsi="Times New Roman" w:cs="Times New Roman"/>
              </w:rPr>
            </w:pPr>
          </w:p>
        </w:tc>
        <w:tc>
          <w:tcPr>
            <w:tcW w:w="2165" w:type="dxa"/>
            <w:tcBorders>
              <w:left w:val="nil"/>
              <w:bottom w:val="single" w:sz="12" w:space="0" w:color="000000" w:themeColor="text1"/>
              <w:right w:val="nil"/>
            </w:tcBorders>
            <w:vAlign w:val="center"/>
          </w:tcPr>
          <w:p w14:paraId="3C61A4AE" w14:textId="77777777" w:rsidR="007E4AF6" w:rsidRPr="001A5452" w:rsidRDefault="007E4AF6" w:rsidP="00DA69B8">
            <w:pPr>
              <w:spacing w:line="360" w:lineRule="auto"/>
              <w:jc w:val="center"/>
              <w:rPr>
                <w:rFonts w:ascii="Times New Roman" w:hAnsi="Times New Roman" w:cs="Times New Roman"/>
                <w:bCs/>
                <w:color w:val="000000"/>
              </w:rPr>
            </w:pPr>
          </w:p>
          <w:p w14:paraId="08F78207" w14:textId="77777777" w:rsidR="007E4AF6" w:rsidRPr="001A5452" w:rsidRDefault="007E4AF6" w:rsidP="00DA69B8">
            <w:pPr>
              <w:spacing w:line="360" w:lineRule="auto"/>
              <w:jc w:val="center"/>
              <w:rPr>
                <w:rFonts w:ascii="Times New Roman" w:hAnsi="Times New Roman" w:cs="Times New Roman"/>
                <w:bCs/>
                <w:color w:val="000000"/>
              </w:rPr>
            </w:pPr>
            <w:r w:rsidRPr="001A5452">
              <w:rPr>
                <w:rFonts w:ascii="Times New Roman" w:hAnsi="Times New Roman" w:cs="Times New Roman"/>
                <w:bCs/>
                <w:color w:val="000000"/>
              </w:rPr>
              <w:t>Elongation at break</w:t>
            </w:r>
          </w:p>
          <w:p w14:paraId="1A43FFB7" w14:textId="77777777" w:rsidR="007E4AF6" w:rsidRPr="001A5452" w:rsidRDefault="007E4AF6" w:rsidP="00DA69B8">
            <w:pPr>
              <w:spacing w:line="360" w:lineRule="auto"/>
              <w:jc w:val="center"/>
              <w:rPr>
                <w:rFonts w:ascii="Times New Roman" w:hAnsi="Times New Roman" w:cs="Times New Roman"/>
                <w:bCs/>
                <w:color w:val="000000"/>
              </w:rPr>
            </w:pPr>
            <w:r w:rsidRPr="001A5452">
              <w:rPr>
                <w:rFonts w:ascii="Times New Roman" w:hAnsi="Times New Roman" w:cs="Times New Roman"/>
                <w:bCs/>
                <w:color w:val="000000"/>
              </w:rPr>
              <w:t>/ %</w:t>
            </w:r>
          </w:p>
          <w:p w14:paraId="3DB5D9A9" w14:textId="77777777" w:rsidR="007E4AF6" w:rsidRPr="001A5452" w:rsidRDefault="007E4AF6" w:rsidP="00DA69B8">
            <w:pPr>
              <w:spacing w:line="360" w:lineRule="auto"/>
              <w:rPr>
                <w:rFonts w:ascii="Times New Roman" w:hAnsi="Times New Roman" w:cs="Times New Roman"/>
              </w:rPr>
            </w:pPr>
          </w:p>
        </w:tc>
        <w:tc>
          <w:tcPr>
            <w:tcW w:w="1984" w:type="dxa"/>
            <w:tcBorders>
              <w:left w:val="nil"/>
              <w:bottom w:val="single" w:sz="12" w:space="0" w:color="000000" w:themeColor="text1"/>
              <w:right w:val="nil"/>
            </w:tcBorders>
            <w:vAlign w:val="center"/>
          </w:tcPr>
          <w:p w14:paraId="046BFB7E" w14:textId="77777777" w:rsidR="007E4AF6" w:rsidRPr="001A5452" w:rsidRDefault="007E4AF6" w:rsidP="00DA69B8">
            <w:pPr>
              <w:spacing w:line="360" w:lineRule="auto"/>
              <w:jc w:val="center"/>
              <w:rPr>
                <w:rFonts w:ascii="Times New Roman" w:hAnsi="Times New Roman" w:cs="Times New Roman"/>
                <w:bCs/>
                <w:color w:val="000000"/>
              </w:rPr>
            </w:pPr>
          </w:p>
          <w:p w14:paraId="3D9BD51C" w14:textId="77777777" w:rsidR="007E4AF6" w:rsidRPr="001A5452" w:rsidRDefault="007E4AF6" w:rsidP="00DA69B8">
            <w:pPr>
              <w:spacing w:line="360" w:lineRule="auto"/>
              <w:jc w:val="center"/>
              <w:rPr>
                <w:rFonts w:ascii="Times New Roman" w:hAnsi="Times New Roman" w:cs="Times New Roman"/>
                <w:bCs/>
                <w:color w:val="000000"/>
              </w:rPr>
            </w:pPr>
            <w:r w:rsidRPr="001A5452">
              <w:rPr>
                <w:rFonts w:ascii="Times New Roman" w:hAnsi="Times New Roman" w:cs="Times New Roman"/>
                <w:bCs/>
                <w:color w:val="000000"/>
              </w:rPr>
              <w:t>Energy at break    / MJ m</w:t>
            </w:r>
            <w:r w:rsidRPr="001A5452">
              <w:rPr>
                <w:rFonts w:ascii="Times New Roman" w:hAnsi="Times New Roman" w:cs="Times New Roman"/>
                <w:bCs/>
                <w:color w:val="000000"/>
                <w:vertAlign w:val="superscript"/>
              </w:rPr>
              <w:t>-3</w:t>
            </w:r>
          </w:p>
          <w:p w14:paraId="1E4B5FD3" w14:textId="77777777" w:rsidR="007E4AF6" w:rsidRPr="001A5452" w:rsidRDefault="007E4AF6" w:rsidP="00DA69B8">
            <w:pPr>
              <w:spacing w:line="360" w:lineRule="auto"/>
              <w:rPr>
                <w:rFonts w:ascii="Times New Roman" w:hAnsi="Times New Roman" w:cs="Times New Roman"/>
              </w:rPr>
            </w:pPr>
          </w:p>
        </w:tc>
      </w:tr>
      <w:tr w:rsidR="007E4AF6" w:rsidRPr="001A5452" w14:paraId="7E7D292F" w14:textId="77777777" w:rsidTr="00314423">
        <w:tc>
          <w:tcPr>
            <w:tcW w:w="1642" w:type="dxa"/>
            <w:tcBorders>
              <w:left w:val="nil"/>
              <w:bottom w:val="nil"/>
              <w:right w:val="nil"/>
            </w:tcBorders>
          </w:tcPr>
          <w:p w14:paraId="625C8E79"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UPR</w:t>
            </w:r>
          </w:p>
        </w:tc>
        <w:tc>
          <w:tcPr>
            <w:tcW w:w="2051" w:type="dxa"/>
            <w:tcBorders>
              <w:left w:val="nil"/>
              <w:bottom w:val="nil"/>
              <w:right w:val="nil"/>
            </w:tcBorders>
          </w:tcPr>
          <w:p w14:paraId="13D290FA"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1.4±0.01</w:t>
            </w:r>
          </w:p>
        </w:tc>
        <w:tc>
          <w:tcPr>
            <w:tcW w:w="1797" w:type="dxa"/>
            <w:tcBorders>
              <w:left w:val="nil"/>
              <w:bottom w:val="nil"/>
              <w:right w:val="nil"/>
            </w:tcBorders>
          </w:tcPr>
          <w:p w14:paraId="10107235"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49.5±2.4</w:t>
            </w:r>
          </w:p>
        </w:tc>
        <w:tc>
          <w:tcPr>
            <w:tcW w:w="2165" w:type="dxa"/>
            <w:tcBorders>
              <w:left w:val="nil"/>
              <w:bottom w:val="nil"/>
              <w:right w:val="nil"/>
            </w:tcBorders>
          </w:tcPr>
          <w:p w14:paraId="61FA153F"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8.2±0.4</w:t>
            </w:r>
          </w:p>
        </w:tc>
        <w:tc>
          <w:tcPr>
            <w:tcW w:w="1984" w:type="dxa"/>
            <w:tcBorders>
              <w:left w:val="nil"/>
              <w:bottom w:val="nil"/>
              <w:right w:val="nil"/>
            </w:tcBorders>
          </w:tcPr>
          <w:p w14:paraId="520E025A"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2.5±0.2</w:t>
            </w:r>
          </w:p>
        </w:tc>
      </w:tr>
      <w:tr w:rsidR="007E4AF6" w:rsidRPr="001A5452" w14:paraId="1AF1BFD0" w14:textId="77777777" w:rsidTr="00314423">
        <w:tc>
          <w:tcPr>
            <w:tcW w:w="1642" w:type="dxa"/>
            <w:tcBorders>
              <w:top w:val="nil"/>
              <w:left w:val="nil"/>
              <w:bottom w:val="nil"/>
              <w:right w:val="nil"/>
            </w:tcBorders>
          </w:tcPr>
          <w:p w14:paraId="22A1DEE5"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UPR-THF</w:t>
            </w:r>
          </w:p>
        </w:tc>
        <w:tc>
          <w:tcPr>
            <w:tcW w:w="2051" w:type="dxa"/>
            <w:tcBorders>
              <w:top w:val="nil"/>
              <w:left w:val="nil"/>
              <w:bottom w:val="nil"/>
              <w:right w:val="nil"/>
            </w:tcBorders>
          </w:tcPr>
          <w:p w14:paraId="36F0C38B"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1.3±0.09</w:t>
            </w:r>
          </w:p>
        </w:tc>
        <w:tc>
          <w:tcPr>
            <w:tcW w:w="1797" w:type="dxa"/>
            <w:tcBorders>
              <w:top w:val="nil"/>
              <w:left w:val="nil"/>
              <w:bottom w:val="nil"/>
              <w:right w:val="nil"/>
            </w:tcBorders>
          </w:tcPr>
          <w:p w14:paraId="4D8A88DB"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46.9±5.5</w:t>
            </w:r>
          </w:p>
        </w:tc>
        <w:tc>
          <w:tcPr>
            <w:tcW w:w="2165" w:type="dxa"/>
            <w:tcBorders>
              <w:top w:val="nil"/>
              <w:left w:val="nil"/>
              <w:bottom w:val="nil"/>
              <w:right w:val="nil"/>
            </w:tcBorders>
          </w:tcPr>
          <w:p w14:paraId="56B11FD6"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8.3±0.4</w:t>
            </w:r>
          </w:p>
        </w:tc>
        <w:tc>
          <w:tcPr>
            <w:tcW w:w="1984" w:type="dxa"/>
            <w:tcBorders>
              <w:top w:val="nil"/>
              <w:left w:val="nil"/>
              <w:bottom w:val="nil"/>
              <w:right w:val="nil"/>
            </w:tcBorders>
          </w:tcPr>
          <w:p w14:paraId="641F2C42"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2.6±0.1</w:t>
            </w:r>
          </w:p>
        </w:tc>
      </w:tr>
      <w:tr w:rsidR="007E4AF6" w:rsidRPr="001A5452" w14:paraId="40790A03" w14:textId="77777777" w:rsidTr="00314423">
        <w:tc>
          <w:tcPr>
            <w:tcW w:w="1642" w:type="dxa"/>
            <w:tcBorders>
              <w:top w:val="nil"/>
              <w:left w:val="nil"/>
              <w:bottom w:val="nil"/>
              <w:right w:val="nil"/>
            </w:tcBorders>
          </w:tcPr>
          <w:p w14:paraId="47584E40"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0.05 wt.%</w:t>
            </w:r>
          </w:p>
        </w:tc>
        <w:tc>
          <w:tcPr>
            <w:tcW w:w="2051" w:type="dxa"/>
            <w:tcBorders>
              <w:top w:val="nil"/>
              <w:left w:val="nil"/>
              <w:bottom w:val="nil"/>
              <w:right w:val="nil"/>
            </w:tcBorders>
          </w:tcPr>
          <w:p w14:paraId="21BED63A"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1.1±0.10</w:t>
            </w:r>
          </w:p>
        </w:tc>
        <w:tc>
          <w:tcPr>
            <w:tcW w:w="1797" w:type="dxa"/>
            <w:tcBorders>
              <w:top w:val="nil"/>
              <w:left w:val="nil"/>
              <w:bottom w:val="nil"/>
              <w:right w:val="nil"/>
            </w:tcBorders>
          </w:tcPr>
          <w:p w14:paraId="312D34E8"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29.4±0.9</w:t>
            </w:r>
          </w:p>
        </w:tc>
        <w:tc>
          <w:tcPr>
            <w:tcW w:w="2165" w:type="dxa"/>
            <w:tcBorders>
              <w:top w:val="nil"/>
              <w:left w:val="nil"/>
              <w:bottom w:val="nil"/>
              <w:right w:val="nil"/>
            </w:tcBorders>
          </w:tcPr>
          <w:p w14:paraId="2E5366D9"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9.1±0.4</w:t>
            </w:r>
          </w:p>
        </w:tc>
        <w:tc>
          <w:tcPr>
            <w:tcW w:w="1984" w:type="dxa"/>
            <w:tcBorders>
              <w:top w:val="nil"/>
              <w:left w:val="nil"/>
              <w:bottom w:val="nil"/>
              <w:right w:val="nil"/>
            </w:tcBorders>
          </w:tcPr>
          <w:p w14:paraId="509D6002"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1.9±0.07</w:t>
            </w:r>
          </w:p>
        </w:tc>
      </w:tr>
      <w:tr w:rsidR="007E4AF6" w:rsidRPr="001A5452" w14:paraId="635C1374" w14:textId="77777777" w:rsidTr="00314423">
        <w:tc>
          <w:tcPr>
            <w:tcW w:w="1642" w:type="dxa"/>
            <w:tcBorders>
              <w:top w:val="nil"/>
              <w:left w:val="nil"/>
              <w:bottom w:val="nil"/>
              <w:right w:val="nil"/>
            </w:tcBorders>
          </w:tcPr>
          <w:p w14:paraId="7E81F465"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0.1.0 wt.%</w:t>
            </w:r>
          </w:p>
        </w:tc>
        <w:tc>
          <w:tcPr>
            <w:tcW w:w="2051" w:type="dxa"/>
            <w:tcBorders>
              <w:top w:val="nil"/>
              <w:left w:val="nil"/>
              <w:bottom w:val="nil"/>
              <w:right w:val="nil"/>
            </w:tcBorders>
          </w:tcPr>
          <w:p w14:paraId="5A89C8B1" w14:textId="77777777" w:rsidR="007E4AF6" w:rsidRPr="001A5452" w:rsidRDefault="007E4AF6" w:rsidP="00DA69B8">
            <w:pPr>
              <w:spacing w:line="360" w:lineRule="auto"/>
              <w:rPr>
                <w:rFonts w:ascii="Times New Roman" w:hAnsi="Times New Roman" w:cs="Times New Roman"/>
              </w:rPr>
            </w:pPr>
            <w:r w:rsidRPr="001A5452">
              <w:rPr>
                <w:rFonts w:ascii="Times New Roman" w:hAnsi="Times New Roman" w:cs="Times New Roman"/>
              </w:rPr>
              <w:t xml:space="preserve">          0.9±0.10</w:t>
            </w:r>
          </w:p>
        </w:tc>
        <w:tc>
          <w:tcPr>
            <w:tcW w:w="1797" w:type="dxa"/>
            <w:tcBorders>
              <w:top w:val="nil"/>
              <w:left w:val="nil"/>
              <w:bottom w:val="nil"/>
              <w:right w:val="nil"/>
            </w:tcBorders>
          </w:tcPr>
          <w:p w14:paraId="72E50DD5"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28.3±1.0</w:t>
            </w:r>
          </w:p>
        </w:tc>
        <w:tc>
          <w:tcPr>
            <w:tcW w:w="2165" w:type="dxa"/>
            <w:tcBorders>
              <w:top w:val="nil"/>
              <w:left w:val="nil"/>
              <w:bottom w:val="nil"/>
              <w:right w:val="nil"/>
            </w:tcBorders>
          </w:tcPr>
          <w:p w14:paraId="585094EC"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9.0±0.4</w:t>
            </w:r>
          </w:p>
        </w:tc>
        <w:tc>
          <w:tcPr>
            <w:tcW w:w="1984" w:type="dxa"/>
            <w:tcBorders>
              <w:top w:val="nil"/>
              <w:left w:val="nil"/>
              <w:bottom w:val="nil"/>
              <w:right w:val="nil"/>
            </w:tcBorders>
          </w:tcPr>
          <w:p w14:paraId="266DF4FB"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1.8±0.1</w:t>
            </w:r>
          </w:p>
        </w:tc>
      </w:tr>
      <w:tr w:rsidR="007E4AF6" w:rsidRPr="001A5452" w14:paraId="78BA7BF8" w14:textId="77777777" w:rsidTr="00314423">
        <w:tc>
          <w:tcPr>
            <w:tcW w:w="1642" w:type="dxa"/>
            <w:tcBorders>
              <w:top w:val="nil"/>
              <w:left w:val="nil"/>
              <w:bottom w:val="nil"/>
              <w:right w:val="nil"/>
            </w:tcBorders>
          </w:tcPr>
          <w:p w14:paraId="5E6333E9"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0.3 wt.%</w:t>
            </w:r>
          </w:p>
        </w:tc>
        <w:tc>
          <w:tcPr>
            <w:tcW w:w="2051" w:type="dxa"/>
            <w:tcBorders>
              <w:top w:val="nil"/>
              <w:left w:val="nil"/>
              <w:bottom w:val="nil"/>
              <w:right w:val="nil"/>
            </w:tcBorders>
          </w:tcPr>
          <w:p w14:paraId="1ECB6BA1"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 xml:space="preserve"> 0.8±0.06</w:t>
            </w:r>
          </w:p>
        </w:tc>
        <w:tc>
          <w:tcPr>
            <w:tcW w:w="1797" w:type="dxa"/>
            <w:tcBorders>
              <w:top w:val="nil"/>
              <w:left w:val="nil"/>
              <w:bottom w:val="nil"/>
              <w:right w:val="nil"/>
            </w:tcBorders>
          </w:tcPr>
          <w:p w14:paraId="7CECCE3C"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22.6±1.3</w:t>
            </w:r>
          </w:p>
        </w:tc>
        <w:tc>
          <w:tcPr>
            <w:tcW w:w="2165" w:type="dxa"/>
            <w:tcBorders>
              <w:top w:val="nil"/>
              <w:left w:val="nil"/>
              <w:bottom w:val="nil"/>
              <w:right w:val="nil"/>
            </w:tcBorders>
          </w:tcPr>
          <w:p w14:paraId="23B0D054" w14:textId="77777777" w:rsidR="007E4AF6" w:rsidRPr="001A5452" w:rsidRDefault="007E4AF6" w:rsidP="00DA69B8">
            <w:pPr>
              <w:spacing w:line="360" w:lineRule="auto"/>
              <w:rPr>
                <w:rFonts w:ascii="Times New Roman" w:hAnsi="Times New Roman" w:cs="Times New Roman"/>
              </w:rPr>
            </w:pPr>
            <w:r w:rsidRPr="001A5452">
              <w:rPr>
                <w:rFonts w:ascii="Times New Roman" w:hAnsi="Times New Roman" w:cs="Times New Roman"/>
              </w:rPr>
              <w:t xml:space="preserve">           10.3±0.5</w:t>
            </w:r>
          </w:p>
        </w:tc>
        <w:tc>
          <w:tcPr>
            <w:tcW w:w="1984" w:type="dxa"/>
            <w:tcBorders>
              <w:top w:val="nil"/>
              <w:left w:val="nil"/>
              <w:bottom w:val="nil"/>
              <w:right w:val="nil"/>
            </w:tcBorders>
          </w:tcPr>
          <w:p w14:paraId="5134FC28"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1.7±0.01</w:t>
            </w:r>
          </w:p>
        </w:tc>
      </w:tr>
      <w:tr w:rsidR="007E4AF6" w:rsidRPr="001A5452" w14:paraId="3A184D8C" w14:textId="77777777" w:rsidTr="00314423">
        <w:tc>
          <w:tcPr>
            <w:tcW w:w="1642" w:type="dxa"/>
            <w:tcBorders>
              <w:top w:val="nil"/>
              <w:left w:val="nil"/>
              <w:bottom w:val="nil"/>
              <w:right w:val="nil"/>
            </w:tcBorders>
          </w:tcPr>
          <w:p w14:paraId="2532D973"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0.5 wt.%</w:t>
            </w:r>
          </w:p>
        </w:tc>
        <w:tc>
          <w:tcPr>
            <w:tcW w:w="2051" w:type="dxa"/>
            <w:tcBorders>
              <w:top w:val="nil"/>
              <w:left w:val="nil"/>
              <w:bottom w:val="nil"/>
              <w:right w:val="nil"/>
            </w:tcBorders>
          </w:tcPr>
          <w:p w14:paraId="2ACCCA19"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 xml:space="preserve"> 0.6±0.04</w:t>
            </w:r>
          </w:p>
        </w:tc>
        <w:tc>
          <w:tcPr>
            <w:tcW w:w="1797" w:type="dxa"/>
            <w:tcBorders>
              <w:top w:val="nil"/>
              <w:left w:val="nil"/>
              <w:bottom w:val="nil"/>
              <w:right w:val="nil"/>
            </w:tcBorders>
          </w:tcPr>
          <w:p w14:paraId="0D71F933"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17.8±0.4</w:t>
            </w:r>
          </w:p>
        </w:tc>
        <w:tc>
          <w:tcPr>
            <w:tcW w:w="2165" w:type="dxa"/>
            <w:tcBorders>
              <w:top w:val="nil"/>
              <w:left w:val="nil"/>
              <w:bottom w:val="nil"/>
              <w:right w:val="nil"/>
            </w:tcBorders>
          </w:tcPr>
          <w:p w14:paraId="6871E461"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 xml:space="preserve"> 17.9±1.5</w:t>
            </w:r>
          </w:p>
        </w:tc>
        <w:tc>
          <w:tcPr>
            <w:tcW w:w="1984" w:type="dxa"/>
            <w:tcBorders>
              <w:top w:val="nil"/>
              <w:left w:val="nil"/>
              <w:bottom w:val="nil"/>
              <w:right w:val="nil"/>
            </w:tcBorders>
          </w:tcPr>
          <w:p w14:paraId="745348AF" w14:textId="77777777" w:rsidR="007E4AF6" w:rsidRPr="001A5452" w:rsidRDefault="007E4AF6" w:rsidP="00DA69B8">
            <w:pPr>
              <w:spacing w:line="360" w:lineRule="auto"/>
              <w:jc w:val="center"/>
              <w:rPr>
                <w:rFonts w:ascii="Times New Roman" w:hAnsi="Times New Roman" w:cs="Times New Roman"/>
              </w:rPr>
            </w:pPr>
            <w:r w:rsidRPr="001A5452">
              <w:rPr>
                <w:rFonts w:ascii="Times New Roman" w:hAnsi="Times New Roman" w:cs="Times New Roman"/>
              </w:rPr>
              <w:t>2.7±0.2</w:t>
            </w:r>
          </w:p>
        </w:tc>
      </w:tr>
      <w:tr w:rsidR="007E4AF6" w:rsidRPr="001A5452" w14:paraId="6ED347C5" w14:textId="77777777" w:rsidTr="00314423">
        <w:tc>
          <w:tcPr>
            <w:tcW w:w="1642" w:type="dxa"/>
            <w:tcBorders>
              <w:top w:val="nil"/>
              <w:left w:val="nil"/>
              <w:right w:val="nil"/>
            </w:tcBorders>
          </w:tcPr>
          <w:p w14:paraId="5163C3F5"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1.0 wt.%</w:t>
            </w:r>
          </w:p>
        </w:tc>
        <w:tc>
          <w:tcPr>
            <w:tcW w:w="2051" w:type="dxa"/>
            <w:tcBorders>
              <w:top w:val="nil"/>
              <w:left w:val="nil"/>
              <w:right w:val="nil"/>
            </w:tcBorders>
          </w:tcPr>
          <w:p w14:paraId="7B616E82"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 xml:space="preserve"> 1.2±0.10</w:t>
            </w:r>
          </w:p>
        </w:tc>
        <w:tc>
          <w:tcPr>
            <w:tcW w:w="1797" w:type="dxa"/>
            <w:tcBorders>
              <w:top w:val="nil"/>
              <w:left w:val="nil"/>
              <w:right w:val="nil"/>
            </w:tcBorders>
          </w:tcPr>
          <w:p w14:paraId="63D96FA1"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21.3±2.6</w:t>
            </w:r>
          </w:p>
        </w:tc>
        <w:tc>
          <w:tcPr>
            <w:tcW w:w="2165" w:type="dxa"/>
            <w:tcBorders>
              <w:top w:val="nil"/>
              <w:left w:val="nil"/>
              <w:right w:val="nil"/>
            </w:tcBorders>
          </w:tcPr>
          <w:p w14:paraId="279C5DD0"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3.9±0.2</w:t>
            </w:r>
          </w:p>
        </w:tc>
        <w:tc>
          <w:tcPr>
            <w:tcW w:w="1984" w:type="dxa"/>
            <w:tcBorders>
              <w:top w:val="nil"/>
              <w:left w:val="nil"/>
              <w:right w:val="nil"/>
            </w:tcBorders>
          </w:tcPr>
          <w:p w14:paraId="34C7C4BD"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0.5±0.1</w:t>
            </w:r>
          </w:p>
        </w:tc>
      </w:tr>
    </w:tbl>
    <w:p w14:paraId="3A754ADA" w14:textId="77777777" w:rsidR="007E4AF6" w:rsidRPr="001A5452" w:rsidRDefault="007E4AF6" w:rsidP="007E4AF6">
      <w:pPr>
        <w:spacing w:after="0"/>
        <w:rPr>
          <w:rFonts w:ascii="Times New Roman" w:hAnsi="Times New Roman" w:cs="Times New Roman"/>
          <w:i/>
          <w:sz w:val="24"/>
          <w:szCs w:val="24"/>
        </w:rPr>
      </w:pPr>
    </w:p>
    <w:p w14:paraId="40C55175" w14:textId="77777777" w:rsidR="007E4AF6" w:rsidRPr="001A5452" w:rsidRDefault="007E4AF6" w:rsidP="007E4AF6">
      <w:pPr>
        <w:spacing w:after="0" w:line="480" w:lineRule="auto"/>
        <w:ind w:firstLine="270"/>
        <w:jc w:val="both"/>
        <w:rPr>
          <w:rFonts w:ascii="Times New Roman" w:hAnsi="Times New Roman" w:cs="Times New Roman"/>
          <w:sz w:val="24"/>
          <w:szCs w:val="24"/>
        </w:rPr>
      </w:pPr>
    </w:p>
    <w:p w14:paraId="75180C74" w14:textId="77777777" w:rsidR="007E4AF6" w:rsidRPr="001A5452" w:rsidRDefault="007E4AF6" w:rsidP="007E4AF6">
      <w:pPr>
        <w:spacing w:after="0" w:line="360" w:lineRule="auto"/>
        <w:jc w:val="center"/>
        <w:rPr>
          <w:rFonts w:ascii="Times New Roman" w:hAnsi="Times New Roman" w:cs="Times New Roman"/>
          <w:sz w:val="24"/>
          <w:szCs w:val="24"/>
        </w:rPr>
      </w:pPr>
    </w:p>
    <w:p w14:paraId="36A2A1B9" w14:textId="11299848" w:rsidR="007E4AF6" w:rsidRPr="00AC24BE" w:rsidRDefault="001640F9" w:rsidP="007E4AF6">
      <w:pPr>
        <w:pStyle w:val="Heading3"/>
        <w:spacing w:before="0"/>
        <w:rPr>
          <w:rFonts w:cs="Times New Roman"/>
        </w:rPr>
      </w:pPr>
      <w:bookmarkStart w:id="145" w:name="_Toc518823304"/>
      <w:r>
        <w:rPr>
          <w:rFonts w:cs="Times New Roman"/>
        </w:rPr>
        <w:t>4</w:t>
      </w:r>
      <w:r w:rsidR="004D0F8E">
        <w:rPr>
          <w:rFonts w:cs="Times New Roman"/>
        </w:rPr>
        <w:t>.</w:t>
      </w:r>
      <w:r w:rsidR="002E496B">
        <w:rPr>
          <w:rFonts w:cs="Times New Roman"/>
        </w:rPr>
        <w:t>3.</w:t>
      </w:r>
      <w:r w:rsidR="002E496B">
        <w:rPr>
          <w:rFonts w:cs="Times New Roman" w:hint="eastAsia"/>
        </w:rPr>
        <w:t>5</w:t>
      </w:r>
      <w:r w:rsidR="007E4AF6" w:rsidRPr="00AC24BE">
        <w:rPr>
          <w:rFonts w:cs="Times New Roman"/>
        </w:rPr>
        <w:t>.2. Compression properties</w:t>
      </w:r>
      <w:bookmarkEnd w:id="145"/>
    </w:p>
    <w:p w14:paraId="15BD2F54" w14:textId="73572EB4" w:rsidR="0084478F" w:rsidRPr="001A5452" w:rsidRDefault="0098706E" w:rsidP="007E4AF6">
      <w:pPr>
        <w:spacing w:after="0" w:line="480" w:lineRule="auto"/>
        <w:jc w:val="both"/>
        <w:rPr>
          <w:rFonts w:ascii="Times New Roman" w:hAnsi="Times New Roman" w:cs="Times New Roman"/>
          <w:sz w:val="24"/>
          <w:szCs w:val="24"/>
          <w:highlight w:val="yellow"/>
        </w:rPr>
      </w:pPr>
      <w:r>
        <w:rPr>
          <w:rFonts w:ascii="Times New Roman" w:hAnsi="Times New Roman" w:cs="Times New Roman"/>
          <w:sz w:val="24"/>
          <w:szCs w:val="24"/>
        </w:rPr>
        <w:t xml:space="preserve">Figure </w:t>
      </w:r>
      <w:r>
        <w:rPr>
          <w:rFonts w:ascii="Times New Roman" w:hAnsi="Times New Roman" w:cs="Times New Roman" w:hint="eastAsia"/>
          <w:sz w:val="24"/>
          <w:szCs w:val="24"/>
        </w:rPr>
        <w:t>4.8</w:t>
      </w:r>
      <w:r w:rsidR="007E4AF6" w:rsidRPr="00AC24BE">
        <w:rPr>
          <w:rFonts w:ascii="Times New Roman" w:hAnsi="Times New Roman" w:cs="Times New Roman"/>
          <w:sz w:val="24"/>
          <w:szCs w:val="24"/>
          <w:lang w:val="en-GB"/>
        </w:rPr>
        <w:t xml:space="preserve"> shows </w:t>
      </w:r>
      <w:r w:rsidR="007E4AF6" w:rsidRPr="00AC24BE">
        <w:rPr>
          <w:rFonts w:ascii="Times New Roman" w:hAnsi="Times New Roman" w:cs="Times New Roman"/>
          <w:sz w:val="24"/>
          <w:szCs w:val="24"/>
        </w:rPr>
        <w:t>the compressive properties of UPR and UPR/rGO composites, and the r</w:t>
      </w:r>
      <w:r>
        <w:rPr>
          <w:rFonts w:ascii="Times New Roman" w:hAnsi="Times New Roman" w:cs="Times New Roman"/>
          <w:sz w:val="24"/>
          <w:szCs w:val="24"/>
        </w:rPr>
        <w:t xml:space="preserve">esults are summarized in Table </w:t>
      </w:r>
      <w:r w:rsidR="001640F9">
        <w:rPr>
          <w:rFonts w:ascii="Times New Roman" w:hAnsi="Times New Roman" w:cs="Times New Roman" w:hint="eastAsia"/>
          <w:sz w:val="24"/>
          <w:szCs w:val="24"/>
        </w:rPr>
        <w:t>4</w:t>
      </w:r>
      <w:r>
        <w:rPr>
          <w:rFonts w:ascii="Times New Roman" w:hAnsi="Times New Roman" w:cs="Times New Roman" w:hint="eastAsia"/>
          <w:sz w:val="24"/>
          <w:szCs w:val="24"/>
        </w:rPr>
        <w:t>.3.</w:t>
      </w:r>
      <w:r>
        <w:rPr>
          <w:rFonts w:ascii="Times New Roman" w:hAnsi="Times New Roman" w:cs="Times New Roman"/>
          <w:sz w:val="24"/>
          <w:szCs w:val="24"/>
        </w:rPr>
        <w:t xml:space="preserve"> Figure </w:t>
      </w:r>
      <w:r w:rsidR="001640F9">
        <w:rPr>
          <w:rFonts w:ascii="Times New Roman" w:hAnsi="Times New Roman" w:cs="Times New Roman" w:hint="eastAsia"/>
          <w:sz w:val="24"/>
          <w:szCs w:val="24"/>
        </w:rPr>
        <w:t>4</w:t>
      </w:r>
      <w:r>
        <w:rPr>
          <w:rFonts w:ascii="Times New Roman" w:hAnsi="Times New Roman" w:cs="Times New Roman" w:hint="eastAsia"/>
          <w:sz w:val="24"/>
          <w:szCs w:val="24"/>
        </w:rPr>
        <w:t>.8</w:t>
      </w:r>
      <w:r w:rsidR="007E4AF6" w:rsidRPr="00AC24BE">
        <w:rPr>
          <w:rFonts w:ascii="Times New Roman" w:hAnsi="Times New Roman" w:cs="Times New Roman"/>
          <w:sz w:val="24"/>
          <w:szCs w:val="24"/>
        </w:rPr>
        <w:t>(a) displays the stress-strain behavior under uniaxial compressive</w:t>
      </w:r>
      <w:r w:rsidR="007E4AF6" w:rsidRPr="0084478F">
        <w:rPr>
          <w:rFonts w:ascii="Times New Roman" w:hAnsi="Times New Roman" w:cs="Times New Roman"/>
          <w:sz w:val="24"/>
          <w:szCs w:val="24"/>
        </w:rPr>
        <w:t xml:space="preserve"> </w:t>
      </w:r>
      <w:r w:rsidR="007E4AF6" w:rsidRPr="00897D83">
        <w:rPr>
          <w:rFonts w:ascii="Times New Roman" w:hAnsi="Times New Roman" w:cs="Times New Roman"/>
          <w:sz w:val="24"/>
          <w:szCs w:val="24"/>
        </w:rPr>
        <w:t xml:space="preserve">load, in which brittle UPR and UPR/rGO composites show ductile failure by yielding. This is different from the tensile stress-strain curve which shows typical brittle failure without yielding, </w:t>
      </w:r>
      <w:r w:rsidR="0084478F" w:rsidRPr="00897D83">
        <w:rPr>
          <w:rFonts w:ascii="Times New Roman" w:hAnsi="Times New Roman" w:cs="Times New Roman"/>
          <w:sz w:val="24"/>
          <w:szCs w:val="24"/>
        </w:rPr>
        <w:t xml:space="preserve">presumably </w:t>
      </w:r>
      <w:r w:rsidR="007E4AF6" w:rsidRPr="00897D83">
        <w:rPr>
          <w:rFonts w:ascii="Times New Roman" w:hAnsi="Times New Roman" w:cs="Times New Roman"/>
          <w:sz w:val="24"/>
          <w:szCs w:val="24"/>
        </w:rPr>
        <w:t xml:space="preserve">because of the sliding of molecules on top of each other under compression stress, leading to shear yielding </w:t>
      </w:r>
      <w:r w:rsidR="007E4AF6" w:rsidRPr="00897D83">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"10.1177/0021998305051086", "ISSN" : "0021-9983", "abstract" : "In this research, a conventional propylene glycol-based unsaturated polyester is synthesized and modified with diphenylmethane-4,4\u2032- diisocyanate (MDI), which leads to the formation of a hybrid polymer network (HPN). The effect of this modification on the mechanical properties is studied experimentally. The optimum molar ratio of MDI to unsaturated polyester which had the highest toughness is found to be NCO/OH = 0.45 using compression testing. In the second stage of the research, E-glass-reinforced unidirectional composites are produced with pure unsaturated polyester (UP) and an optimum amount of HPN. Tensile and bending tests are applied to the neat unsaturated polyester, the HPN resins, and to the composites prepared from these resin matrices. For pure polyester, the tensile strength at rupture is 27 MPa with a Young's modulus of 920 MPa, whereas the tensile strength and the modulus of HPN are 42 and 860 MPa, respectively. In unsaturated polyester composites, a tensile strength of 500 MPa and a Young's modulus of 27,800 MPa are obtained while in HPN composites, the tensile strength and the modulus are 685 and 26,300 MPa, respectively. Hence, an increase in toughness is achieved for both resin matrices and composites by the use of MDI. The bending strength and the modulus of elasticity are 60.7 and 2464 MPa for UP resin, and 65.7 and 2871 MPa for the HPN resin. The corresponding values for UP composites are 858 MPa and 29.8 GPa, and are 1141 MPa and 37.5 GPa, respectively for the HPN composite. \u00a9 2005 Sage Publications.", "author" : [ { "dropping-particle" : "", "family" : "Gunduz", "given" : "G.", "non-dropping-particle" : "", "parse-names" : false, "suffix" : "" } ], "container-title" : "Journal of Composite Materials", "id" : "ITEM-1", "issue" : "17", "issued" : { "date-parts" : [ [ "2005" ] ] }, "page" : "1577-1589", "title" : "Mechanical Properties of Unsaturated Polyester-Isocyanate Hybrid Polymer Network and Its E-Glass Fiber-reinforced Composite", "type" : "article-journal", "volume" : "39" }, "uris" : [ "http://www.mendeley.com/documents/?uuid=2ecebb30-9f40-4c01-a2fd-5bc9cb5f2e19" ] }, { "id" : "ITEM-2", "itemData" : { "author" : [ { "dropping-particle" : "", "family" : "Clegg", "given" : "D.W.", "non-dropping-particle" : "", "parse-names" : false, "suffix" : "" } ], "id" : "ITEM-2", "issued" : { "date-parts" : [ [ "1993" ] ] }, "publisher" : "The Bourne Press, London", "title" : "The structure and properties of polymeric materials", "type" : "book" }, "uris" : [ "http://www.mendeley.com/documents/?uuid=e7a19dac-9ac6-45c8-b5e4-8934949adeb2" ] } ], "mendeley" : { "formattedCitation" : "[208,209]", "plainTextFormattedCitation" : "[208,209]", "previouslyFormattedCitation" : "[208,209]" }, "properties" : {  }, "schema" : "https://github.com/citation-style-language/schema/raw/master/csl-citation.json" }</w:instrText>
      </w:r>
      <w:r w:rsidR="007E4AF6" w:rsidRPr="00897D83">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[208,209]</w:t>
      </w:r>
      <w:r w:rsidR="007E4AF6" w:rsidRPr="00897D83">
        <w:rPr>
          <w:rFonts w:ascii="Times New Roman" w:hAnsi="Times New Roman" w:cs="Times New Roman"/>
          <w:sz w:val="24"/>
          <w:szCs w:val="24"/>
        </w:rPr>
        <w:fldChar w:fldCharType="end"/>
      </w:r>
      <w:r w:rsidR="007E4AF6" w:rsidRPr="00897D83">
        <w:rPr>
          <w:rFonts w:ascii="Times New Roman" w:hAnsi="Times New Roman" w:cs="Times New Roman"/>
          <w:sz w:val="24"/>
          <w:szCs w:val="24"/>
        </w:rPr>
        <w:t xml:space="preserve">. However, the yield point, is getting less visible and more flat with the increasing rGO content up to 0.5 wt.%. This might </w:t>
      </w:r>
      <w:r w:rsidR="0084478F" w:rsidRPr="00897D83">
        <w:rPr>
          <w:rFonts w:ascii="Times New Roman" w:hAnsi="Times New Roman" w:cs="Times New Roman"/>
          <w:sz w:val="24"/>
          <w:szCs w:val="24"/>
        </w:rPr>
        <w:t xml:space="preserve">be </w:t>
      </w:r>
      <w:r w:rsidR="007E4AF6" w:rsidRPr="00897D83">
        <w:rPr>
          <w:rFonts w:ascii="Times New Roman" w:hAnsi="Times New Roman" w:cs="Times New Roman"/>
          <w:sz w:val="24"/>
          <w:szCs w:val="24"/>
        </w:rPr>
        <w:t>because the addition of rGO restrict</w:t>
      </w:r>
      <w:r w:rsidR="0084478F" w:rsidRPr="00897D83">
        <w:rPr>
          <w:rFonts w:ascii="Times New Roman" w:hAnsi="Times New Roman" w:cs="Times New Roman"/>
          <w:sz w:val="24"/>
          <w:szCs w:val="24"/>
        </w:rPr>
        <w:t>s</w:t>
      </w:r>
      <w:r w:rsidR="007E4AF6" w:rsidRPr="00897D83">
        <w:rPr>
          <w:rFonts w:ascii="Times New Roman" w:hAnsi="Times New Roman" w:cs="Times New Roman"/>
          <w:sz w:val="24"/>
          <w:szCs w:val="24"/>
        </w:rPr>
        <w:t xml:space="preserve"> the movement of polymer chains, which prevents the sliding of molecules from each other under compression stress. </w:t>
      </w:r>
      <w:r w:rsidR="0084478F">
        <w:rPr>
          <w:rFonts w:ascii="Times New Roman" w:hAnsi="Times New Roman" w:cs="Times New Roman"/>
          <w:sz w:val="24"/>
          <w:szCs w:val="24"/>
        </w:rPr>
        <w:t>In contrast</w:t>
      </w:r>
      <w:r w:rsidR="007E4AF6" w:rsidRPr="00897D83">
        <w:rPr>
          <w:rFonts w:ascii="Times New Roman" w:hAnsi="Times New Roman" w:cs="Times New Roman"/>
          <w:sz w:val="24"/>
          <w:szCs w:val="24"/>
        </w:rPr>
        <w:t>, the yielding of 1.0 wt.% UPR/rGO is much more significant. This is presumably du</w:t>
      </w:r>
      <w:r w:rsidR="0084478F">
        <w:rPr>
          <w:rFonts w:ascii="Times New Roman" w:hAnsi="Times New Roman" w:cs="Times New Roman"/>
          <w:sz w:val="24"/>
          <w:szCs w:val="24"/>
        </w:rPr>
        <w:t>e</w:t>
      </w:r>
      <w:r w:rsidR="007E4AF6" w:rsidRPr="00897D83">
        <w:rPr>
          <w:rFonts w:ascii="Times New Roman" w:hAnsi="Times New Roman" w:cs="Times New Roman"/>
          <w:sz w:val="24"/>
          <w:szCs w:val="24"/>
        </w:rPr>
        <w:t xml:space="preserve"> to the less restriction of polymer chains caused by the aggregation of rGO at higher rGO loading, resulting in a relatively easier sliding of molecules under compression load. Compared to neat UPR, UPR-THF material shows slightly difference </w:t>
      </w:r>
      <w:r w:rsidR="0084478F">
        <w:rPr>
          <w:rFonts w:ascii="Times New Roman" w:hAnsi="Times New Roman" w:cs="Times New Roman"/>
          <w:sz w:val="24"/>
          <w:szCs w:val="24"/>
        </w:rPr>
        <w:t>i</w:t>
      </w:r>
      <w:r w:rsidR="007E4AF6" w:rsidRPr="00897D83">
        <w:rPr>
          <w:rFonts w:ascii="Times New Roman" w:hAnsi="Times New Roman" w:cs="Times New Roman"/>
          <w:sz w:val="24"/>
          <w:szCs w:val="24"/>
        </w:rPr>
        <w:t>n the Young’s modulus, fracture strength, strain at break, energy at break, and yield strain, which are stati</w:t>
      </w:r>
      <w:r w:rsidR="0084478F">
        <w:rPr>
          <w:rFonts w:ascii="Times New Roman" w:hAnsi="Times New Roman" w:cs="Times New Roman"/>
          <w:sz w:val="24"/>
          <w:szCs w:val="24"/>
        </w:rPr>
        <w:t>sti</w:t>
      </w:r>
      <w:r w:rsidR="007E4AF6" w:rsidRPr="00897D83">
        <w:rPr>
          <w:rFonts w:ascii="Times New Roman" w:hAnsi="Times New Roman" w:cs="Times New Roman"/>
          <w:sz w:val="24"/>
          <w:szCs w:val="24"/>
        </w:rPr>
        <w:t xml:space="preserve">cally insignificant (p &gt; 0.05, two-tailed t-test). Hence, the addition of THF does not affect the compressive properties of UPR. The compressive properties of UPR/rGO exhibit similar trend </w:t>
      </w:r>
      <w:r w:rsidR="0084478F">
        <w:rPr>
          <w:rFonts w:ascii="Times New Roman" w:hAnsi="Times New Roman" w:cs="Times New Roman"/>
          <w:sz w:val="24"/>
          <w:szCs w:val="24"/>
        </w:rPr>
        <w:t>to</w:t>
      </w:r>
      <w:r w:rsidR="0084478F" w:rsidRPr="00897D83">
        <w:rPr>
          <w:rFonts w:ascii="Times New Roman" w:hAnsi="Times New Roman" w:cs="Times New Roman"/>
          <w:sz w:val="24"/>
          <w:szCs w:val="24"/>
        </w:rPr>
        <w:t xml:space="preserve"> </w:t>
      </w:r>
      <w:r w:rsidR="007E4AF6" w:rsidRPr="00897D83">
        <w:rPr>
          <w:rFonts w:ascii="Times New Roman" w:hAnsi="Times New Roman" w:cs="Times New Roman"/>
          <w:sz w:val="24"/>
          <w:szCs w:val="24"/>
        </w:rPr>
        <w:t>that of tensile properties. In detail, the Young’s modulus, and fracture strength decrease with increasing rGO content, and the lowest values are observed at 0.5 wt.% (0.34 GP</w:t>
      </w:r>
      <w:r w:rsidR="00545303">
        <w:rPr>
          <w:rFonts w:ascii="Times New Roman" w:hAnsi="Times New Roman" w:cs="Times New Roman"/>
          <w:sz w:val="24"/>
          <w:szCs w:val="24"/>
        </w:rPr>
        <w:t>a for Young’s modulus, and 79.9</w:t>
      </w:r>
      <w:r w:rsidR="007E4AF6" w:rsidRPr="00897D83">
        <w:rPr>
          <w:rFonts w:ascii="Times New Roman" w:hAnsi="Times New Roman" w:cs="Times New Roman"/>
          <w:sz w:val="24"/>
          <w:szCs w:val="24"/>
        </w:rPr>
        <w:t xml:space="preserve"> MPa for fracture strength). 1.0 wt.% UPR/rGO shows an increased Young’s modulus and fracture strength over other UPR/rGO composites with lower concentrations (</w:t>
      </w:r>
      <w:r w:rsidR="007E4AF6" w:rsidRPr="00897D83">
        <w:rPr>
          <w:rFonts w:ascii="Times New Roman" w:hAnsi="Times New Roman" w:cs="Times New Roman" w:hint="eastAsia"/>
          <w:sz w:val="24"/>
          <w:szCs w:val="24"/>
        </w:rPr>
        <w:t>≤</w:t>
      </w:r>
      <w:r w:rsidR="007E4AF6" w:rsidRPr="00897D83">
        <w:rPr>
          <w:rFonts w:ascii="Times New Roman" w:hAnsi="Times New Roman" w:cs="Times New Roman"/>
          <w:sz w:val="24"/>
          <w:szCs w:val="24"/>
        </w:rPr>
        <w:t xml:space="preserve">0.5 wt.%). As discussed previously, this is because the absorbed </w:t>
      </w:r>
      <w:r w:rsidR="003F07F7">
        <w:rPr>
          <w:rFonts w:ascii="Times New Roman" w:hAnsi="Times New Roman" w:cs="Times New Roman"/>
          <w:sz w:val="24"/>
          <w:szCs w:val="24"/>
        </w:rPr>
        <w:t>styrene monomers and cobalt</w:t>
      </w:r>
      <w:r w:rsidR="007E4AF6" w:rsidRPr="00897D83">
        <w:rPr>
          <w:rFonts w:ascii="Times New Roman" w:hAnsi="Times New Roman" w:cs="Times New Roman"/>
          <w:sz w:val="24"/>
          <w:szCs w:val="24"/>
        </w:rPr>
        <w:t xml:space="preserve"> on </w:t>
      </w:r>
      <w:r w:rsidR="00897D83" w:rsidRPr="00897D83">
        <w:rPr>
          <w:rFonts w:ascii="Times New Roman" w:hAnsi="Times New Roman" w:cs="Times New Roman"/>
          <w:sz w:val="24"/>
          <w:szCs w:val="24"/>
        </w:rPr>
        <w:t>rGO</w:t>
      </w:r>
      <w:r w:rsidR="007E4AF6" w:rsidRPr="00897D83">
        <w:rPr>
          <w:rFonts w:ascii="Times New Roman" w:hAnsi="Times New Roman" w:cs="Times New Roman"/>
          <w:sz w:val="24"/>
          <w:szCs w:val="24"/>
        </w:rPr>
        <w:t xml:space="preserve"> sheets increases with increasing rGO content at lower rGO concentrations (</w:t>
      </w:r>
      <w:r w:rsidR="007E4AF6" w:rsidRPr="00897D83">
        <w:rPr>
          <w:rFonts w:ascii="Times New Roman" w:hAnsi="Times New Roman" w:cs="Times New Roman" w:hint="eastAsia"/>
          <w:sz w:val="24"/>
          <w:szCs w:val="24"/>
        </w:rPr>
        <w:t>≤</w:t>
      </w:r>
      <w:r w:rsidR="007E4AF6" w:rsidRPr="00897D83">
        <w:rPr>
          <w:rFonts w:ascii="Times New Roman" w:hAnsi="Times New Roman" w:cs="Times New Roman"/>
          <w:sz w:val="24"/>
          <w:szCs w:val="24"/>
        </w:rPr>
        <w:t xml:space="preserve">0.5 wt.%), resulting in reduced amount of active </w:t>
      </w:r>
      <w:r w:rsidR="003F07F7">
        <w:rPr>
          <w:rFonts w:ascii="Times New Roman" w:hAnsi="Times New Roman" w:cs="Times New Roman"/>
          <w:sz w:val="24"/>
          <w:szCs w:val="24"/>
        </w:rPr>
        <w:t>styrene</w:t>
      </w:r>
      <w:r w:rsidR="007E4AF6" w:rsidRPr="00897D83">
        <w:rPr>
          <w:rFonts w:ascii="Times New Roman" w:hAnsi="Times New Roman" w:cs="Times New Roman"/>
          <w:sz w:val="24"/>
          <w:szCs w:val="24"/>
        </w:rPr>
        <w:t xml:space="preserve"> for polymerization. Hence, the crosslinking density reduced gradually with increasing rGO content, resulting in reduced Young’s modulus and fracture strength. When rGO content reaches 1.0 wt.%, the high strength and modulus of rGO plays an important role </w:t>
      </w:r>
      <w:r w:rsidR="0084478F" w:rsidRPr="00897D83">
        <w:rPr>
          <w:rFonts w:ascii="Times New Roman" w:hAnsi="Times New Roman" w:cs="Times New Roman"/>
          <w:sz w:val="24"/>
          <w:szCs w:val="24"/>
        </w:rPr>
        <w:t>i</w:t>
      </w:r>
      <w:r w:rsidR="007E4AF6" w:rsidRPr="00897D83">
        <w:rPr>
          <w:rFonts w:ascii="Times New Roman" w:hAnsi="Times New Roman" w:cs="Times New Roman"/>
          <w:sz w:val="24"/>
          <w:szCs w:val="24"/>
        </w:rPr>
        <w:t>n the mechanical properties of</w:t>
      </w:r>
      <w:r w:rsidR="007E4AF6" w:rsidRPr="0084478F">
        <w:rPr>
          <w:rFonts w:ascii="Times New Roman" w:hAnsi="Times New Roman" w:cs="Times New Roman"/>
          <w:sz w:val="24"/>
          <w:szCs w:val="24"/>
        </w:rPr>
        <w:t xml:space="preserve"> </w:t>
      </w:r>
      <w:r w:rsidR="007E4AF6" w:rsidRPr="00897D83">
        <w:rPr>
          <w:rFonts w:ascii="Times New Roman" w:hAnsi="Times New Roman" w:cs="Times New Roman"/>
          <w:sz w:val="24"/>
          <w:szCs w:val="24"/>
        </w:rPr>
        <w:t>UPR composite. Moreover, rGO tends to aggregate, resulting in a reduced specific surface area of rGO.  Consequently, 1.0 wt.% UPR/rGO exhibits higher Young’s modulus, and fracture strength due to the increased crosslinking density caused by more free reactive UP</w:t>
      </w:r>
      <w:r w:rsidR="0084478F" w:rsidRPr="00897D83">
        <w:rPr>
          <w:rFonts w:ascii="Times New Roman" w:hAnsi="Times New Roman" w:cs="Times New Roman"/>
          <w:sz w:val="24"/>
          <w:szCs w:val="24"/>
        </w:rPr>
        <w:t>R</w:t>
      </w:r>
      <w:r w:rsidR="007E4AF6" w:rsidRPr="00897D83">
        <w:rPr>
          <w:rFonts w:ascii="Times New Roman" w:hAnsi="Times New Roman" w:cs="Times New Roman"/>
          <w:sz w:val="24"/>
          <w:szCs w:val="24"/>
        </w:rPr>
        <w:t xml:space="preserve"> oligomers for polymerization. </w:t>
      </w:r>
    </w:p>
    <w:p w14:paraId="10BBD59C" w14:textId="1C69D3F7" w:rsidR="007E4AF6" w:rsidRDefault="0084478F" w:rsidP="00DA69B8">
      <w:pPr>
        <w:spacing w:after="0" w:line="480" w:lineRule="auto"/>
        <w:ind w:firstLine="284"/>
        <w:jc w:val="both"/>
        <w:rPr>
          <w:rFonts w:ascii="Times New Roman" w:hAnsi="Times New Roman" w:cs="Times New Roman"/>
          <w:sz w:val="24"/>
          <w:szCs w:val="24"/>
        </w:rPr>
      </w:pPr>
      <w:r>
        <w:rPr>
          <w:rFonts w:ascii="Times New Roman" w:hAnsi="Times New Roman" w:cs="Times New Roman"/>
          <w:sz w:val="24"/>
          <w:szCs w:val="24"/>
        </w:rPr>
        <w:t>S</w:t>
      </w:r>
      <w:r w:rsidR="007E4AF6" w:rsidRPr="00897D83">
        <w:rPr>
          <w:rFonts w:ascii="Times New Roman" w:hAnsi="Times New Roman" w:cs="Times New Roman"/>
          <w:sz w:val="24"/>
          <w:szCs w:val="24"/>
        </w:rPr>
        <w:t>train at break of UPR/rGO composites increases after addition of rGO. The highest value of 51.0% is observed at 0.05 wt.% (10% over UPR), and the lowest value of 45.1% is observed at 1.0 wt.% (2.5% over UPR). As afor</w:t>
      </w:r>
      <w:r w:rsidR="004C746E">
        <w:rPr>
          <w:rFonts w:ascii="Times New Roman" w:hAnsi="Times New Roman" w:cs="Times New Roman"/>
          <w:sz w:val="24"/>
          <w:szCs w:val="24"/>
        </w:rPr>
        <w:t xml:space="preserve">ementioned reasons, the UPR/rGO </w:t>
      </w:r>
      <w:r w:rsidR="007E4AF6" w:rsidRPr="00897D83">
        <w:rPr>
          <w:rFonts w:ascii="Times New Roman" w:hAnsi="Times New Roman" w:cs="Times New Roman"/>
          <w:sz w:val="24"/>
          <w:szCs w:val="24"/>
        </w:rPr>
        <w:t>composites at lower rGO concentrations (</w:t>
      </w:r>
      <w:r w:rsidR="007E4AF6" w:rsidRPr="00897D83">
        <w:rPr>
          <w:rFonts w:ascii="Times New Roman" w:hAnsi="Times New Roman" w:cs="Times New Roman" w:hint="eastAsia"/>
          <w:sz w:val="24"/>
          <w:szCs w:val="24"/>
        </w:rPr>
        <w:t>≤</w:t>
      </w:r>
      <w:r w:rsidR="007E4AF6" w:rsidRPr="00897D83">
        <w:rPr>
          <w:rFonts w:ascii="Times New Roman" w:hAnsi="Times New Roman" w:cs="Times New Roman"/>
          <w:sz w:val="24"/>
          <w:szCs w:val="24"/>
        </w:rPr>
        <w:t xml:space="preserve">0.5 wt.%) is relatively flexible due to the reduced crosslinking density caused by the less reactive </w:t>
      </w:r>
      <w:r w:rsidR="003F07F7">
        <w:rPr>
          <w:rFonts w:ascii="Times New Roman" w:hAnsi="Times New Roman" w:cs="Times New Roman"/>
          <w:sz w:val="24"/>
          <w:szCs w:val="24"/>
        </w:rPr>
        <w:t>styrene monomers</w:t>
      </w:r>
      <w:r w:rsidR="007E4AF6" w:rsidRPr="00897D83">
        <w:rPr>
          <w:rFonts w:ascii="Times New Roman" w:hAnsi="Times New Roman" w:cs="Times New Roman"/>
          <w:sz w:val="24"/>
          <w:szCs w:val="24"/>
        </w:rPr>
        <w:t xml:space="preserve">, resulting in an increment on strain at break. </w:t>
      </w:r>
      <w:r w:rsidR="00897D83">
        <w:rPr>
          <w:rFonts w:ascii="Times New Roman" w:hAnsi="Times New Roman" w:cs="Times New Roman"/>
          <w:sz w:val="24"/>
          <w:szCs w:val="24"/>
        </w:rPr>
        <w:t>In contrast</w:t>
      </w:r>
      <w:r w:rsidR="001640F9">
        <w:rPr>
          <w:rFonts w:ascii="Times New Roman" w:hAnsi="Times New Roman" w:cs="Times New Roman"/>
          <w:sz w:val="24"/>
          <w:szCs w:val="24"/>
        </w:rPr>
        <w:t>, 1.0 wt.% UPR/r</w:t>
      </w:r>
      <w:r w:rsidR="007E4AF6" w:rsidRPr="00897D83">
        <w:rPr>
          <w:rFonts w:ascii="Times New Roman" w:hAnsi="Times New Roman" w:cs="Times New Roman"/>
          <w:sz w:val="24"/>
          <w:szCs w:val="24"/>
        </w:rPr>
        <w:t xml:space="preserve">GO is relatively rigid </w:t>
      </w:r>
      <w:r w:rsidR="00897D83" w:rsidRPr="00897D83">
        <w:rPr>
          <w:rFonts w:ascii="Times New Roman" w:hAnsi="Times New Roman" w:cs="Times New Roman"/>
          <w:sz w:val="24"/>
          <w:szCs w:val="24"/>
        </w:rPr>
        <w:t xml:space="preserve">due </w:t>
      </w:r>
      <w:r w:rsidR="007E4AF6" w:rsidRPr="00897D83">
        <w:rPr>
          <w:rFonts w:ascii="Times New Roman" w:hAnsi="Times New Roman" w:cs="Times New Roman"/>
          <w:sz w:val="24"/>
          <w:szCs w:val="24"/>
        </w:rPr>
        <w:t>to the rigid nanoparticles and higher crosslinking density, resulting in a reduction on strain at break. Similar to tensile properties, the energy at break (the area underneath the stress-strain curve) in compressive test is reduced with increasing rGO content, except 1.0 wt.% composite. This is because both Young’s modulus and fracture strength are reduced when rGO content below 0.5 wt.%, whereas the slight increment of fracture strain at break cannot compensate the reduction from modulus and strength. When the rGO content is 1.0 wt.%, Young’s modulus is increased significantly over other UPR/rGO composites, resulting in an increased energy at break.</w:t>
      </w:r>
    </w:p>
    <w:p w14:paraId="22F5634E" w14:textId="77777777" w:rsidR="001640F9" w:rsidRDefault="001640F9" w:rsidP="00DA69B8">
      <w:pPr>
        <w:spacing w:after="0" w:line="480" w:lineRule="auto"/>
        <w:ind w:firstLine="284"/>
        <w:jc w:val="both"/>
        <w:rPr>
          <w:rFonts w:ascii="Times New Roman" w:hAnsi="Times New Roman" w:cs="Times New Roman"/>
          <w:sz w:val="24"/>
          <w:szCs w:val="24"/>
        </w:rPr>
      </w:pPr>
    </w:p>
    <w:p w14:paraId="6BDF9FA2" w14:textId="77777777" w:rsidR="001640F9" w:rsidRPr="001A5452" w:rsidRDefault="001640F9" w:rsidP="001640F9">
      <w:pPr>
        <w:pStyle w:val="Caption"/>
        <w:ind w:firstLine="0"/>
        <w:rPr>
          <w:rFonts w:cs="Times New Roman"/>
          <w:b w:val="0"/>
          <w:szCs w:val="24"/>
        </w:rPr>
      </w:pPr>
      <w:bookmarkStart w:id="146" w:name="_Toc518823488"/>
      <w:r>
        <w:t>Table 4.</w:t>
      </w:r>
      <w:r>
        <w:fldChar w:fldCharType="begin"/>
      </w:r>
      <w:r>
        <w:instrText xml:space="preserve"> SEQ Table_4. \* ARABIC </w:instrText>
      </w:r>
      <w:r>
        <w:fldChar w:fldCharType="separate"/>
      </w:r>
      <w:r>
        <w:rPr>
          <w:noProof/>
        </w:rPr>
        <w:t>4</w:t>
      </w:r>
      <w:r>
        <w:fldChar w:fldCharType="end"/>
      </w:r>
      <w:r w:rsidRPr="001A5452">
        <w:rPr>
          <w:rFonts w:cs="Times New Roman"/>
          <w:b w:val="0"/>
          <w:szCs w:val="24"/>
        </w:rPr>
        <w:t xml:space="preserve">. </w:t>
      </w:r>
      <w:r w:rsidRPr="001A5452">
        <w:rPr>
          <w:rFonts w:cs="Times New Roman"/>
          <w:szCs w:val="24"/>
        </w:rPr>
        <w:t>Compressive properties of UPR and UPR/rGO composites.</w:t>
      </w:r>
      <w:bookmarkEnd w:id="146"/>
    </w:p>
    <w:tbl>
      <w:tblPr>
        <w:tblStyle w:val="TableGrid"/>
        <w:tblW w:w="935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1276"/>
        <w:gridCol w:w="1276"/>
        <w:gridCol w:w="1417"/>
        <w:gridCol w:w="1418"/>
        <w:gridCol w:w="1417"/>
        <w:gridCol w:w="1276"/>
        <w:gridCol w:w="1275"/>
      </w:tblGrid>
      <w:tr w:rsidR="001640F9" w:rsidRPr="001A5452" w14:paraId="0B4C85E1" w14:textId="77777777" w:rsidTr="001B3FB7">
        <w:trPr>
          <w:trHeight w:val="690"/>
        </w:trPr>
        <w:tc>
          <w:tcPr>
            <w:tcW w:w="1276" w:type="dxa"/>
            <w:tcBorders>
              <w:left w:val="nil"/>
              <w:bottom w:val="single" w:sz="12" w:space="0" w:color="000000" w:themeColor="text1"/>
              <w:right w:val="nil"/>
            </w:tcBorders>
          </w:tcPr>
          <w:p w14:paraId="7CFBEC87" w14:textId="77777777" w:rsidR="001640F9" w:rsidRPr="001A5452" w:rsidRDefault="001640F9" w:rsidP="001B3FB7">
            <w:pPr>
              <w:rPr>
                <w:rFonts w:ascii="Times New Roman" w:hAnsi="Times New Roman" w:cs="Times New Roman"/>
              </w:rPr>
            </w:pPr>
          </w:p>
        </w:tc>
        <w:tc>
          <w:tcPr>
            <w:tcW w:w="1276" w:type="dxa"/>
            <w:tcBorders>
              <w:left w:val="nil"/>
              <w:bottom w:val="single" w:sz="12" w:space="0" w:color="000000" w:themeColor="text1"/>
              <w:right w:val="nil"/>
            </w:tcBorders>
            <w:vAlign w:val="center"/>
          </w:tcPr>
          <w:p w14:paraId="67ADFFC9" w14:textId="77777777" w:rsidR="001640F9" w:rsidRPr="001A5452" w:rsidRDefault="001640F9" w:rsidP="001B3FB7">
            <w:pPr>
              <w:jc w:val="center"/>
              <w:rPr>
                <w:rFonts w:ascii="Times New Roman" w:hAnsi="Times New Roman" w:cs="Times New Roman"/>
              </w:rPr>
            </w:pPr>
            <w:r w:rsidRPr="001A5452">
              <w:rPr>
                <w:rFonts w:ascii="Times New Roman" w:hAnsi="Times New Roman" w:cs="Times New Roman"/>
              </w:rPr>
              <w:t>Young’s modulus</w:t>
            </w:r>
          </w:p>
          <w:p w14:paraId="193AAEE5" w14:textId="77777777" w:rsidR="001640F9" w:rsidRPr="001A5452" w:rsidRDefault="001640F9" w:rsidP="001B3FB7">
            <w:pPr>
              <w:rPr>
                <w:rFonts w:ascii="Times New Roman" w:hAnsi="Times New Roman" w:cs="Times New Roman"/>
              </w:rPr>
            </w:pPr>
            <w:r w:rsidRPr="001A5452">
              <w:rPr>
                <w:rFonts w:ascii="Times New Roman" w:hAnsi="Times New Roman" w:cs="Times New Roman"/>
              </w:rPr>
              <w:t xml:space="preserve">     / GPa</w:t>
            </w:r>
          </w:p>
        </w:tc>
        <w:tc>
          <w:tcPr>
            <w:tcW w:w="1417" w:type="dxa"/>
            <w:tcBorders>
              <w:left w:val="nil"/>
              <w:bottom w:val="single" w:sz="12" w:space="0" w:color="000000" w:themeColor="text1"/>
              <w:right w:val="nil"/>
            </w:tcBorders>
            <w:vAlign w:val="center"/>
          </w:tcPr>
          <w:p w14:paraId="7B5437BE" w14:textId="77777777" w:rsidR="001640F9" w:rsidRPr="001A5452" w:rsidRDefault="001640F9" w:rsidP="001B3FB7">
            <w:pPr>
              <w:jc w:val="center"/>
              <w:rPr>
                <w:rFonts w:ascii="Times New Roman" w:hAnsi="Times New Roman" w:cs="Times New Roman"/>
                <w:bCs/>
                <w:color w:val="000000"/>
              </w:rPr>
            </w:pPr>
          </w:p>
          <w:p w14:paraId="68EB68D6"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Fracture strength</w:t>
            </w:r>
          </w:p>
          <w:p w14:paraId="2A21BA7A"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 MPa</w:t>
            </w:r>
          </w:p>
          <w:p w14:paraId="6AFBA0E7" w14:textId="77777777" w:rsidR="001640F9" w:rsidRPr="001A5452" w:rsidRDefault="001640F9" w:rsidP="001B3FB7">
            <w:pPr>
              <w:rPr>
                <w:rFonts w:ascii="Times New Roman" w:hAnsi="Times New Roman" w:cs="Times New Roman"/>
              </w:rPr>
            </w:pPr>
          </w:p>
        </w:tc>
        <w:tc>
          <w:tcPr>
            <w:tcW w:w="1418" w:type="dxa"/>
            <w:tcBorders>
              <w:left w:val="nil"/>
              <w:bottom w:val="single" w:sz="12" w:space="0" w:color="000000" w:themeColor="text1"/>
              <w:right w:val="nil"/>
            </w:tcBorders>
            <w:vAlign w:val="center"/>
          </w:tcPr>
          <w:p w14:paraId="52589BCD" w14:textId="77777777" w:rsidR="001640F9" w:rsidRPr="001A5452" w:rsidRDefault="001640F9" w:rsidP="001B3FB7">
            <w:pPr>
              <w:jc w:val="center"/>
              <w:rPr>
                <w:rFonts w:ascii="Times New Roman" w:hAnsi="Times New Roman" w:cs="Times New Roman"/>
                <w:bCs/>
                <w:color w:val="000000"/>
              </w:rPr>
            </w:pPr>
          </w:p>
          <w:p w14:paraId="2C5DF83E"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 xml:space="preserve">Fracture strain </w:t>
            </w:r>
          </w:p>
          <w:p w14:paraId="2C09242A"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 %</w:t>
            </w:r>
          </w:p>
          <w:p w14:paraId="75BD173A" w14:textId="77777777" w:rsidR="001640F9" w:rsidRPr="001A5452" w:rsidRDefault="001640F9" w:rsidP="001B3FB7">
            <w:pPr>
              <w:rPr>
                <w:rFonts w:ascii="Times New Roman" w:hAnsi="Times New Roman" w:cs="Times New Roman"/>
              </w:rPr>
            </w:pPr>
          </w:p>
        </w:tc>
        <w:tc>
          <w:tcPr>
            <w:tcW w:w="1417" w:type="dxa"/>
            <w:tcBorders>
              <w:left w:val="nil"/>
              <w:bottom w:val="single" w:sz="12" w:space="0" w:color="000000" w:themeColor="text1"/>
              <w:right w:val="nil"/>
            </w:tcBorders>
            <w:vAlign w:val="center"/>
          </w:tcPr>
          <w:p w14:paraId="72310035" w14:textId="77777777" w:rsidR="001640F9" w:rsidRPr="001A5452" w:rsidRDefault="001640F9" w:rsidP="001B3FB7">
            <w:pPr>
              <w:jc w:val="center"/>
              <w:rPr>
                <w:rFonts w:ascii="Times New Roman" w:hAnsi="Times New Roman" w:cs="Times New Roman"/>
                <w:bCs/>
                <w:color w:val="000000"/>
              </w:rPr>
            </w:pPr>
          </w:p>
          <w:p w14:paraId="5CE1E012"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Energy at break</w:t>
            </w:r>
          </w:p>
          <w:p w14:paraId="605E0541"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 xml:space="preserve"> / MJ m</w:t>
            </w:r>
            <w:r w:rsidRPr="001A5452">
              <w:rPr>
                <w:rFonts w:ascii="Times New Roman" w:hAnsi="Times New Roman" w:cs="Times New Roman"/>
                <w:bCs/>
                <w:color w:val="000000"/>
                <w:vertAlign w:val="superscript"/>
              </w:rPr>
              <w:t>-3</w:t>
            </w:r>
          </w:p>
          <w:p w14:paraId="11FC6BFA" w14:textId="77777777" w:rsidR="001640F9" w:rsidRPr="001A5452" w:rsidRDefault="001640F9" w:rsidP="001B3FB7">
            <w:pPr>
              <w:rPr>
                <w:rFonts w:ascii="Times New Roman" w:hAnsi="Times New Roman" w:cs="Times New Roman"/>
              </w:rPr>
            </w:pPr>
          </w:p>
        </w:tc>
        <w:tc>
          <w:tcPr>
            <w:tcW w:w="1276" w:type="dxa"/>
            <w:tcBorders>
              <w:left w:val="nil"/>
              <w:bottom w:val="single" w:sz="12" w:space="0" w:color="000000" w:themeColor="text1"/>
              <w:right w:val="nil"/>
            </w:tcBorders>
          </w:tcPr>
          <w:p w14:paraId="1BC715BD"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 xml:space="preserve"> </w:t>
            </w:r>
          </w:p>
          <w:p w14:paraId="3F99A4D0"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Yield strength</w:t>
            </w:r>
          </w:p>
          <w:p w14:paraId="04549F66"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 MPa</w:t>
            </w:r>
          </w:p>
          <w:p w14:paraId="3D73CBBF" w14:textId="77777777" w:rsidR="001640F9" w:rsidRPr="001A5452" w:rsidRDefault="001640F9" w:rsidP="001B3FB7">
            <w:pPr>
              <w:jc w:val="center"/>
              <w:rPr>
                <w:rFonts w:ascii="Times New Roman" w:hAnsi="Times New Roman" w:cs="Times New Roman"/>
                <w:bCs/>
                <w:color w:val="000000"/>
                <w:sz w:val="24"/>
                <w:szCs w:val="24"/>
              </w:rPr>
            </w:pPr>
          </w:p>
        </w:tc>
        <w:tc>
          <w:tcPr>
            <w:tcW w:w="1275" w:type="dxa"/>
            <w:tcBorders>
              <w:left w:val="nil"/>
              <w:bottom w:val="single" w:sz="12" w:space="0" w:color="000000" w:themeColor="text1"/>
              <w:right w:val="nil"/>
            </w:tcBorders>
          </w:tcPr>
          <w:p w14:paraId="1E5C2100" w14:textId="77777777" w:rsidR="001640F9" w:rsidRPr="001A5452" w:rsidRDefault="001640F9" w:rsidP="001B3FB7">
            <w:pPr>
              <w:jc w:val="center"/>
              <w:rPr>
                <w:rFonts w:ascii="Times New Roman" w:hAnsi="Times New Roman" w:cs="Times New Roman"/>
                <w:bCs/>
                <w:color w:val="000000"/>
              </w:rPr>
            </w:pPr>
          </w:p>
          <w:p w14:paraId="4F6AC2D5"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Yield strain</w:t>
            </w:r>
          </w:p>
          <w:p w14:paraId="4DC14A4F" w14:textId="77777777" w:rsidR="001640F9" w:rsidRPr="001A5452" w:rsidRDefault="001640F9" w:rsidP="001B3FB7">
            <w:pPr>
              <w:jc w:val="center"/>
              <w:rPr>
                <w:rFonts w:ascii="Times New Roman" w:hAnsi="Times New Roman" w:cs="Times New Roman"/>
                <w:bCs/>
                <w:color w:val="000000"/>
              </w:rPr>
            </w:pPr>
            <w:r w:rsidRPr="001A5452">
              <w:rPr>
                <w:rFonts w:ascii="Times New Roman" w:hAnsi="Times New Roman" w:cs="Times New Roman"/>
                <w:bCs/>
                <w:color w:val="000000"/>
              </w:rPr>
              <w:t>/ %</w:t>
            </w:r>
          </w:p>
        </w:tc>
      </w:tr>
      <w:tr w:rsidR="001640F9" w:rsidRPr="001A5452" w14:paraId="416AD0F4" w14:textId="77777777" w:rsidTr="001B3FB7">
        <w:tc>
          <w:tcPr>
            <w:tcW w:w="1276" w:type="dxa"/>
            <w:tcBorders>
              <w:left w:val="nil"/>
              <w:bottom w:val="nil"/>
              <w:right w:val="nil"/>
            </w:tcBorders>
          </w:tcPr>
          <w:p w14:paraId="11B8BFAA"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UPR</w:t>
            </w:r>
          </w:p>
        </w:tc>
        <w:tc>
          <w:tcPr>
            <w:tcW w:w="1276" w:type="dxa"/>
            <w:tcBorders>
              <w:left w:val="nil"/>
              <w:bottom w:val="nil"/>
              <w:right w:val="nil"/>
            </w:tcBorders>
          </w:tcPr>
          <w:p w14:paraId="779D95B3"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1.38±0.03</w:t>
            </w:r>
          </w:p>
        </w:tc>
        <w:tc>
          <w:tcPr>
            <w:tcW w:w="1417" w:type="dxa"/>
            <w:tcBorders>
              <w:left w:val="nil"/>
              <w:bottom w:val="nil"/>
              <w:right w:val="nil"/>
            </w:tcBorders>
          </w:tcPr>
          <w:p w14:paraId="7384F606"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128.4</w:t>
            </w:r>
            <w:r w:rsidRPr="001A5452">
              <w:rPr>
                <w:rFonts w:ascii="Times New Roman" w:hAnsi="Times New Roman" w:cs="Times New Roman"/>
              </w:rPr>
              <w:t>±</w:t>
            </w:r>
            <w:r>
              <w:rPr>
                <w:rFonts w:ascii="Times New Roman" w:hAnsi="Times New Roman" w:cs="Times New Roman"/>
              </w:rPr>
              <w:t>10.1</w:t>
            </w:r>
          </w:p>
        </w:tc>
        <w:tc>
          <w:tcPr>
            <w:tcW w:w="1418" w:type="dxa"/>
            <w:tcBorders>
              <w:left w:val="nil"/>
              <w:bottom w:val="nil"/>
              <w:right w:val="nil"/>
            </w:tcBorders>
          </w:tcPr>
          <w:p w14:paraId="4EDF4A13"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4</w:t>
            </w:r>
            <w:r>
              <w:rPr>
                <w:rFonts w:ascii="Times New Roman" w:hAnsi="Times New Roman" w:cs="Times New Roman"/>
              </w:rPr>
              <w:t>6.3±1.4</w:t>
            </w:r>
          </w:p>
        </w:tc>
        <w:tc>
          <w:tcPr>
            <w:tcW w:w="1417" w:type="dxa"/>
            <w:tcBorders>
              <w:left w:val="nil"/>
              <w:bottom w:val="nil"/>
              <w:right w:val="nil"/>
            </w:tcBorders>
          </w:tcPr>
          <w:p w14:paraId="6729AB84"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35.3</w:t>
            </w:r>
            <w:r w:rsidRPr="001A5452">
              <w:rPr>
                <w:rFonts w:ascii="Times New Roman" w:hAnsi="Times New Roman" w:cs="Times New Roman"/>
              </w:rPr>
              <w:t>±2.8</w:t>
            </w:r>
          </w:p>
        </w:tc>
        <w:tc>
          <w:tcPr>
            <w:tcW w:w="1276" w:type="dxa"/>
            <w:tcBorders>
              <w:left w:val="nil"/>
              <w:bottom w:val="nil"/>
              <w:right w:val="nil"/>
            </w:tcBorders>
          </w:tcPr>
          <w:p w14:paraId="44A5E761" w14:textId="77777777" w:rsidR="001640F9" w:rsidRPr="001A5452" w:rsidRDefault="001640F9" w:rsidP="001B3FB7">
            <w:pPr>
              <w:spacing w:line="360" w:lineRule="auto"/>
              <w:jc w:val="center"/>
              <w:rPr>
                <w:rFonts w:ascii="Times New Roman" w:hAnsi="Times New Roman" w:cs="Times New Roman"/>
                <w:sz w:val="24"/>
                <w:szCs w:val="24"/>
              </w:rPr>
            </w:pPr>
            <w:r>
              <w:rPr>
                <w:rFonts w:ascii="Times New Roman" w:hAnsi="Times New Roman" w:cs="Times New Roman"/>
                <w:sz w:val="24"/>
                <w:szCs w:val="24"/>
              </w:rPr>
              <w:t>89.1</w:t>
            </w:r>
            <w:r>
              <w:rPr>
                <w:rFonts w:ascii="Times New Roman" w:hAnsi="Times New Roman" w:cs="Times New Roman"/>
              </w:rPr>
              <w:t>±1.0</w:t>
            </w:r>
          </w:p>
        </w:tc>
        <w:tc>
          <w:tcPr>
            <w:tcW w:w="1275" w:type="dxa"/>
            <w:tcBorders>
              <w:left w:val="nil"/>
              <w:bottom w:val="nil"/>
              <w:right w:val="nil"/>
            </w:tcBorders>
          </w:tcPr>
          <w:p w14:paraId="2BAA5AD1" w14:textId="77777777" w:rsidR="001640F9" w:rsidRPr="001A5452" w:rsidRDefault="001640F9" w:rsidP="001B3FB7">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9.27</w:t>
            </w:r>
            <w:r w:rsidRPr="001A5452">
              <w:rPr>
                <w:rFonts w:ascii="Times New Roman" w:hAnsi="Times New Roman" w:cs="Times New Roman"/>
              </w:rPr>
              <w:t>±0.10</w:t>
            </w:r>
          </w:p>
        </w:tc>
      </w:tr>
      <w:tr w:rsidR="001640F9" w:rsidRPr="001A5452" w14:paraId="4C741D43" w14:textId="77777777" w:rsidTr="001B3FB7">
        <w:tc>
          <w:tcPr>
            <w:tcW w:w="1276" w:type="dxa"/>
            <w:tcBorders>
              <w:top w:val="nil"/>
              <w:left w:val="nil"/>
              <w:bottom w:val="nil"/>
              <w:right w:val="nil"/>
            </w:tcBorders>
          </w:tcPr>
          <w:p w14:paraId="39DEEFFE"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UPR-THF</w:t>
            </w:r>
          </w:p>
        </w:tc>
        <w:tc>
          <w:tcPr>
            <w:tcW w:w="1276" w:type="dxa"/>
            <w:tcBorders>
              <w:top w:val="nil"/>
              <w:left w:val="nil"/>
              <w:bottom w:val="nil"/>
              <w:right w:val="nil"/>
            </w:tcBorders>
          </w:tcPr>
          <w:p w14:paraId="38A9A476"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1.31±0.05</w:t>
            </w:r>
          </w:p>
        </w:tc>
        <w:tc>
          <w:tcPr>
            <w:tcW w:w="1417" w:type="dxa"/>
            <w:tcBorders>
              <w:top w:val="nil"/>
              <w:left w:val="nil"/>
              <w:bottom w:val="nil"/>
              <w:right w:val="nil"/>
            </w:tcBorders>
          </w:tcPr>
          <w:p w14:paraId="5F171DC1"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132.8±7.8</w:t>
            </w:r>
          </w:p>
        </w:tc>
        <w:tc>
          <w:tcPr>
            <w:tcW w:w="1418" w:type="dxa"/>
            <w:tcBorders>
              <w:top w:val="nil"/>
              <w:left w:val="nil"/>
              <w:bottom w:val="nil"/>
              <w:right w:val="nil"/>
            </w:tcBorders>
          </w:tcPr>
          <w:p w14:paraId="14DD5B9E"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48.1±1.3</w:t>
            </w:r>
          </w:p>
        </w:tc>
        <w:tc>
          <w:tcPr>
            <w:tcW w:w="1417" w:type="dxa"/>
            <w:tcBorders>
              <w:top w:val="nil"/>
              <w:left w:val="nil"/>
              <w:bottom w:val="nil"/>
              <w:right w:val="nil"/>
            </w:tcBorders>
          </w:tcPr>
          <w:p w14:paraId="0B108276"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36.4</w:t>
            </w:r>
            <w:r w:rsidRPr="001A5452">
              <w:rPr>
                <w:rFonts w:ascii="Times New Roman" w:hAnsi="Times New Roman" w:cs="Times New Roman"/>
              </w:rPr>
              <w:t>±2.3</w:t>
            </w:r>
          </w:p>
        </w:tc>
        <w:tc>
          <w:tcPr>
            <w:tcW w:w="1276" w:type="dxa"/>
            <w:tcBorders>
              <w:top w:val="nil"/>
              <w:left w:val="nil"/>
              <w:bottom w:val="nil"/>
              <w:right w:val="nil"/>
            </w:tcBorders>
          </w:tcPr>
          <w:p w14:paraId="136995FA" w14:textId="77777777" w:rsidR="001640F9" w:rsidRPr="001A5452" w:rsidRDefault="001640F9" w:rsidP="001B3FB7">
            <w:pPr>
              <w:spacing w:line="360" w:lineRule="auto"/>
              <w:jc w:val="center"/>
              <w:rPr>
                <w:rFonts w:ascii="Times New Roman" w:hAnsi="Times New Roman" w:cs="Times New Roman"/>
                <w:sz w:val="24"/>
                <w:szCs w:val="24"/>
                <w:lang w:val="en-GB"/>
              </w:rPr>
            </w:pPr>
            <w:r>
              <w:rPr>
                <w:rFonts w:ascii="Times New Roman" w:hAnsi="Times New Roman" w:cs="Times New Roman"/>
                <w:sz w:val="24"/>
                <w:szCs w:val="24"/>
              </w:rPr>
              <w:t>86.3</w:t>
            </w:r>
            <w:r>
              <w:rPr>
                <w:rFonts w:ascii="Times New Roman" w:hAnsi="Times New Roman" w:cs="Times New Roman"/>
              </w:rPr>
              <w:t>±1.2</w:t>
            </w:r>
          </w:p>
        </w:tc>
        <w:tc>
          <w:tcPr>
            <w:tcW w:w="1275" w:type="dxa"/>
            <w:tcBorders>
              <w:top w:val="nil"/>
              <w:left w:val="nil"/>
              <w:bottom w:val="nil"/>
              <w:right w:val="nil"/>
            </w:tcBorders>
          </w:tcPr>
          <w:p w14:paraId="54AB58A2" w14:textId="77777777" w:rsidR="001640F9" w:rsidRPr="001A5452" w:rsidRDefault="001640F9" w:rsidP="001B3FB7">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9.31</w:t>
            </w:r>
            <w:r w:rsidRPr="001A5452">
              <w:rPr>
                <w:rFonts w:ascii="Times New Roman" w:hAnsi="Times New Roman" w:cs="Times New Roman"/>
              </w:rPr>
              <w:t>±0.15</w:t>
            </w:r>
          </w:p>
        </w:tc>
      </w:tr>
      <w:tr w:rsidR="001640F9" w:rsidRPr="001A5452" w14:paraId="4A8F6568" w14:textId="77777777" w:rsidTr="001B3FB7">
        <w:tc>
          <w:tcPr>
            <w:tcW w:w="1276" w:type="dxa"/>
            <w:tcBorders>
              <w:top w:val="nil"/>
              <w:left w:val="nil"/>
              <w:bottom w:val="nil"/>
              <w:right w:val="nil"/>
            </w:tcBorders>
          </w:tcPr>
          <w:p w14:paraId="1D936816"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0.05 wt.%</w:t>
            </w:r>
          </w:p>
        </w:tc>
        <w:tc>
          <w:tcPr>
            <w:tcW w:w="1276" w:type="dxa"/>
            <w:tcBorders>
              <w:top w:val="nil"/>
              <w:left w:val="nil"/>
              <w:bottom w:val="nil"/>
              <w:right w:val="nil"/>
            </w:tcBorders>
          </w:tcPr>
          <w:p w14:paraId="3B0CD82D"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0.66±0.02</w:t>
            </w:r>
          </w:p>
        </w:tc>
        <w:tc>
          <w:tcPr>
            <w:tcW w:w="1417" w:type="dxa"/>
            <w:tcBorders>
              <w:top w:val="nil"/>
              <w:left w:val="nil"/>
              <w:bottom w:val="nil"/>
              <w:right w:val="nil"/>
            </w:tcBorders>
          </w:tcPr>
          <w:p w14:paraId="76CE1B6C"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113.6±5.2</w:t>
            </w:r>
          </w:p>
        </w:tc>
        <w:tc>
          <w:tcPr>
            <w:tcW w:w="1418" w:type="dxa"/>
            <w:tcBorders>
              <w:top w:val="nil"/>
              <w:left w:val="nil"/>
              <w:bottom w:val="nil"/>
              <w:right w:val="nil"/>
            </w:tcBorders>
          </w:tcPr>
          <w:p w14:paraId="5BFEFFB6"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51.0±0.8</w:t>
            </w:r>
          </w:p>
        </w:tc>
        <w:tc>
          <w:tcPr>
            <w:tcW w:w="1417" w:type="dxa"/>
            <w:tcBorders>
              <w:top w:val="nil"/>
              <w:left w:val="nil"/>
              <w:bottom w:val="nil"/>
              <w:right w:val="nil"/>
            </w:tcBorders>
          </w:tcPr>
          <w:p w14:paraId="60A4BE29"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21.5±0.5</w:t>
            </w:r>
          </w:p>
        </w:tc>
        <w:tc>
          <w:tcPr>
            <w:tcW w:w="1276" w:type="dxa"/>
            <w:tcBorders>
              <w:top w:val="nil"/>
              <w:left w:val="nil"/>
              <w:bottom w:val="nil"/>
              <w:right w:val="nil"/>
            </w:tcBorders>
          </w:tcPr>
          <w:p w14:paraId="2B200AF4"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sz w:val="24"/>
                <w:szCs w:val="24"/>
              </w:rPr>
              <w:t>25.9</w:t>
            </w:r>
            <w:r>
              <w:rPr>
                <w:rFonts w:ascii="Times New Roman" w:hAnsi="Times New Roman" w:cs="Times New Roman"/>
              </w:rPr>
              <w:t>±1.1</w:t>
            </w:r>
          </w:p>
        </w:tc>
        <w:tc>
          <w:tcPr>
            <w:tcW w:w="1275" w:type="dxa"/>
            <w:tcBorders>
              <w:top w:val="nil"/>
              <w:left w:val="nil"/>
              <w:bottom w:val="nil"/>
              <w:right w:val="nil"/>
            </w:tcBorders>
          </w:tcPr>
          <w:p w14:paraId="0751073D" w14:textId="77777777" w:rsidR="001640F9" w:rsidRPr="001A5452" w:rsidRDefault="001640F9" w:rsidP="001B3FB7">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5.54</w:t>
            </w:r>
            <w:r w:rsidRPr="001A5452">
              <w:rPr>
                <w:rFonts w:ascii="Times New Roman" w:hAnsi="Times New Roman" w:cs="Times New Roman"/>
              </w:rPr>
              <w:t>±0.19</w:t>
            </w:r>
          </w:p>
        </w:tc>
      </w:tr>
      <w:tr w:rsidR="001640F9" w:rsidRPr="001A5452" w14:paraId="71F9C881" w14:textId="77777777" w:rsidTr="001B3FB7">
        <w:tc>
          <w:tcPr>
            <w:tcW w:w="1276" w:type="dxa"/>
            <w:tcBorders>
              <w:top w:val="nil"/>
              <w:left w:val="nil"/>
              <w:bottom w:val="nil"/>
              <w:right w:val="nil"/>
            </w:tcBorders>
          </w:tcPr>
          <w:p w14:paraId="7A323419"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0.1.0 wt.%</w:t>
            </w:r>
          </w:p>
        </w:tc>
        <w:tc>
          <w:tcPr>
            <w:tcW w:w="1276" w:type="dxa"/>
            <w:tcBorders>
              <w:top w:val="nil"/>
              <w:left w:val="nil"/>
              <w:bottom w:val="nil"/>
              <w:right w:val="nil"/>
            </w:tcBorders>
          </w:tcPr>
          <w:p w14:paraId="7305A3CE"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0.60±0.05</w:t>
            </w:r>
          </w:p>
        </w:tc>
        <w:tc>
          <w:tcPr>
            <w:tcW w:w="1417" w:type="dxa"/>
            <w:tcBorders>
              <w:top w:val="nil"/>
              <w:left w:val="nil"/>
              <w:bottom w:val="nil"/>
              <w:right w:val="nil"/>
            </w:tcBorders>
          </w:tcPr>
          <w:p w14:paraId="3A6A1870"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83.3±1.7</w:t>
            </w:r>
          </w:p>
        </w:tc>
        <w:tc>
          <w:tcPr>
            <w:tcW w:w="1418" w:type="dxa"/>
            <w:tcBorders>
              <w:top w:val="nil"/>
              <w:left w:val="nil"/>
              <w:bottom w:val="nil"/>
              <w:right w:val="nil"/>
            </w:tcBorders>
          </w:tcPr>
          <w:p w14:paraId="13384B3F"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47.3±0.5</w:t>
            </w:r>
          </w:p>
        </w:tc>
        <w:tc>
          <w:tcPr>
            <w:tcW w:w="1417" w:type="dxa"/>
            <w:tcBorders>
              <w:top w:val="nil"/>
              <w:left w:val="nil"/>
              <w:bottom w:val="nil"/>
              <w:right w:val="nil"/>
            </w:tcBorders>
          </w:tcPr>
          <w:p w14:paraId="71AB5918"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17.7±1.0</w:t>
            </w:r>
          </w:p>
        </w:tc>
        <w:tc>
          <w:tcPr>
            <w:tcW w:w="1276" w:type="dxa"/>
            <w:tcBorders>
              <w:top w:val="nil"/>
              <w:left w:val="nil"/>
              <w:bottom w:val="nil"/>
              <w:right w:val="nil"/>
            </w:tcBorders>
          </w:tcPr>
          <w:p w14:paraId="5585EA2C" w14:textId="77777777" w:rsidR="001640F9" w:rsidRPr="001A5452" w:rsidRDefault="001640F9" w:rsidP="001B3FB7">
            <w:pPr>
              <w:spacing w:line="360" w:lineRule="auto"/>
              <w:jc w:val="center"/>
              <w:rPr>
                <w:rFonts w:ascii="Times New Roman" w:hAnsi="Times New Roman" w:cs="Times New Roman"/>
                <w:sz w:val="24"/>
                <w:szCs w:val="24"/>
              </w:rPr>
            </w:pPr>
            <w:r>
              <w:rPr>
                <w:rFonts w:ascii="Times New Roman" w:hAnsi="Times New Roman" w:cs="Times New Roman"/>
                <w:sz w:val="24"/>
                <w:szCs w:val="24"/>
              </w:rPr>
              <w:t>22.7</w:t>
            </w:r>
            <w:r>
              <w:rPr>
                <w:rFonts w:ascii="Times New Roman" w:hAnsi="Times New Roman" w:cs="Times New Roman"/>
              </w:rPr>
              <w:t>±1.0</w:t>
            </w:r>
          </w:p>
        </w:tc>
        <w:tc>
          <w:tcPr>
            <w:tcW w:w="1275" w:type="dxa"/>
            <w:tcBorders>
              <w:top w:val="nil"/>
              <w:left w:val="nil"/>
              <w:bottom w:val="nil"/>
              <w:right w:val="nil"/>
            </w:tcBorders>
          </w:tcPr>
          <w:p w14:paraId="0D758EF3"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sz w:val="24"/>
                <w:szCs w:val="24"/>
              </w:rPr>
              <w:t>5.81</w:t>
            </w:r>
            <w:r w:rsidRPr="001A5452">
              <w:rPr>
                <w:rFonts w:ascii="Times New Roman" w:hAnsi="Times New Roman" w:cs="Times New Roman"/>
              </w:rPr>
              <w:t>±0.13</w:t>
            </w:r>
          </w:p>
        </w:tc>
      </w:tr>
      <w:tr w:rsidR="001640F9" w:rsidRPr="001A5452" w14:paraId="00720EF6" w14:textId="77777777" w:rsidTr="001B3FB7">
        <w:tc>
          <w:tcPr>
            <w:tcW w:w="1276" w:type="dxa"/>
            <w:tcBorders>
              <w:top w:val="nil"/>
              <w:left w:val="nil"/>
              <w:bottom w:val="nil"/>
              <w:right w:val="nil"/>
            </w:tcBorders>
          </w:tcPr>
          <w:p w14:paraId="168E00F7"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0.3 wt.%</w:t>
            </w:r>
          </w:p>
        </w:tc>
        <w:tc>
          <w:tcPr>
            <w:tcW w:w="1276" w:type="dxa"/>
            <w:tcBorders>
              <w:top w:val="nil"/>
              <w:left w:val="nil"/>
              <w:bottom w:val="nil"/>
              <w:right w:val="nil"/>
            </w:tcBorders>
          </w:tcPr>
          <w:p w14:paraId="60C7C032"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0.49±0.05</w:t>
            </w:r>
          </w:p>
        </w:tc>
        <w:tc>
          <w:tcPr>
            <w:tcW w:w="1417" w:type="dxa"/>
            <w:tcBorders>
              <w:top w:val="nil"/>
              <w:left w:val="nil"/>
              <w:bottom w:val="nil"/>
              <w:right w:val="nil"/>
            </w:tcBorders>
          </w:tcPr>
          <w:p w14:paraId="6A252E68"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85.3±3.3</w:t>
            </w:r>
          </w:p>
        </w:tc>
        <w:tc>
          <w:tcPr>
            <w:tcW w:w="1418" w:type="dxa"/>
            <w:tcBorders>
              <w:top w:val="nil"/>
              <w:left w:val="nil"/>
              <w:bottom w:val="nil"/>
              <w:right w:val="nil"/>
            </w:tcBorders>
          </w:tcPr>
          <w:p w14:paraId="2F72295E"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48.9±0.6</w:t>
            </w:r>
          </w:p>
        </w:tc>
        <w:tc>
          <w:tcPr>
            <w:tcW w:w="1417" w:type="dxa"/>
            <w:tcBorders>
              <w:top w:val="nil"/>
              <w:left w:val="nil"/>
              <w:bottom w:val="nil"/>
              <w:right w:val="nil"/>
            </w:tcBorders>
          </w:tcPr>
          <w:p w14:paraId="49A9CFF8"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15.1±0.3</w:t>
            </w:r>
          </w:p>
        </w:tc>
        <w:tc>
          <w:tcPr>
            <w:tcW w:w="1276" w:type="dxa"/>
            <w:tcBorders>
              <w:top w:val="nil"/>
              <w:left w:val="nil"/>
              <w:bottom w:val="nil"/>
              <w:right w:val="nil"/>
            </w:tcBorders>
          </w:tcPr>
          <w:p w14:paraId="129C2840" w14:textId="77777777" w:rsidR="001640F9" w:rsidRPr="001A5452" w:rsidRDefault="001640F9" w:rsidP="001B3FB7">
            <w:pPr>
              <w:spacing w:line="360" w:lineRule="auto"/>
              <w:jc w:val="center"/>
              <w:rPr>
                <w:rFonts w:ascii="Times New Roman" w:hAnsi="Times New Roman" w:cs="Times New Roman"/>
                <w:sz w:val="24"/>
                <w:szCs w:val="24"/>
              </w:rPr>
            </w:pPr>
            <w:r>
              <w:rPr>
                <w:rFonts w:ascii="Times New Roman" w:hAnsi="Times New Roman" w:cs="Times New Roman"/>
                <w:sz w:val="24"/>
                <w:szCs w:val="24"/>
              </w:rPr>
              <w:t>15.1</w:t>
            </w:r>
            <w:r>
              <w:rPr>
                <w:rFonts w:ascii="Times New Roman" w:hAnsi="Times New Roman" w:cs="Times New Roman"/>
              </w:rPr>
              <w:t>±0.9</w:t>
            </w:r>
          </w:p>
        </w:tc>
        <w:tc>
          <w:tcPr>
            <w:tcW w:w="1275" w:type="dxa"/>
            <w:tcBorders>
              <w:top w:val="nil"/>
              <w:left w:val="nil"/>
              <w:bottom w:val="nil"/>
              <w:right w:val="nil"/>
            </w:tcBorders>
          </w:tcPr>
          <w:p w14:paraId="0BC0D9D9" w14:textId="77777777" w:rsidR="001640F9" w:rsidRPr="001A5452" w:rsidRDefault="001640F9" w:rsidP="001B3FB7">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4.59</w:t>
            </w:r>
            <w:r w:rsidRPr="001A5452">
              <w:rPr>
                <w:rFonts w:ascii="Times New Roman" w:hAnsi="Times New Roman" w:cs="Times New Roman"/>
              </w:rPr>
              <w:t>±0.48</w:t>
            </w:r>
          </w:p>
        </w:tc>
      </w:tr>
      <w:tr w:rsidR="001640F9" w:rsidRPr="001A5452" w14:paraId="2078FCDC" w14:textId="77777777" w:rsidTr="001B3FB7">
        <w:tc>
          <w:tcPr>
            <w:tcW w:w="1276" w:type="dxa"/>
            <w:tcBorders>
              <w:top w:val="nil"/>
              <w:left w:val="nil"/>
              <w:bottom w:val="nil"/>
              <w:right w:val="nil"/>
            </w:tcBorders>
          </w:tcPr>
          <w:p w14:paraId="32B49E87"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0.5 wt.%</w:t>
            </w:r>
          </w:p>
        </w:tc>
        <w:tc>
          <w:tcPr>
            <w:tcW w:w="1276" w:type="dxa"/>
            <w:tcBorders>
              <w:top w:val="nil"/>
              <w:left w:val="nil"/>
              <w:bottom w:val="nil"/>
              <w:right w:val="nil"/>
            </w:tcBorders>
          </w:tcPr>
          <w:p w14:paraId="56326C7F"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0.34±0.02</w:t>
            </w:r>
          </w:p>
        </w:tc>
        <w:tc>
          <w:tcPr>
            <w:tcW w:w="1417" w:type="dxa"/>
            <w:tcBorders>
              <w:top w:val="nil"/>
              <w:left w:val="nil"/>
              <w:bottom w:val="nil"/>
              <w:right w:val="nil"/>
            </w:tcBorders>
          </w:tcPr>
          <w:p w14:paraId="6779261A"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79.9±4.3</w:t>
            </w:r>
          </w:p>
        </w:tc>
        <w:tc>
          <w:tcPr>
            <w:tcW w:w="1418" w:type="dxa"/>
            <w:tcBorders>
              <w:top w:val="nil"/>
              <w:left w:val="nil"/>
              <w:bottom w:val="nil"/>
              <w:right w:val="nil"/>
            </w:tcBorders>
          </w:tcPr>
          <w:p w14:paraId="2DB7B36D"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48.8±0.6</w:t>
            </w:r>
          </w:p>
        </w:tc>
        <w:tc>
          <w:tcPr>
            <w:tcW w:w="1417" w:type="dxa"/>
            <w:tcBorders>
              <w:top w:val="nil"/>
              <w:left w:val="nil"/>
              <w:bottom w:val="nil"/>
              <w:right w:val="nil"/>
            </w:tcBorders>
          </w:tcPr>
          <w:p w14:paraId="7B6B195C"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14.7±0.3</w:t>
            </w:r>
          </w:p>
        </w:tc>
        <w:tc>
          <w:tcPr>
            <w:tcW w:w="1276" w:type="dxa"/>
            <w:tcBorders>
              <w:top w:val="nil"/>
              <w:left w:val="nil"/>
              <w:bottom w:val="nil"/>
              <w:right w:val="nil"/>
            </w:tcBorders>
          </w:tcPr>
          <w:p w14:paraId="56B8EA89" w14:textId="77777777" w:rsidR="001640F9" w:rsidRPr="001A5452" w:rsidRDefault="001640F9" w:rsidP="001B3FB7">
            <w:pPr>
              <w:spacing w:line="360" w:lineRule="auto"/>
              <w:jc w:val="center"/>
              <w:rPr>
                <w:rFonts w:ascii="Times New Roman" w:hAnsi="Times New Roman" w:cs="Times New Roman"/>
                <w:sz w:val="24"/>
                <w:szCs w:val="24"/>
              </w:rPr>
            </w:pPr>
            <w:r>
              <w:rPr>
                <w:rFonts w:ascii="Times New Roman" w:hAnsi="Times New Roman" w:cs="Times New Roman"/>
                <w:sz w:val="24"/>
                <w:szCs w:val="24"/>
              </w:rPr>
              <w:t>14.8</w:t>
            </w:r>
            <w:r>
              <w:rPr>
                <w:rFonts w:ascii="Times New Roman" w:hAnsi="Times New Roman" w:cs="Times New Roman"/>
              </w:rPr>
              <w:t>±0.4</w:t>
            </w:r>
          </w:p>
        </w:tc>
        <w:tc>
          <w:tcPr>
            <w:tcW w:w="1275" w:type="dxa"/>
            <w:tcBorders>
              <w:top w:val="nil"/>
              <w:left w:val="nil"/>
              <w:bottom w:val="nil"/>
              <w:right w:val="nil"/>
            </w:tcBorders>
          </w:tcPr>
          <w:p w14:paraId="0F0A7D63" w14:textId="77777777" w:rsidR="001640F9" w:rsidRPr="001A5452" w:rsidRDefault="001640F9" w:rsidP="001B3FB7">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5.12</w:t>
            </w:r>
            <w:r w:rsidRPr="001A5452">
              <w:rPr>
                <w:rFonts w:ascii="Times New Roman" w:hAnsi="Times New Roman" w:cs="Times New Roman"/>
              </w:rPr>
              <w:t>±0.19</w:t>
            </w:r>
          </w:p>
        </w:tc>
      </w:tr>
      <w:tr w:rsidR="001640F9" w:rsidRPr="001A5452" w14:paraId="19645B77" w14:textId="77777777" w:rsidTr="001B3FB7">
        <w:tc>
          <w:tcPr>
            <w:tcW w:w="1276" w:type="dxa"/>
            <w:tcBorders>
              <w:top w:val="nil"/>
              <w:left w:val="nil"/>
              <w:right w:val="nil"/>
            </w:tcBorders>
          </w:tcPr>
          <w:p w14:paraId="5C8938BF"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1.0 wt.%</w:t>
            </w:r>
          </w:p>
        </w:tc>
        <w:tc>
          <w:tcPr>
            <w:tcW w:w="1276" w:type="dxa"/>
            <w:tcBorders>
              <w:top w:val="nil"/>
              <w:left w:val="nil"/>
              <w:right w:val="nil"/>
            </w:tcBorders>
          </w:tcPr>
          <w:p w14:paraId="1752D367" w14:textId="77777777" w:rsidR="001640F9" w:rsidRPr="001A5452" w:rsidRDefault="001640F9" w:rsidP="001B3FB7">
            <w:pPr>
              <w:spacing w:line="360" w:lineRule="auto"/>
              <w:jc w:val="center"/>
              <w:rPr>
                <w:rFonts w:ascii="Times New Roman" w:hAnsi="Times New Roman" w:cs="Times New Roman"/>
              </w:rPr>
            </w:pPr>
            <w:r w:rsidRPr="001A5452">
              <w:rPr>
                <w:rFonts w:ascii="Times New Roman" w:hAnsi="Times New Roman" w:cs="Times New Roman"/>
              </w:rPr>
              <w:t>0.94±0.03</w:t>
            </w:r>
          </w:p>
        </w:tc>
        <w:tc>
          <w:tcPr>
            <w:tcW w:w="1417" w:type="dxa"/>
            <w:tcBorders>
              <w:top w:val="nil"/>
              <w:left w:val="nil"/>
              <w:right w:val="nil"/>
            </w:tcBorders>
          </w:tcPr>
          <w:p w14:paraId="5F84CBFD"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70.2±1.4</w:t>
            </w:r>
          </w:p>
        </w:tc>
        <w:tc>
          <w:tcPr>
            <w:tcW w:w="1418" w:type="dxa"/>
            <w:tcBorders>
              <w:top w:val="nil"/>
              <w:left w:val="nil"/>
              <w:right w:val="nil"/>
            </w:tcBorders>
          </w:tcPr>
          <w:p w14:paraId="0492A43F"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45.1±1.3</w:t>
            </w:r>
          </w:p>
        </w:tc>
        <w:tc>
          <w:tcPr>
            <w:tcW w:w="1417" w:type="dxa"/>
            <w:tcBorders>
              <w:top w:val="nil"/>
              <w:left w:val="nil"/>
              <w:right w:val="nil"/>
            </w:tcBorders>
          </w:tcPr>
          <w:p w14:paraId="08B3B79E" w14:textId="77777777" w:rsidR="001640F9" w:rsidRPr="001A5452" w:rsidRDefault="001640F9" w:rsidP="001B3FB7">
            <w:pPr>
              <w:spacing w:line="360" w:lineRule="auto"/>
              <w:jc w:val="center"/>
              <w:rPr>
                <w:rFonts w:ascii="Times New Roman" w:hAnsi="Times New Roman" w:cs="Times New Roman"/>
              </w:rPr>
            </w:pPr>
            <w:r>
              <w:rPr>
                <w:rFonts w:ascii="Times New Roman" w:hAnsi="Times New Roman" w:cs="Times New Roman"/>
              </w:rPr>
              <w:t>21.3±1.1</w:t>
            </w:r>
          </w:p>
        </w:tc>
        <w:tc>
          <w:tcPr>
            <w:tcW w:w="1276" w:type="dxa"/>
            <w:tcBorders>
              <w:top w:val="nil"/>
              <w:left w:val="nil"/>
              <w:right w:val="nil"/>
            </w:tcBorders>
          </w:tcPr>
          <w:p w14:paraId="7197DABF" w14:textId="77777777" w:rsidR="001640F9" w:rsidRPr="001A5452" w:rsidRDefault="001640F9" w:rsidP="001B3FB7">
            <w:pPr>
              <w:spacing w:line="360" w:lineRule="auto"/>
              <w:jc w:val="center"/>
              <w:rPr>
                <w:rFonts w:ascii="Times New Roman" w:hAnsi="Times New Roman" w:cs="Times New Roman"/>
                <w:sz w:val="24"/>
                <w:szCs w:val="24"/>
              </w:rPr>
            </w:pPr>
            <w:r>
              <w:rPr>
                <w:rFonts w:ascii="Times New Roman" w:hAnsi="Times New Roman" w:cs="Times New Roman"/>
                <w:sz w:val="24"/>
                <w:szCs w:val="24"/>
              </w:rPr>
              <w:t>53.9</w:t>
            </w:r>
            <w:r>
              <w:rPr>
                <w:rFonts w:ascii="Times New Roman" w:hAnsi="Times New Roman" w:cs="Times New Roman"/>
              </w:rPr>
              <w:t>±0.2</w:t>
            </w:r>
          </w:p>
        </w:tc>
        <w:tc>
          <w:tcPr>
            <w:tcW w:w="1275" w:type="dxa"/>
            <w:tcBorders>
              <w:top w:val="nil"/>
              <w:left w:val="nil"/>
              <w:right w:val="nil"/>
            </w:tcBorders>
          </w:tcPr>
          <w:p w14:paraId="69AFD3FC" w14:textId="77777777" w:rsidR="001640F9" w:rsidRPr="001A5452" w:rsidRDefault="001640F9" w:rsidP="001B3FB7">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8.19</w:t>
            </w:r>
            <w:r w:rsidRPr="001A5452">
              <w:rPr>
                <w:rFonts w:ascii="Times New Roman" w:hAnsi="Times New Roman" w:cs="Times New Roman"/>
              </w:rPr>
              <w:t>±0.13</w:t>
            </w:r>
          </w:p>
        </w:tc>
      </w:tr>
    </w:tbl>
    <w:p w14:paraId="3A15B3CE" w14:textId="77777777" w:rsidR="001640F9" w:rsidRDefault="001640F9" w:rsidP="001640F9">
      <w:pPr>
        <w:spacing w:after="0"/>
        <w:rPr>
          <w:rFonts w:ascii="Times New Roman" w:hAnsi="Times New Roman" w:cs="Times New Roman"/>
          <w:sz w:val="24"/>
          <w:szCs w:val="24"/>
          <w:lang w:val="en-GB"/>
        </w:rPr>
      </w:pPr>
      <w:r w:rsidRPr="001A5452">
        <w:rPr>
          <w:rFonts w:ascii="Times New Roman" w:hAnsi="Times New Roman" w:cs="Times New Roman"/>
          <w:b/>
          <w:sz w:val="24"/>
          <w:szCs w:val="24"/>
          <w:lang w:val="en-GB"/>
        </w:rPr>
        <w:t>*</w:t>
      </w:r>
      <w:r w:rsidRPr="001A5452">
        <w:rPr>
          <w:rFonts w:ascii="Times New Roman" w:hAnsi="Times New Roman" w:cs="Times New Roman"/>
          <w:sz w:val="24"/>
          <w:szCs w:val="24"/>
          <w:lang w:val="en-GB"/>
        </w:rPr>
        <w:t xml:space="preserve">The yield strength </w:t>
      </w:r>
      <w:r>
        <w:rPr>
          <w:rFonts w:ascii="Times New Roman" w:hAnsi="Times New Roman" w:cs="Times New Roman"/>
          <w:sz w:val="24"/>
          <w:szCs w:val="24"/>
          <w:lang w:val="en-GB"/>
        </w:rPr>
        <w:t>is defined as yield strength (at 0.2% offset) here. Measurement: a straight line is drawn from point of 0.2% strain at the same slope as the initial portion of stress-strain curve. The point of the intersection of the new line and stress-strain curve is considered as yield point. The stress and strain at this point are yield strength and yield strain.</w:t>
      </w:r>
    </w:p>
    <w:p w14:paraId="6D9FBBED" w14:textId="77777777" w:rsidR="001640F9" w:rsidRDefault="001640F9" w:rsidP="001640F9">
      <w:pPr>
        <w:spacing w:after="0"/>
        <w:rPr>
          <w:rFonts w:ascii="Times New Roman" w:hAnsi="Times New Roman" w:cs="Times New Roman"/>
          <w:sz w:val="24"/>
          <w:szCs w:val="24"/>
          <w:lang w:val="en-GB"/>
        </w:rPr>
      </w:pPr>
    </w:p>
    <w:p w14:paraId="4814479D" w14:textId="77777777" w:rsidR="001640F9" w:rsidRPr="001640F9" w:rsidRDefault="001640F9" w:rsidP="00DA69B8">
      <w:pPr>
        <w:spacing w:after="0" w:line="480" w:lineRule="auto"/>
        <w:ind w:firstLine="284"/>
        <w:jc w:val="both"/>
        <w:rPr>
          <w:rFonts w:ascii="Times New Roman" w:hAnsi="Times New Roman" w:cs="Times New Roman"/>
          <w:sz w:val="24"/>
          <w:szCs w:val="24"/>
          <w:lang w:val="en-GB"/>
        </w:rPr>
      </w:pPr>
    </w:p>
    <w:p w14:paraId="10FE6FC2" w14:textId="77777777" w:rsidR="007E4AF6" w:rsidRPr="001A5452" w:rsidRDefault="007E4AF6" w:rsidP="007E4AF6">
      <w:pPr>
        <w:spacing w:after="0" w:line="480" w:lineRule="auto"/>
        <w:jc w:val="both"/>
        <w:rPr>
          <w:rFonts w:ascii="Times New Roman" w:hAnsi="Times New Roman" w:cs="Times New Roman"/>
          <w:sz w:val="24"/>
          <w:szCs w:val="24"/>
        </w:rPr>
      </w:pPr>
    </w:p>
    <w:p w14:paraId="0C120DCB" w14:textId="77777777" w:rsidR="007E4AF6" w:rsidRPr="001A5452" w:rsidRDefault="007E4AF6" w:rsidP="007E4AF6">
      <w:pPr>
        <w:spacing w:after="0" w:line="480" w:lineRule="auto"/>
        <w:jc w:val="both"/>
        <w:rPr>
          <w:rFonts w:ascii="Times New Roman" w:hAnsi="Times New Roman" w:cs="Times New Roman"/>
          <w:sz w:val="24"/>
          <w:szCs w:val="24"/>
        </w:rPr>
      </w:pPr>
    </w:p>
    <w:p w14:paraId="2BA7CD95" w14:textId="77777777" w:rsidR="007E4AF6" w:rsidRPr="001A5452" w:rsidRDefault="007E4AF6" w:rsidP="007E4AF6">
      <w:pPr>
        <w:spacing w:after="0" w:line="480" w:lineRule="auto"/>
        <w:jc w:val="both"/>
        <w:rPr>
          <w:rFonts w:ascii="Times New Roman" w:hAnsi="Times New Roman" w:cs="Times New Roman"/>
          <w:sz w:val="24"/>
          <w:szCs w:val="24"/>
        </w:rPr>
      </w:pPr>
    </w:p>
    <w:p w14:paraId="5F86A6BE" w14:textId="6EE670BC" w:rsidR="007E4AF6" w:rsidRPr="001A5452" w:rsidRDefault="000C314C" w:rsidP="000C314C">
      <w:pPr>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7E543676" wp14:editId="0E45704B">
            <wp:extent cx="5029200" cy="694826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2380" cy="6952657"/>
                    </a:xfrm>
                    <a:prstGeom prst="rect">
                      <a:avLst/>
                    </a:prstGeom>
                    <a:noFill/>
                  </pic:spPr>
                </pic:pic>
              </a:graphicData>
            </a:graphic>
          </wp:inline>
        </w:drawing>
      </w:r>
    </w:p>
    <w:p w14:paraId="4AFFDFE1" w14:textId="24E2727B" w:rsidR="007E4AF6" w:rsidRPr="001A5452" w:rsidRDefault="007E4AF6" w:rsidP="007E4AF6">
      <w:pPr>
        <w:spacing w:after="0" w:line="240" w:lineRule="auto"/>
        <w:rPr>
          <w:rFonts w:ascii="Times New Roman" w:hAnsi="Times New Roman" w:cs="Times New Roman"/>
          <w:b/>
          <w:sz w:val="24"/>
          <w:szCs w:val="24"/>
        </w:rPr>
      </w:pPr>
    </w:p>
    <w:p w14:paraId="553C9600" w14:textId="298D7BB6" w:rsidR="007E4AF6" w:rsidRDefault="001640F9" w:rsidP="00EC3BE6">
      <w:pPr>
        <w:pStyle w:val="Caption"/>
        <w:ind w:firstLine="0"/>
        <w:rPr>
          <w:rFonts w:cs="Times New Roman"/>
          <w:szCs w:val="24"/>
        </w:rPr>
      </w:pPr>
      <w:bookmarkStart w:id="147" w:name="_Toc502662474"/>
      <w:r>
        <w:t>Figure 4</w:t>
      </w:r>
      <w:r w:rsidR="00B873FD">
        <w:t>.</w:t>
      </w:r>
      <w:r w:rsidR="00EC3BE6">
        <w:fldChar w:fldCharType="begin"/>
      </w:r>
      <w:r w:rsidR="00EC3BE6">
        <w:instrText xml:space="preserve"> SEQ Figure_4. \* ARABIC </w:instrText>
      </w:r>
      <w:r w:rsidR="00EC3BE6">
        <w:fldChar w:fldCharType="separate"/>
      </w:r>
      <w:r w:rsidR="00551ED9">
        <w:rPr>
          <w:noProof/>
        </w:rPr>
        <w:t>8</w:t>
      </w:r>
      <w:r w:rsidR="00EC3BE6">
        <w:fldChar w:fldCharType="end"/>
      </w:r>
      <w:r w:rsidR="007E4AF6" w:rsidRPr="001A5452">
        <w:rPr>
          <w:rFonts w:cs="Times New Roman"/>
          <w:b w:val="0"/>
          <w:szCs w:val="24"/>
        </w:rPr>
        <w:t xml:space="preserve">. </w:t>
      </w:r>
      <w:r w:rsidR="007E4AF6" w:rsidRPr="001A5452">
        <w:rPr>
          <w:rFonts w:cs="Times New Roman"/>
          <w:szCs w:val="24"/>
        </w:rPr>
        <w:t>Compressive properties of UPR and UPR/rGO composites: (a) stress-strain curves,</w:t>
      </w:r>
      <w:r w:rsidR="00DB1C3B">
        <w:rPr>
          <w:rFonts w:cs="Times New Roman"/>
          <w:szCs w:val="24"/>
        </w:rPr>
        <w:t xml:space="preserve"> </w:t>
      </w:r>
      <w:r w:rsidR="007E4AF6" w:rsidRPr="001A5452">
        <w:rPr>
          <w:rFonts w:cs="Times New Roman"/>
          <w:szCs w:val="24"/>
        </w:rPr>
        <w:t>(b) Young’s modulus, (c) compressive strength, (d) compressive strain at break, (e) energ</w:t>
      </w:r>
      <w:r w:rsidR="00DB1C3B">
        <w:rPr>
          <w:rFonts w:cs="Times New Roman"/>
          <w:szCs w:val="24"/>
        </w:rPr>
        <w:t xml:space="preserve">y at break, (e) yield strength </w:t>
      </w:r>
      <w:r w:rsidR="007E4AF6" w:rsidRPr="001A5452">
        <w:rPr>
          <w:rFonts w:cs="Times New Roman"/>
          <w:szCs w:val="24"/>
        </w:rPr>
        <w:t>and (f) yield strain.</w:t>
      </w:r>
      <w:bookmarkEnd w:id="147"/>
    </w:p>
    <w:p w14:paraId="6C6B63DD" w14:textId="6AD8F87F" w:rsidR="007E4AF6" w:rsidRPr="001A5452" w:rsidRDefault="005A797A" w:rsidP="007E4AF6">
      <w:pPr>
        <w:pStyle w:val="Heading2"/>
        <w:spacing w:before="0"/>
        <w:rPr>
          <w:rFonts w:cs="Times New Roman"/>
          <w:i/>
          <w:szCs w:val="24"/>
        </w:rPr>
      </w:pPr>
      <w:bookmarkStart w:id="148" w:name="_Toc518823305"/>
      <w:r>
        <w:rPr>
          <w:rFonts w:cs="Times New Roman"/>
          <w:szCs w:val="24"/>
        </w:rPr>
        <w:t>4</w:t>
      </w:r>
      <w:r w:rsidR="004D0F8E">
        <w:rPr>
          <w:rFonts w:cs="Times New Roman"/>
          <w:szCs w:val="24"/>
        </w:rPr>
        <w:t>.</w:t>
      </w:r>
      <w:r w:rsidR="002E496B">
        <w:rPr>
          <w:rFonts w:cs="Times New Roman"/>
          <w:szCs w:val="24"/>
        </w:rPr>
        <w:t>3.</w:t>
      </w:r>
      <w:r w:rsidR="002E496B">
        <w:rPr>
          <w:rFonts w:cs="Times New Roman" w:hint="eastAsia"/>
          <w:szCs w:val="24"/>
        </w:rPr>
        <w:t>6</w:t>
      </w:r>
      <w:r w:rsidR="007E4AF6" w:rsidRPr="001A5452">
        <w:rPr>
          <w:rFonts w:cs="Times New Roman"/>
          <w:szCs w:val="24"/>
        </w:rPr>
        <w:t>. Dynamic mechanical properties of UPR, and UPR/rGO composites</w:t>
      </w:r>
      <w:bookmarkEnd w:id="148"/>
      <w:r w:rsidR="007E4AF6" w:rsidRPr="001A5452">
        <w:rPr>
          <w:rFonts w:cs="Times New Roman"/>
          <w:szCs w:val="24"/>
        </w:rPr>
        <w:t xml:space="preserve"> </w:t>
      </w:r>
    </w:p>
    <w:p w14:paraId="6EE300F4" w14:textId="017738AD" w:rsidR="007E4AF6" w:rsidRPr="00E3476F" w:rsidRDefault="007E4AF6" w:rsidP="007E4AF6">
      <w:pPr>
        <w:spacing w:after="0" w:line="480" w:lineRule="auto"/>
        <w:jc w:val="both"/>
        <w:rPr>
          <w:rFonts w:ascii="Times New Roman" w:hAnsi="Times New Roman" w:cs="Times New Roman"/>
          <w:sz w:val="24"/>
          <w:szCs w:val="24"/>
        </w:rPr>
      </w:pPr>
      <w:r w:rsidRPr="00545303">
        <w:rPr>
          <w:rFonts w:ascii="Times New Roman" w:hAnsi="Times New Roman" w:cs="Times New Roman"/>
          <w:sz w:val="24"/>
          <w:szCs w:val="24"/>
        </w:rPr>
        <w:t>Storage modulus (</w:t>
      </w:r>
      <w:r w:rsidRPr="00545303">
        <w:rPr>
          <w:rFonts w:ascii="Times New Roman" w:hAnsi="Times New Roman" w:cs="Times New Roman"/>
          <w:i/>
          <w:sz w:val="24"/>
          <w:szCs w:val="24"/>
        </w:rPr>
        <w:t>E'</w:t>
      </w:r>
      <w:r w:rsidRPr="00545303">
        <w:rPr>
          <w:rFonts w:ascii="Times New Roman" w:hAnsi="Times New Roman" w:cs="Times New Roman"/>
          <w:sz w:val="24"/>
          <w:szCs w:val="24"/>
        </w:rPr>
        <w:t>), loss modulus (</w:t>
      </w:r>
      <w:r w:rsidRPr="00545303">
        <w:rPr>
          <w:rFonts w:ascii="Times New Roman" w:hAnsi="Times New Roman" w:cs="Times New Roman"/>
          <w:i/>
          <w:sz w:val="24"/>
          <w:szCs w:val="24"/>
        </w:rPr>
        <w:t>E"</w:t>
      </w:r>
      <w:r w:rsidRPr="00545303">
        <w:rPr>
          <w:rFonts w:ascii="Times New Roman" w:hAnsi="Times New Roman" w:cs="Times New Roman"/>
          <w:sz w:val="24"/>
          <w:szCs w:val="24"/>
        </w:rPr>
        <w:t>), and glass transition of temperature (</w:t>
      </w:r>
      <w:r w:rsidRPr="00545303">
        <w:rPr>
          <w:rFonts w:ascii="Times New Roman" w:hAnsi="Times New Roman" w:cs="Times New Roman"/>
          <w:i/>
          <w:sz w:val="24"/>
          <w:szCs w:val="24"/>
        </w:rPr>
        <w:t>T</w:t>
      </w:r>
      <w:r w:rsidRPr="00545303">
        <w:rPr>
          <w:rFonts w:ascii="Times New Roman" w:hAnsi="Times New Roman" w:cs="Times New Roman"/>
          <w:i/>
          <w:sz w:val="24"/>
          <w:szCs w:val="24"/>
          <w:vertAlign w:val="subscript"/>
        </w:rPr>
        <w:t>g</w:t>
      </w:r>
      <w:r w:rsidRPr="00545303">
        <w:rPr>
          <w:rFonts w:ascii="Times New Roman" w:hAnsi="Times New Roman" w:cs="Times New Roman"/>
          <w:sz w:val="24"/>
          <w:szCs w:val="24"/>
        </w:rPr>
        <w:t>) of UPR were measured by dynamic mechanical analysis (DMA), and the result</w:t>
      </w:r>
      <w:r w:rsidR="0098706E">
        <w:rPr>
          <w:rFonts w:ascii="Times New Roman" w:hAnsi="Times New Roman" w:cs="Times New Roman"/>
          <w:sz w:val="24"/>
          <w:szCs w:val="24"/>
        </w:rPr>
        <w:t xml:space="preserve">s are shown in Figure </w:t>
      </w:r>
      <w:r w:rsidR="007331C7">
        <w:rPr>
          <w:rFonts w:ascii="Times New Roman" w:hAnsi="Times New Roman" w:cs="Times New Roman" w:hint="eastAsia"/>
          <w:sz w:val="24"/>
          <w:szCs w:val="24"/>
        </w:rPr>
        <w:t>4</w:t>
      </w:r>
      <w:r w:rsidR="0098706E">
        <w:rPr>
          <w:rFonts w:ascii="Times New Roman" w:hAnsi="Times New Roman" w:cs="Times New Roman" w:hint="eastAsia"/>
          <w:sz w:val="24"/>
          <w:szCs w:val="24"/>
        </w:rPr>
        <w:t>.9</w:t>
      </w:r>
      <w:r w:rsidR="007331C7">
        <w:rPr>
          <w:rFonts w:ascii="Times New Roman" w:hAnsi="Times New Roman" w:cs="Times New Roman"/>
          <w:sz w:val="24"/>
          <w:szCs w:val="24"/>
        </w:rPr>
        <w:t xml:space="preserve"> and summarized in Table 4</w:t>
      </w:r>
      <w:r w:rsidRPr="00545303">
        <w:rPr>
          <w:rFonts w:ascii="Times New Roman" w:hAnsi="Times New Roman" w:cs="Times New Roman"/>
          <w:sz w:val="24"/>
          <w:szCs w:val="24"/>
        </w:rPr>
        <w:t>.</w:t>
      </w:r>
      <w:r w:rsidR="0098706E">
        <w:rPr>
          <w:rFonts w:ascii="Times New Roman" w:hAnsi="Times New Roman" w:cs="Times New Roman" w:hint="eastAsia"/>
          <w:sz w:val="24"/>
          <w:szCs w:val="24"/>
        </w:rPr>
        <w:t>5.</w:t>
      </w:r>
      <w:r w:rsidRPr="00545303">
        <w:rPr>
          <w:rFonts w:ascii="Times New Roman" w:hAnsi="Times New Roman" w:cs="Times New Roman"/>
          <w:sz w:val="24"/>
          <w:szCs w:val="24"/>
        </w:rPr>
        <w:t xml:space="preserve"> The storage modulus, is related to the stiffness of materials, represents the elastic energy received during deformation that is stored into the material and released at the end of the loading </w:t>
      </w:r>
      <w:r w:rsidRPr="00545303">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"ISSN" : "1842-3582", "author" : [ { "dropping-particle" : "", "family" : "Bastiurea", "given" : "M", "non-dropping-particle" : "", "parse-names" : false, "suffix" : "" }, { "dropping-particle" : "", "family" : "Rodeanu", "given" : "M S", "non-dropping-particle" : "", "parse-names" : false, "suffix" : "" }, { "dropping-particle" : "", "family" : "Dima", "given" : "D", "non-dropping-particle" : "", "parse-names" : false, "suffix" : "" }, { "dropping-particle" : "", "family" : "Murarescu", "given" : "M", "non-dropping-particle" : "", "parse-names" : false, "suffix" : "" }, { "dropping-particle" : "", "family" : "Andrei", "given" : "G", "non-dropping-particle" : "", "parse-names" : false, "suffix" : "" } ], "container-title" : "Digest Journal of Nanomaterials and Biostructures", "id" : "ITEM-1", "issue" : "2", "issued" : { "date-parts" : [ [ "2015" ] ] }, "page" : "521-533", "title" : "Thermal and Mechanical Properties of Polyester Composites With Graphene Oxide and Graphite", "type" : "article-journal", "volume" : "10" }, "uris" : [ "http://www.mendeley.com/documents/?uuid=43eb4a0c-459f-4343-8f75-bf863d395a16" ] } ], "mendeley" : { "formattedCitation" : "[168]", "plainTextFormattedCitation" : "[168]", "previouslyFormattedCitation" : "[168]" }, "properties" : {  }, "schema" : "https://github.com/citation-style-language/schema/raw/master/csl-citation.json" }</w:instrText>
      </w:r>
      <w:r w:rsidRPr="00545303">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[168]</w:t>
      </w:r>
      <w:r w:rsidRPr="00545303">
        <w:rPr>
          <w:rFonts w:ascii="Times New Roman" w:hAnsi="Times New Roman" w:cs="Times New Roman"/>
          <w:sz w:val="24"/>
          <w:szCs w:val="24"/>
        </w:rPr>
        <w:fldChar w:fldCharType="end"/>
      </w:r>
      <w:r w:rsidRPr="00545303">
        <w:rPr>
          <w:rFonts w:ascii="Times New Roman" w:hAnsi="Times New Roman" w:cs="Times New Roman"/>
          <w:sz w:val="24"/>
          <w:szCs w:val="24"/>
        </w:rPr>
        <w:t xml:space="preserve">. It decreases with temperature before glass transition temperature due to the increased molecular mobility caused by heating, as represented in storage modulus against temperature curve </w:t>
      </w:r>
      <w:r w:rsidRPr="00545303">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"10.1016/j.compscitech.2004.10.023", "ISBN" : "0266-3538", "ISSN" : "02663538", "PMID" : "40", "abstract" : "The dynamic and static mechanical properties of randomly oriented intimately mixed short banana/sisal hybrid fibre reinforced polyester composites were determined. Dynamic properties such as the storage modulus (E\u2032), damping behaviour (tan \u03b4) and static mechanical properties such as tensile, flexural and impact properties were investigated as a function of total fibre volume fraction and the relative volume fraction of the two fibres. Keeping the relative volume fraction of banana and sisal (1:1), the volume fraction of the fibre was optimised. The storage modulus was found to increase with fibre volume fraction above glass transition temperature (Tg) of the matrix and maximum value was obtained at a volume fraction (Vf) of 0.40. The tan \u03b4 peak height was minimum and peak width was maximum at 0.40 Vf. Tensile modulus and flexural strength were found to be the highest at 0.40 volume fraction, which indicates effective stress transfer between the fibre and matrix. A positive shift in Tg of polyester matrix at 0.40 Vf also indicates better fibre/matrix interaction. Keeping the total fibre volume fraction, 0.40 Vf, hybrid composites having different volume ratios of the fibres and unhybridised composites were prepared and analysed. Sisal/polyester composite showed maximum damping behaviour and highest impact strength as compared to banana/polyester as well as hybrid composites. However, maximum stress transfer between the fibre and matrix was obtained in composites having volume ratio of banana and sisal as 3:1, which has lowest tan \u03b4 value and highest E\u2032 value at Tg. The tensile strength and flexural modulus were also the maximum and impact strength was the minimum at this volume ratio. Fractographic evaluations carried out under scanning electron microscope (SEM) confirm the quantitative characterisation obtained from static and dynamic mechanical analysis. The Arrhenius relationship has been to calculate the activation energy of the glass transition of the polyester. The highest activation energy was found in hybrid composite with volume ratio of banana and sisal as 3:1. A master curve was constructed based on time-temperature superposition principle. Finally, the experimental results were compared with theoretical predictions. \u00a9 2004 Elsevier Ltd. All rights reserved.", "author" : [ { "dropping-particle" : "", "family" : "Idicula", "given" : "Maries", "non-dropping-particle" : "", "parse-names" : false, "suffix" : "" }, { "dropping-particle" : "", "family" : "Malhotra", "given" : "S. K.", "non-dropping-particle" : "", "parse-names" : false, "suffix" : "" }, { "dropping-particle" : "", "family" : "Joseph", "given" : "Kuruvilla", "non-dropping-particle" : "", "parse-names" : false, "suffix" : "" }, { "dropping-particle" : "", "family" : "Thomas", "given" : "Sabu", "non-dropping-particle" : "", "parse-names" : false, "suffix" : "" } ], "container-title" : "Composites Science and Technology", "id" : "ITEM-1", "issued" : { "date-parts" : [ [ "2005" ] ] }, "page" : "1077-1087", "title" : "Dynamic mechanical analysis of randomly oriented intimately mixed short banana/sisal hybrid fibre reinforced polyester composites", "type" : "article-journal", "volume" : "65" }, "uris" : [ "http://www.mendeley.com/documents/?uuid=2190dec4-e470-4a09-ac52-5af64f97b592" ] }, { "id" : "ITEM-2", "itemData" : { "ISSN" : "1842-3582", "author" : [ { "dropping-particle" : "", "family" : "Bastiurea", "given" : "M", "non-dropping-particle" : "", "parse-names" : false, "suffix" : "" }, { "dropping-particle" : "", "family" : "Rodeanu", "given" : "M S", "non-dropping-particle" : "", "parse-names" : false, "suffix" : "" }, { "dropping-particle" : "", "family" : "Dima", "given" : "D", "non-dropping-particle" : "", "parse-names" : false, "suffix" : "" }, { "dropping-particle" : "", "family" : "Murarescu", "given" : "M", "non-dropping-particle" : "", "parse-names" : false, "suffix" : "" }, { "dropping-particle" : "", "family" : "Andrei", "given" : "G", "non-dropping-particle" : "", "parse-names" : false, "suffix" : "" } ], "container-title" : "Digest Journal of Nanomaterials and Biostructures", "id" : "ITEM-2", "issue" : "2", "issued" : { "date-parts" : [ [ "2015" ] ] }, "page" : "521-533", "title" : "Thermal and Mechanical Properties of Polyester Composites With Graphene Oxide and Graphite", "type" : "article-journal", "volume" : "10" }, "uris" : [ "http://www.mendeley.com/documents/?uuid=43eb4a0c-459f-4343-8f75-bf863d395a16" ] } ], "mendeley" : { "formattedCitation" : "[168,169]", "plainTextFormattedCitation" : "[168,169]", "previouslyFormattedCitation" : "[168,169]" }, "properties" : {  }, "schema" : "https://github.com/citation-style-language/schema/raw/master/csl-citation.json" }</w:instrText>
      </w:r>
      <w:r w:rsidRPr="00545303">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[168,169]</w:t>
      </w:r>
      <w:r w:rsidRPr="00545303">
        <w:rPr>
          <w:rFonts w:ascii="Times New Roman" w:hAnsi="Times New Roman" w:cs="Times New Roman"/>
          <w:sz w:val="24"/>
          <w:szCs w:val="24"/>
        </w:rPr>
        <w:fldChar w:fldCharType="end"/>
      </w:r>
      <w:r w:rsidR="0098706E">
        <w:rPr>
          <w:rFonts w:ascii="Times New Roman" w:hAnsi="Times New Roman" w:cs="Times New Roman"/>
          <w:sz w:val="24"/>
          <w:szCs w:val="24"/>
        </w:rPr>
        <w:t xml:space="preserve">. According to Figure </w:t>
      </w:r>
      <w:r w:rsidR="0098706E">
        <w:rPr>
          <w:rFonts w:ascii="Times New Roman" w:hAnsi="Times New Roman" w:cs="Times New Roman" w:hint="eastAsia"/>
          <w:sz w:val="24"/>
          <w:szCs w:val="24"/>
        </w:rPr>
        <w:t>4.9</w:t>
      </w:r>
      <w:r w:rsidRPr="00545303">
        <w:rPr>
          <w:rFonts w:ascii="Times New Roman" w:hAnsi="Times New Roman" w:cs="Times New Roman"/>
          <w:sz w:val="24"/>
          <w:szCs w:val="24"/>
        </w:rPr>
        <w:t xml:space="preserve">(a), the storage modulus in glassy state (below glass transition temperature </w:t>
      </w:r>
      <w:r w:rsidRPr="00545303">
        <w:rPr>
          <w:rFonts w:ascii="Times New Roman" w:hAnsi="Times New Roman" w:cs="Times New Roman"/>
          <w:i/>
          <w:sz w:val="24"/>
          <w:szCs w:val="24"/>
        </w:rPr>
        <w:t>T</w:t>
      </w:r>
      <w:r w:rsidRPr="00545303">
        <w:rPr>
          <w:rFonts w:ascii="Times New Roman" w:hAnsi="Times New Roman" w:cs="Times New Roman"/>
          <w:i/>
          <w:sz w:val="24"/>
          <w:szCs w:val="24"/>
          <w:vertAlign w:val="subscript"/>
        </w:rPr>
        <w:t>g</w:t>
      </w:r>
      <w:r w:rsidRPr="00545303">
        <w:rPr>
          <w:rFonts w:ascii="Times New Roman" w:hAnsi="Times New Roman" w:cs="Times New Roman"/>
          <w:sz w:val="24"/>
          <w:szCs w:val="24"/>
        </w:rPr>
        <w:t>) decreases with the increasing rGO content, and the lowest value is observed at 0.5 wt.% UPR/rGO. Although there is a slightly increase occurred at 0.05 wt.% UPR/rGO, the overall trend is reduction. 1.0 wt.% shows a significant improvement on storage modulus (87% at -40 °C, 93% at 20 °C, and 98% at 40 °C over UPR). These results are presumably attrib</w:t>
      </w:r>
      <w:r w:rsidR="00C666E2">
        <w:rPr>
          <w:rFonts w:ascii="Times New Roman" w:hAnsi="Times New Roman" w:cs="Times New Roman"/>
          <w:sz w:val="24"/>
          <w:szCs w:val="24"/>
        </w:rPr>
        <w:t>uted to three factors. 1). S</w:t>
      </w:r>
      <w:r w:rsidRPr="00545303">
        <w:rPr>
          <w:rFonts w:ascii="Times New Roman" w:hAnsi="Times New Roman" w:cs="Times New Roman"/>
          <w:sz w:val="24"/>
          <w:szCs w:val="24"/>
        </w:rPr>
        <w:t>torage modulus is depended on the crosslinking density that is</w:t>
      </w:r>
      <w:r w:rsidRPr="004C172B">
        <w:rPr>
          <w:rFonts w:ascii="Times New Roman" w:hAnsi="Times New Roman" w:cs="Times New Roman"/>
          <w:sz w:val="24"/>
          <w:szCs w:val="24"/>
        </w:rPr>
        <w:t xml:space="preserve"> </w:t>
      </w:r>
      <w:r w:rsidRPr="00545303">
        <w:rPr>
          <w:rFonts w:ascii="Times New Roman" w:hAnsi="Times New Roman" w:cs="Times New Roman"/>
          <w:sz w:val="24"/>
          <w:szCs w:val="24"/>
        </w:rPr>
        <w:t>affected by the addition of rGO. 2). The addition of stiff rGO particles restricts the movement of polymer chains. 3). The high modulus of reinforcement (rGO) contributes the modulus of UPR/rGO composites</w:t>
      </w:r>
      <w:r w:rsidR="0029756E">
        <w:rPr>
          <w:rFonts w:ascii="Times New Roman" w:hAnsi="Times New Roman" w:cs="Times New Roman"/>
          <w:sz w:val="24"/>
          <w:szCs w:val="24"/>
        </w:rPr>
        <w:t xml:space="preserve">. </w:t>
      </w:r>
      <w:r w:rsidRPr="00E3476F">
        <w:rPr>
          <w:rFonts w:ascii="Times New Roman" w:hAnsi="Times New Roman" w:cs="Times New Roman"/>
          <w:sz w:val="24"/>
          <w:szCs w:val="24"/>
        </w:rPr>
        <w:t xml:space="preserve">As discussed previously, crosslinking density decreases gradually due to the reduced amount of </w:t>
      </w:r>
      <w:r w:rsidR="0029756E">
        <w:rPr>
          <w:rFonts w:ascii="Times New Roman" w:hAnsi="Times New Roman" w:cs="Times New Roman"/>
          <w:sz w:val="24"/>
          <w:szCs w:val="24"/>
        </w:rPr>
        <w:t>styrene monomers</w:t>
      </w:r>
      <w:r w:rsidRPr="00E3476F">
        <w:rPr>
          <w:rFonts w:ascii="Times New Roman" w:hAnsi="Times New Roman" w:cs="Times New Roman"/>
          <w:sz w:val="24"/>
          <w:szCs w:val="24"/>
        </w:rPr>
        <w:t xml:space="preserve"> </w:t>
      </w:r>
      <w:r w:rsidR="0029756E">
        <w:rPr>
          <w:rFonts w:ascii="Times New Roman" w:hAnsi="Times New Roman" w:cs="Times New Roman"/>
          <w:sz w:val="24"/>
          <w:szCs w:val="24"/>
        </w:rPr>
        <w:t xml:space="preserve">absorbed </w:t>
      </w:r>
      <w:r w:rsidR="0029756E" w:rsidRPr="0029756E">
        <w:rPr>
          <w:rFonts w:ascii="Times New Roman" w:hAnsi="Times New Roman" w:cs="Times New Roman"/>
          <w:sz w:val="24"/>
          <w:szCs w:val="24"/>
        </w:rPr>
        <w:t>on</w:t>
      </w:r>
      <w:r w:rsidRPr="00E3476F">
        <w:rPr>
          <w:rFonts w:ascii="Times New Roman" w:hAnsi="Times New Roman" w:cs="Times New Roman"/>
          <w:sz w:val="24"/>
          <w:szCs w:val="24"/>
        </w:rPr>
        <w:t xml:space="preserve"> rGO surface, </w:t>
      </w:r>
      <w:r w:rsidR="0029756E">
        <w:rPr>
          <w:rFonts w:ascii="Times New Roman" w:hAnsi="Times New Roman" w:cs="Times New Roman"/>
          <w:sz w:val="24"/>
          <w:szCs w:val="24"/>
        </w:rPr>
        <w:t>resulting in</w:t>
      </w:r>
      <w:r w:rsidRPr="00E3476F">
        <w:rPr>
          <w:rFonts w:ascii="Times New Roman" w:hAnsi="Times New Roman" w:cs="Times New Roman"/>
          <w:sz w:val="24"/>
          <w:szCs w:val="24"/>
        </w:rPr>
        <w:t xml:space="preserve"> a reduced modulus. However, the movements of polymer chains are restricted by rGO, resulting in an increased modulus. Hence, there is not a clear trend on storage modulus at glassy state, which shows an overall reduction on storage modulus except a slightly increase occurred at 0.05 wt.% (-20 ºC). When the rGO content is 1.0 wt.%, rGO tends to aggregate, leading to a reduced surface area and higher crosslinking density over other UPR/rGO composites. Moreover, the modulus of </w:t>
      </w:r>
      <w:r w:rsidR="00E3476F">
        <w:rPr>
          <w:rFonts w:ascii="Times New Roman" w:hAnsi="Times New Roman" w:cs="Times New Roman"/>
          <w:sz w:val="24"/>
          <w:szCs w:val="24"/>
        </w:rPr>
        <w:t xml:space="preserve">rigid </w:t>
      </w:r>
      <w:r w:rsidRPr="00E3476F">
        <w:rPr>
          <w:rFonts w:ascii="Times New Roman" w:hAnsi="Times New Roman" w:cs="Times New Roman"/>
          <w:sz w:val="24"/>
          <w:szCs w:val="24"/>
        </w:rPr>
        <w:t>rGO also contributes on storage modulus of UPR composites</w:t>
      </w:r>
      <w:r w:rsidR="00E3476F">
        <w:rPr>
          <w:rFonts w:ascii="Times New Roman" w:hAnsi="Times New Roman" w:cs="Times New Roman"/>
          <w:sz w:val="24"/>
          <w:szCs w:val="24"/>
        </w:rPr>
        <w:t xml:space="preserve"> at high rGO content</w:t>
      </w:r>
      <w:r w:rsidRPr="00E3476F">
        <w:rPr>
          <w:rFonts w:ascii="Times New Roman" w:hAnsi="Times New Roman" w:cs="Times New Roman"/>
          <w:sz w:val="24"/>
          <w:szCs w:val="24"/>
        </w:rPr>
        <w:t>. Hence, 1.0 wt.% UPR/rGO exhibits much higher storage modulus over UPR and other UPR/rGO composites at glassy state.</w:t>
      </w:r>
    </w:p>
    <w:p w14:paraId="15A89198" w14:textId="10B55ECD" w:rsidR="007E4AF6" w:rsidRPr="00F16DBB" w:rsidRDefault="007E4AF6" w:rsidP="00211DEA">
      <w:pPr>
        <w:spacing w:after="0" w:line="480" w:lineRule="auto"/>
        <w:ind w:firstLine="360"/>
        <w:jc w:val="both"/>
        <w:rPr>
          <w:rFonts w:ascii="Times New Roman" w:hAnsi="Times New Roman" w:cs="Times New Roman"/>
          <w:sz w:val="24"/>
          <w:szCs w:val="24"/>
        </w:rPr>
      </w:pPr>
      <w:r w:rsidRPr="00E3476F">
        <w:rPr>
          <w:rFonts w:ascii="Times New Roman" w:hAnsi="Times New Roman" w:cs="Times New Roman"/>
          <w:sz w:val="24"/>
          <w:szCs w:val="24"/>
        </w:rPr>
        <w:t>The glass transition temperature (</w:t>
      </w:r>
      <w:r w:rsidRPr="00E3476F">
        <w:rPr>
          <w:rFonts w:ascii="Times New Roman" w:hAnsi="Times New Roman" w:cs="Times New Roman"/>
          <w:i/>
          <w:sz w:val="24"/>
          <w:szCs w:val="24"/>
        </w:rPr>
        <w:t>T</w:t>
      </w:r>
      <w:r w:rsidRPr="00E3476F">
        <w:rPr>
          <w:rFonts w:ascii="Times New Roman" w:hAnsi="Times New Roman" w:cs="Times New Roman"/>
          <w:i/>
          <w:sz w:val="24"/>
          <w:szCs w:val="24"/>
          <w:vertAlign w:val="subscript"/>
        </w:rPr>
        <w:t>g</w:t>
      </w:r>
      <w:r w:rsidRPr="00E3476F">
        <w:rPr>
          <w:rFonts w:ascii="Times New Roman" w:hAnsi="Times New Roman" w:cs="Times New Roman"/>
          <w:sz w:val="24"/>
          <w:szCs w:val="24"/>
        </w:rPr>
        <w:t>)</w:t>
      </w:r>
      <w:r w:rsidRPr="00E3476F">
        <w:rPr>
          <w:rFonts w:ascii="Times New Roman" w:hAnsi="Times New Roman" w:cs="Times New Roman"/>
          <w:i/>
          <w:sz w:val="24"/>
          <w:szCs w:val="24"/>
        </w:rPr>
        <w:t xml:space="preserve"> </w:t>
      </w:r>
      <w:r w:rsidRPr="00E3476F">
        <w:rPr>
          <w:rFonts w:ascii="Times New Roman" w:hAnsi="Times New Roman" w:cs="Times New Roman"/>
          <w:sz w:val="24"/>
          <w:szCs w:val="24"/>
        </w:rPr>
        <w:t xml:space="preserve">is defined as the peaks of both loss modulus and damping factor against temperature curves. Normally, damping factor against temperature is a most common way to determine </w:t>
      </w:r>
      <w:r w:rsidRPr="00E3476F">
        <w:rPr>
          <w:rFonts w:ascii="Times New Roman" w:hAnsi="Times New Roman" w:cs="Times New Roman"/>
          <w:i/>
          <w:sz w:val="24"/>
          <w:szCs w:val="24"/>
        </w:rPr>
        <w:t>T</w:t>
      </w:r>
      <w:r w:rsidRPr="00E3476F">
        <w:rPr>
          <w:rFonts w:ascii="Times New Roman" w:hAnsi="Times New Roman" w:cs="Times New Roman"/>
          <w:i/>
          <w:sz w:val="24"/>
          <w:szCs w:val="24"/>
          <w:vertAlign w:val="subscript"/>
        </w:rPr>
        <w:t>g</w:t>
      </w:r>
      <w:r w:rsidRPr="00E3476F">
        <w:rPr>
          <w:rFonts w:ascii="Times New Roman" w:hAnsi="Times New Roman" w:cs="Times New Roman"/>
          <w:sz w:val="24"/>
          <w:szCs w:val="24"/>
        </w:rPr>
        <w:t xml:space="preserve">. In this work, </w:t>
      </w:r>
      <w:r w:rsidRPr="00E3476F">
        <w:rPr>
          <w:rFonts w:ascii="Times New Roman" w:hAnsi="Times New Roman" w:cs="Times New Roman"/>
          <w:i/>
          <w:sz w:val="24"/>
          <w:szCs w:val="24"/>
        </w:rPr>
        <w:t>T</w:t>
      </w:r>
      <w:r w:rsidRPr="00E3476F">
        <w:rPr>
          <w:rFonts w:ascii="Times New Roman" w:hAnsi="Times New Roman" w:cs="Times New Roman"/>
          <w:i/>
          <w:sz w:val="24"/>
          <w:szCs w:val="24"/>
          <w:vertAlign w:val="subscript"/>
        </w:rPr>
        <w:t>g</w:t>
      </w:r>
      <w:r w:rsidRPr="00E3476F">
        <w:rPr>
          <w:rFonts w:ascii="Times New Roman" w:hAnsi="Times New Roman" w:cs="Times New Roman"/>
          <w:sz w:val="24"/>
          <w:szCs w:val="24"/>
        </w:rPr>
        <w:t xml:space="preserve"> of 1.0 wt.% UPR/rGO is enhanced by 5 ºC over neat UPR. However, </w:t>
      </w:r>
      <w:r w:rsidRPr="00E3476F">
        <w:rPr>
          <w:rFonts w:ascii="Times New Roman" w:hAnsi="Times New Roman" w:cs="Times New Roman"/>
          <w:i/>
          <w:sz w:val="24"/>
          <w:szCs w:val="24"/>
        </w:rPr>
        <w:t>T</w:t>
      </w:r>
      <w:r w:rsidRPr="00E3476F">
        <w:rPr>
          <w:rFonts w:ascii="Times New Roman" w:hAnsi="Times New Roman" w:cs="Times New Roman"/>
          <w:i/>
          <w:sz w:val="24"/>
          <w:szCs w:val="24"/>
          <w:vertAlign w:val="subscript"/>
        </w:rPr>
        <w:t>g</w:t>
      </w:r>
      <w:r w:rsidRPr="00E3476F">
        <w:rPr>
          <w:rFonts w:ascii="Times New Roman" w:hAnsi="Times New Roman" w:cs="Times New Roman"/>
          <w:sz w:val="24"/>
          <w:szCs w:val="24"/>
        </w:rPr>
        <w:t xml:space="preserve"> </w:t>
      </w:r>
      <w:r w:rsidR="00930773">
        <w:rPr>
          <w:rFonts w:ascii="Times New Roman" w:hAnsi="Times New Roman" w:cs="Times New Roman"/>
          <w:sz w:val="24"/>
          <w:szCs w:val="24"/>
        </w:rPr>
        <w:t xml:space="preserve">values </w:t>
      </w:r>
      <w:r w:rsidRPr="00F16DBB">
        <w:rPr>
          <w:rFonts w:ascii="Times New Roman" w:hAnsi="Times New Roman" w:cs="Times New Roman"/>
          <w:sz w:val="24"/>
          <w:szCs w:val="24"/>
        </w:rPr>
        <w:t xml:space="preserve">of composites with lower rGO contents are reduced over neat UPR, which </w:t>
      </w:r>
      <w:r w:rsidR="00930773">
        <w:rPr>
          <w:rFonts w:ascii="Times New Roman" w:hAnsi="Times New Roman" w:cs="Times New Roman"/>
          <w:sz w:val="24"/>
          <w:szCs w:val="24"/>
        </w:rPr>
        <w:t>are</w:t>
      </w:r>
      <w:r w:rsidR="00930773" w:rsidRPr="00F16DBB">
        <w:rPr>
          <w:rFonts w:ascii="Times New Roman" w:hAnsi="Times New Roman" w:cs="Times New Roman"/>
          <w:sz w:val="24"/>
          <w:szCs w:val="24"/>
        </w:rPr>
        <w:t xml:space="preserve"> </w:t>
      </w:r>
      <w:r w:rsidRPr="00F16DBB">
        <w:rPr>
          <w:rFonts w:ascii="Times New Roman" w:hAnsi="Times New Roman" w:cs="Times New Roman"/>
          <w:sz w:val="24"/>
          <w:szCs w:val="24"/>
        </w:rPr>
        <w:t>2</w:t>
      </w:r>
      <w:r w:rsidR="00E3476F">
        <w:rPr>
          <w:rFonts w:ascii="Times New Roman" w:hAnsi="Times New Roman" w:cs="Times New Roman"/>
          <w:sz w:val="24"/>
          <w:szCs w:val="24"/>
        </w:rPr>
        <w:t xml:space="preserve">8 </w:t>
      </w:r>
      <w:r w:rsidR="008A2569">
        <w:rPr>
          <w:rFonts w:ascii="Times New Roman" w:hAnsi="Times New Roman" w:cs="Times New Roman"/>
          <w:sz w:val="24"/>
          <w:szCs w:val="24"/>
        </w:rPr>
        <w:t>°</w:t>
      </w:r>
      <w:r w:rsidR="00E3476F">
        <w:rPr>
          <w:rFonts w:ascii="Times New Roman" w:hAnsi="Times New Roman" w:cs="Times New Roman"/>
          <w:sz w:val="24"/>
          <w:szCs w:val="24"/>
        </w:rPr>
        <w:t>C</w:t>
      </w:r>
      <w:r w:rsidRPr="00F16DBB">
        <w:rPr>
          <w:rFonts w:ascii="Times New Roman" w:hAnsi="Times New Roman" w:cs="Times New Roman"/>
          <w:sz w:val="24"/>
          <w:szCs w:val="24"/>
        </w:rPr>
        <w:t xml:space="preserve"> </w:t>
      </w:r>
      <w:r w:rsidR="00E3476F">
        <w:rPr>
          <w:rFonts w:ascii="Times New Roman" w:hAnsi="Times New Roman" w:cs="Times New Roman"/>
          <w:sz w:val="24"/>
          <w:szCs w:val="24"/>
        </w:rPr>
        <w:t>(</w:t>
      </w:r>
      <w:r w:rsidRPr="00F16DBB">
        <w:rPr>
          <w:rFonts w:ascii="Times New Roman" w:hAnsi="Times New Roman" w:cs="Times New Roman"/>
          <w:sz w:val="24"/>
          <w:szCs w:val="24"/>
        </w:rPr>
        <w:t>0</w:t>
      </w:r>
      <w:r w:rsidR="00E3476F">
        <w:rPr>
          <w:rFonts w:ascii="Times New Roman" w:hAnsi="Times New Roman" w:cs="Times New Roman"/>
          <w:sz w:val="24"/>
          <w:szCs w:val="24"/>
        </w:rPr>
        <w:t xml:space="preserve">.05 wt.%), 31 </w:t>
      </w:r>
      <w:r w:rsidR="008A2569">
        <w:rPr>
          <w:rFonts w:ascii="Times New Roman" w:hAnsi="Times New Roman" w:cs="Times New Roman"/>
          <w:sz w:val="24"/>
          <w:szCs w:val="24"/>
        </w:rPr>
        <w:t>°</w:t>
      </w:r>
      <w:r w:rsidR="00E3476F">
        <w:rPr>
          <w:rFonts w:ascii="Times New Roman" w:hAnsi="Times New Roman" w:cs="Times New Roman"/>
          <w:sz w:val="24"/>
          <w:szCs w:val="24"/>
        </w:rPr>
        <w:t xml:space="preserve">C ( 0.1 </w:t>
      </w:r>
      <w:r w:rsidRPr="00F16DBB">
        <w:rPr>
          <w:rFonts w:ascii="Times New Roman" w:hAnsi="Times New Roman" w:cs="Times New Roman"/>
          <w:sz w:val="24"/>
          <w:szCs w:val="24"/>
        </w:rPr>
        <w:t>wt.%</w:t>
      </w:r>
      <w:r w:rsidR="00E3476F">
        <w:rPr>
          <w:rFonts w:ascii="Times New Roman" w:hAnsi="Times New Roman" w:cs="Times New Roman"/>
          <w:sz w:val="24"/>
          <w:szCs w:val="24"/>
        </w:rPr>
        <w:t xml:space="preserve">), 32 </w:t>
      </w:r>
      <w:r w:rsidR="00CB5406">
        <w:rPr>
          <w:rFonts w:ascii="Times New Roman" w:hAnsi="Times New Roman" w:cs="Times New Roman"/>
          <w:sz w:val="24"/>
          <w:szCs w:val="24"/>
        </w:rPr>
        <w:t>°</w:t>
      </w:r>
      <w:r w:rsidR="00E3476F">
        <w:rPr>
          <w:rFonts w:ascii="Times New Roman" w:hAnsi="Times New Roman" w:cs="Times New Roman"/>
          <w:sz w:val="24"/>
          <w:szCs w:val="24"/>
        </w:rPr>
        <w:t>C (</w:t>
      </w:r>
      <w:r w:rsidRPr="00F16DBB">
        <w:rPr>
          <w:rFonts w:ascii="Times New Roman" w:hAnsi="Times New Roman" w:cs="Times New Roman"/>
          <w:sz w:val="24"/>
          <w:szCs w:val="24"/>
        </w:rPr>
        <w:t>0.3 wt.%</w:t>
      </w:r>
      <w:r w:rsidR="00E3476F">
        <w:rPr>
          <w:rFonts w:ascii="Times New Roman" w:hAnsi="Times New Roman" w:cs="Times New Roman"/>
          <w:sz w:val="24"/>
          <w:szCs w:val="24"/>
        </w:rPr>
        <w:t>)</w:t>
      </w:r>
      <w:r w:rsidRPr="00F16DBB">
        <w:rPr>
          <w:rFonts w:ascii="Times New Roman" w:hAnsi="Times New Roman" w:cs="Times New Roman"/>
          <w:sz w:val="24"/>
          <w:szCs w:val="24"/>
        </w:rPr>
        <w:t>, and 3</w:t>
      </w:r>
      <w:r w:rsidR="00E3476F">
        <w:rPr>
          <w:rFonts w:ascii="Times New Roman" w:hAnsi="Times New Roman" w:cs="Times New Roman"/>
          <w:sz w:val="24"/>
          <w:szCs w:val="24"/>
        </w:rPr>
        <w:t xml:space="preserve">5 </w:t>
      </w:r>
      <w:r w:rsidR="008A2569">
        <w:rPr>
          <w:rFonts w:ascii="Times New Roman" w:hAnsi="Times New Roman" w:cs="Times New Roman"/>
          <w:sz w:val="24"/>
          <w:szCs w:val="24"/>
        </w:rPr>
        <w:t>°</w:t>
      </w:r>
      <w:r w:rsidR="00E3476F">
        <w:rPr>
          <w:rFonts w:ascii="Times New Roman" w:hAnsi="Times New Roman" w:cs="Times New Roman"/>
          <w:sz w:val="24"/>
          <w:szCs w:val="24"/>
        </w:rPr>
        <w:t>C</w:t>
      </w:r>
      <w:r w:rsidRPr="00F16DBB">
        <w:rPr>
          <w:rFonts w:ascii="Times New Roman" w:hAnsi="Times New Roman" w:cs="Times New Roman"/>
          <w:sz w:val="24"/>
          <w:szCs w:val="24"/>
        </w:rPr>
        <w:t xml:space="preserve"> </w:t>
      </w:r>
      <w:r w:rsidR="00E3476F">
        <w:rPr>
          <w:rFonts w:ascii="Times New Roman" w:hAnsi="Times New Roman" w:cs="Times New Roman"/>
          <w:sz w:val="24"/>
          <w:szCs w:val="24"/>
        </w:rPr>
        <w:t>(</w:t>
      </w:r>
      <w:r w:rsidRPr="00F16DBB">
        <w:rPr>
          <w:rFonts w:ascii="Times New Roman" w:hAnsi="Times New Roman" w:cs="Times New Roman"/>
          <w:sz w:val="24"/>
          <w:szCs w:val="24"/>
        </w:rPr>
        <w:t>0.5 wt.%</w:t>
      </w:r>
      <w:r w:rsidR="00E3476F">
        <w:rPr>
          <w:rFonts w:ascii="Times New Roman" w:hAnsi="Times New Roman" w:cs="Times New Roman"/>
          <w:sz w:val="24"/>
          <w:szCs w:val="24"/>
        </w:rPr>
        <w:t>)</w:t>
      </w:r>
      <w:r w:rsidR="008A2569">
        <w:rPr>
          <w:rFonts w:ascii="Times New Roman" w:hAnsi="Times New Roman" w:cs="Times New Roman"/>
          <w:sz w:val="24"/>
          <w:szCs w:val="24"/>
        </w:rPr>
        <w:t xml:space="preserve"> lower than neat UPR</w:t>
      </w:r>
      <w:r w:rsidRPr="00F16DBB">
        <w:rPr>
          <w:rFonts w:ascii="Times New Roman" w:hAnsi="Times New Roman" w:cs="Times New Roman"/>
          <w:sz w:val="24"/>
          <w:szCs w:val="24"/>
        </w:rPr>
        <w:t xml:space="preserve">. The crosslinking density is a key parameter for </w:t>
      </w:r>
      <w:r w:rsidRPr="00F16DBB">
        <w:rPr>
          <w:rFonts w:ascii="Times New Roman" w:hAnsi="Times New Roman" w:cs="Times New Roman"/>
          <w:i/>
          <w:sz w:val="24"/>
          <w:szCs w:val="24"/>
        </w:rPr>
        <w:t>T</w:t>
      </w:r>
      <w:r w:rsidRPr="00F16DBB">
        <w:rPr>
          <w:rFonts w:ascii="Times New Roman" w:hAnsi="Times New Roman" w:cs="Times New Roman"/>
          <w:i/>
          <w:sz w:val="24"/>
          <w:szCs w:val="24"/>
          <w:vertAlign w:val="subscript"/>
        </w:rPr>
        <w:t>g</w:t>
      </w:r>
      <w:r w:rsidRPr="00F16DBB">
        <w:rPr>
          <w:rFonts w:ascii="Times New Roman" w:hAnsi="Times New Roman" w:cs="Times New Roman"/>
          <w:sz w:val="24"/>
          <w:szCs w:val="24"/>
        </w:rPr>
        <w:t>. As discussed previously, the crosslinking density decreases at low rGO content (</w:t>
      </w:r>
      <w:r w:rsidRPr="00F16DBB">
        <w:rPr>
          <w:rFonts w:ascii="Times New Roman" w:hAnsi="Times New Roman" w:cs="Times New Roman" w:hint="eastAsia"/>
          <w:sz w:val="24"/>
          <w:szCs w:val="24"/>
        </w:rPr>
        <w:t>≤</w:t>
      </w:r>
      <w:r w:rsidRPr="00F16DBB">
        <w:rPr>
          <w:rFonts w:ascii="Times New Roman" w:hAnsi="Times New Roman" w:cs="Times New Roman"/>
          <w:sz w:val="24"/>
          <w:szCs w:val="24"/>
        </w:rPr>
        <w:t xml:space="preserve">0.5 wt.%) due to the surface absorption of </w:t>
      </w:r>
      <w:r w:rsidR="00CB5406">
        <w:rPr>
          <w:rFonts w:ascii="Times New Roman" w:hAnsi="Times New Roman" w:cs="Times New Roman"/>
          <w:sz w:val="24"/>
          <w:szCs w:val="24"/>
        </w:rPr>
        <w:t>styrene monomers</w:t>
      </w:r>
      <w:r w:rsidRPr="00F16DBB">
        <w:rPr>
          <w:rFonts w:ascii="Times New Roman" w:hAnsi="Times New Roman" w:cs="Times New Roman"/>
          <w:sz w:val="24"/>
          <w:szCs w:val="24"/>
        </w:rPr>
        <w:t xml:space="preserve"> on rGO sheets, resulting in flexible materials with lower </w:t>
      </w:r>
      <w:r w:rsidRPr="00F16DBB">
        <w:rPr>
          <w:rFonts w:ascii="Times New Roman" w:hAnsi="Times New Roman" w:cs="Times New Roman"/>
          <w:i/>
          <w:sz w:val="24"/>
          <w:szCs w:val="24"/>
        </w:rPr>
        <w:t>T</w:t>
      </w:r>
      <w:r w:rsidRPr="00F16DBB">
        <w:rPr>
          <w:rFonts w:ascii="Times New Roman" w:hAnsi="Times New Roman" w:cs="Times New Roman"/>
          <w:i/>
          <w:sz w:val="24"/>
          <w:szCs w:val="24"/>
          <w:vertAlign w:val="subscript"/>
        </w:rPr>
        <w:t>g</w:t>
      </w:r>
      <w:r w:rsidRPr="00F16DBB">
        <w:rPr>
          <w:rFonts w:ascii="Times New Roman" w:hAnsi="Times New Roman" w:cs="Times New Roman"/>
          <w:sz w:val="24"/>
          <w:szCs w:val="24"/>
        </w:rPr>
        <w:t>. One the contrary, at high concentration (1.0 wt.%), rGO tends to aggreg</w:t>
      </w:r>
      <w:r w:rsidR="00211DEA">
        <w:rPr>
          <w:rFonts w:ascii="Times New Roman" w:hAnsi="Times New Roman" w:cs="Times New Roman"/>
          <w:sz w:val="24"/>
          <w:szCs w:val="24"/>
        </w:rPr>
        <w:t xml:space="preserve">ate, resulting in a higher </w:t>
      </w:r>
      <w:r w:rsidRPr="00F16DBB">
        <w:rPr>
          <w:rFonts w:ascii="Times New Roman" w:hAnsi="Times New Roman" w:cs="Times New Roman"/>
          <w:sz w:val="24"/>
          <w:szCs w:val="24"/>
        </w:rPr>
        <w:t xml:space="preserve">crosslinking density. </w:t>
      </w:r>
      <w:r w:rsidR="00211DEA">
        <w:rPr>
          <w:rFonts w:ascii="Times New Roman" w:hAnsi="Times New Roman" w:cs="Times New Roman"/>
          <w:sz w:val="24"/>
          <w:szCs w:val="24"/>
        </w:rPr>
        <w:t>Moreover, the presence of RGO restricts the mobility of the UPR chains, which is also contribute to the T</w:t>
      </w:r>
      <w:r w:rsidR="00211DEA" w:rsidRPr="00211DEA">
        <w:rPr>
          <w:rFonts w:ascii="Times New Roman" w:hAnsi="Times New Roman" w:cs="Times New Roman"/>
          <w:sz w:val="24"/>
          <w:szCs w:val="24"/>
          <w:vertAlign w:val="subscript"/>
        </w:rPr>
        <w:t>g</w:t>
      </w:r>
      <w:r w:rsidR="00211DEA">
        <w:rPr>
          <w:rFonts w:ascii="Times New Roman" w:hAnsi="Times New Roman" w:cs="Times New Roman"/>
          <w:sz w:val="24"/>
          <w:szCs w:val="24"/>
        </w:rPr>
        <w:t xml:space="preserve">. </w:t>
      </w:r>
      <w:r w:rsidR="00211DEA" w:rsidRPr="00F16DBB">
        <w:rPr>
          <w:rFonts w:ascii="Times New Roman" w:hAnsi="Times New Roman" w:cs="Times New Roman"/>
          <w:sz w:val="24"/>
          <w:szCs w:val="24"/>
        </w:rPr>
        <w:t xml:space="preserve">Hence, 1.0 wt.% composite possesses an improved </w:t>
      </w:r>
      <w:r w:rsidR="00211DEA" w:rsidRPr="00F16DBB">
        <w:rPr>
          <w:rFonts w:ascii="Times New Roman" w:hAnsi="Times New Roman" w:cs="Times New Roman"/>
          <w:i/>
          <w:sz w:val="24"/>
          <w:szCs w:val="24"/>
        </w:rPr>
        <w:t>T</w:t>
      </w:r>
      <w:r w:rsidR="00211DEA" w:rsidRPr="00F16DBB">
        <w:rPr>
          <w:rFonts w:ascii="Times New Roman" w:hAnsi="Times New Roman" w:cs="Times New Roman"/>
          <w:i/>
          <w:sz w:val="24"/>
          <w:szCs w:val="24"/>
          <w:vertAlign w:val="subscript"/>
        </w:rPr>
        <w:t>g</w:t>
      </w:r>
      <w:r w:rsidR="00211DEA" w:rsidRPr="00F16DBB">
        <w:rPr>
          <w:rFonts w:ascii="Times New Roman" w:hAnsi="Times New Roman" w:cs="Times New Roman"/>
          <w:sz w:val="24"/>
          <w:szCs w:val="24"/>
        </w:rPr>
        <w:t>.</w:t>
      </w:r>
    </w:p>
    <w:p w14:paraId="7EE63EEB" w14:textId="598430EC" w:rsidR="007E4AF6" w:rsidRDefault="007E4AF6" w:rsidP="007E4AF6">
      <w:pPr>
        <w:spacing w:after="0" w:line="480" w:lineRule="auto"/>
        <w:ind w:firstLine="360"/>
        <w:jc w:val="both"/>
        <w:rPr>
          <w:rFonts w:ascii="Times New Roman" w:hAnsi="Times New Roman" w:cs="Times New Roman"/>
          <w:sz w:val="24"/>
          <w:szCs w:val="24"/>
        </w:rPr>
      </w:pPr>
      <w:r w:rsidRPr="00F16DBB">
        <w:rPr>
          <w:rFonts w:ascii="Times New Roman" w:hAnsi="Times New Roman" w:cs="Times New Roman"/>
          <w:sz w:val="24"/>
          <w:szCs w:val="24"/>
        </w:rPr>
        <w:t>The loss modulus is indicative to the energy dissipation with temperature under cyclic load. It is the viscous response to an applied force, while storage modulus is an elastic response to an applied force. It increases before and around glass transition region and decreases in rubbery plateau due to the movement friction between polymer segments. The loss (or damping) factor tanδ is the ability of restoring energy for polymers. Similar to loss modulus, it is a measurement of how well a material can dissipate energy under heating. Coefficient C, the difference between the dynamic mechanical moduli at glass</w:t>
      </w:r>
      <w:r w:rsidR="00930773">
        <w:rPr>
          <w:rFonts w:ascii="Times New Roman" w:hAnsi="Times New Roman" w:cs="Times New Roman"/>
          <w:sz w:val="24"/>
          <w:szCs w:val="24"/>
        </w:rPr>
        <w:t>y</w:t>
      </w:r>
      <w:r w:rsidRPr="00F16DBB">
        <w:rPr>
          <w:rFonts w:ascii="Times New Roman" w:hAnsi="Times New Roman" w:cs="Times New Roman"/>
          <w:sz w:val="24"/>
          <w:szCs w:val="24"/>
        </w:rPr>
        <w:t xml:space="preserve"> state and rubbery plateau, is employed here to investigate the effectiveness of nanoparticles on the moduli of the composites </w:t>
      </w:r>
      <w:r w:rsidRPr="00F16DBB">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"ISSN" : "00218995", "abstract" : "Agrowastes and woodflour are a potential and attractive alternative of cheap reinforcement for brittle polymeric materials because they can reduce costs and, at the same time, improve certain properties. On the other hand, their high moisture sorption and low microbial resistance are disadvantages that need to be considered and, as far as possible, corrected. Polyester resins are widely used throughout the world, and can be processed with reinforcing agents very easily. In this work, the effect of the addition of chemically modified woodflour on the final properties of unsaturated polyester composites was studied. The filler was treated with an alkaline solution to increase its interfacial area and then modified with maleic anhydride (MAN) under severe reaction conditions (140\u00b0C, 24 h). No improvement in the mechanical behavior of polyester-woodflour composites was found when particles were only alkali treated, while the composites prepared with MAN-treated woodflour offered better performance under compressive loads. Simple mechanical models used to fit the experimental flexural behavior indicated that a good compatibility between filler and matrix was obtained regardless of the kind (treated or untreated) of reinforcement used. \u00a9 1998 John Wiley &amp; Sons, Inc.", "author" : [ { "dropping-particle" : "", "family" : "Marcovich", "given" : "N.E.", "non-dropping-particle" : "", "parse-names" : false, "suffix" : "" }, { "dropping-particle" : "", "family" : "Reboredo", "given" : "M.M.", "non-dropping-particle" : "", "parse-names" : false, "suffix" : "" }, { "dropping-particle" : "", "family" : "Aranguren", "given" : "M.I.", "non-dropping-particle" : "", "parse-names" : false, "suffix" : "" } ], "container-title" : "Journal of Applied Polymer Science", "id" : "ITEM-1", "issue" : "11", "issued" : { "date-parts" : [ [ "1998" ] ] }, "page" : "2121-2131", "title" : "Mechanical properties of woodflour unsaturated polyester composites", "type" : "article-journal", "volume" : "70" }, "uris" : [ "http://www.mendeley.com/documents/?uuid=c42b5b5b-f44e-4d81-b90f-67be0d560017" ] }, { "id" : "ITEM-2", "itemData" : { "DOI" : "10.1016/S0266-3538(02)00254-3", "ISSN" : "02663538", "author" : [ { "dropping-particle" : "", "family" : "LALY", "given" : "A", "non-dropping-particle" : "", "parse-names" : false, "suffix" : "" }, { "dropping-particle" : "", "family" : "ZACHARIAH", "given" : "O", "non-dropping-particle" : "", "parse-names" : false, "suffix" : "" }, { "dropping-particle" : "", "family" : "THOMAS", "given" : "S", "non-dropping-particle" : "", "parse-names" : false, "suffix" : "" } ], "container-title" : "Composites Science and Technology", "id" : "ITEM-2", "issued" : { "date-parts" : [ [ "2003" ] ] }, "page" : "283-293", "title" : "Dynamic mechanical analysis of banana fiber reinforced polyester composites", "type" : "article-journal", "volume" : "63" }, "uris" : [ "http://www.mendeley.com/documents/?uuid=b5f3c7bd-975b-42a6-8086-965933f2915b" ] } ], "mendeley" : { "formattedCitation" : "[210,211]", "plainTextFormattedCitation" : "[210,211]", "previouslyFormattedCitation" : "[210,211]" }, "properties" : {  }, "schema" : "https://github.com/citation-style-language/schema/raw/master/csl-citation.json" }</w:instrText>
      </w:r>
      <w:r w:rsidRPr="00F16DBB">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[210,211]</w:t>
      </w:r>
      <w:r w:rsidRPr="00F16DBB">
        <w:rPr>
          <w:rFonts w:ascii="Times New Roman" w:hAnsi="Times New Roman" w:cs="Times New Roman"/>
          <w:sz w:val="24"/>
          <w:szCs w:val="24"/>
        </w:rPr>
        <w:fldChar w:fldCharType="end"/>
      </w:r>
      <w:r w:rsidRPr="00F16DBB">
        <w:rPr>
          <w:rFonts w:ascii="Times New Roman" w:hAnsi="Times New Roman" w:cs="Times New Roman"/>
          <w:sz w:val="24"/>
          <w:szCs w:val="24"/>
        </w:rPr>
        <w:t>. It ca</w:t>
      </w:r>
      <w:r w:rsidR="00B527F6">
        <w:rPr>
          <w:rFonts w:ascii="Times New Roman" w:hAnsi="Times New Roman" w:cs="Times New Roman"/>
          <w:sz w:val="24"/>
          <w:szCs w:val="24"/>
        </w:rPr>
        <w:t xml:space="preserve">n </w:t>
      </w:r>
      <w:r w:rsidR="007331C7">
        <w:rPr>
          <w:rFonts w:ascii="Times New Roman" w:hAnsi="Times New Roman" w:cs="Times New Roman"/>
          <w:sz w:val="24"/>
          <w:szCs w:val="24"/>
        </w:rPr>
        <w:t>be obtained by the equation (4.3</w:t>
      </w:r>
      <w:r w:rsidR="00B527F6">
        <w:rPr>
          <w:rFonts w:ascii="Times New Roman" w:hAnsi="Times New Roman" w:cs="Times New Roman"/>
          <w:sz w:val="24"/>
          <w:szCs w:val="24"/>
        </w:rPr>
        <w:t>)</w:t>
      </w:r>
      <w:r w:rsidRPr="00F16DBB">
        <w:rPr>
          <w:rFonts w:ascii="Times New Roman" w:hAnsi="Times New Roman" w:cs="Times New Roman"/>
          <w:sz w:val="24"/>
          <w:szCs w:val="24"/>
        </w:rPr>
        <w:t xml:space="preserve">, where </w:t>
      </w:r>
      <w:r w:rsidRPr="00F16DBB">
        <w:rPr>
          <w:rFonts w:ascii="Times New Roman" w:hAnsi="Times New Roman" w:cs="Times New Roman"/>
          <w:i/>
          <w:sz w:val="24"/>
          <w:szCs w:val="24"/>
        </w:rPr>
        <w:t>E'</w:t>
      </w:r>
      <w:r w:rsidRPr="00F16DBB">
        <w:rPr>
          <w:rFonts w:ascii="Times New Roman" w:hAnsi="Times New Roman" w:cs="Times New Roman"/>
          <w:i/>
          <w:sz w:val="24"/>
          <w:szCs w:val="24"/>
          <w:vertAlign w:val="subscript"/>
        </w:rPr>
        <w:t>g</w:t>
      </w:r>
      <w:r w:rsidRPr="00F16DBB">
        <w:rPr>
          <w:rFonts w:ascii="Times New Roman" w:hAnsi="Times New Roman" w:cs="Times New Roman"/>
          <w:sz w:val="24"/>
          <w:szCs w:val="24"/>
        </w:rPr>
        <w:t xml:space="preserve"> is storage modulus at glass</w:t>
      </w:r>
      <w:r w:rsidR="00930773">
        <w:rPr>
          <w:rFonts w:ascii="Times New Roman" w:hAnsi="Times New Roman" w:cs="Times New Roman"/>
          <w:sz w:val="24"/>
          <w:szCs w:val="24"/>
        </w:rPr>
        <w:t>y</w:t>
      </w:r>
      <w:r w:rsidRPr="00610042">
        <w:rPr>
          <w:rFonts w:ascii="Times New Roman" w:hAnsi="Times New Roman" w:cs="Times New Roman"/>
          <w:sz w:val="24"/>
          <w:szCs w:val="24"/>
        </w:rPr>
        <w:t xml:space="preserve"> state, and </w:t>
      </w:r>
      <w:r w:rsidRPr="00610042">
        <w:rPr>
          <w:rFonts w:ascii="Times New Roman" w:hAnsi="Times New Roman" w:cs="Times New Roman"/>
          <w:i/>
          <w:sz w:val="24"/>
          <w:szCs w:val="24"/>
        </w:rPr>
        <w:t>E'</w:t>
      </w:r>
      <w:r w:rsidRPr="00610042">
        <w:rPr>
          <w:rFonts w:ascii="Times New Roman" w:hAnsi="Times New Roman" w:cs="Times New Roman"/>
          <w:i/>
          <w:sz w:val="24"/>
          <w:szCs w:val="24"/>
          <w:vertAlign w:val="subscript"/>
        </w:rPr>
        <w:t xml:space="preserve">r </w:t>
      </w:r>
      <w:r w:rsidRPr="00610042">
        <w:rPr>
          <w:rFonts w:ascii="Times New Roman" w:hAnsi="Times New Roman" w:cs="Times New Roman"/>
          <w:sz w:val="24"/>
          <w:szCs w:val="24"/>
        </w:rPr>
        <w:t>is storage modulus at rubbery plateau, and the r</w:t>
      </w:r>
      <w:r w:rsidR="0098706E">
        <w:rPr>
          <w:rFonts w:ascii="Times New Roman" w:hAnsi="Times New Roman" w:cs="Times New Roman"/>
          <w:sz w:val="24"/>
          <w:szCs w:val="24"/>
        </w:rPr>
        <w:t xml:space="preserve">esults are summarized in Table </w:t>
      </w:r>
      <w:r w:rsidR="00283E3B">
        <w:rPr>
          <w:rFonts w:ascii="Times New Roman" w:hAnsi="Times New Roman" w:cs="Times New Roman" w:hint="eastAsia"/>
          <w:sz w:val="24"/>
          <w:szCs w:val="24"/>
        </w:rPr>
        <w:t>4</w:t>
      </w:r>
      <w:r w:rsidR="0098706E">
        <w:rPr>
          <w:rFonts w:ascii="Times New Roman" w:hAnsi="Times New Roman" w:cs="Times New Roman" w:hint="eastAsia"/>
          <w:sz w:val="24"/>
          <w:szCs w:val="24"/>
        </w:rPr>
        <w:t>.5</w:t>
      </w:r>
      <w:r w:rsidRPr="00610042">
        <w:rPr>
          <w:rFonts w:ascii="Times New Roman" w:hAnsi="Times New Roman" w:cs="Times New Roman"/>
          <w:sz w:val="24"/>
          <w:szCs w:val="24"/>
        </w:rPr>
        <w:t xml:space="preserve"> (40 </w:t>
      </w:r>
      <w:r w:rsidRPr="00610042">
        <w:rPr>
          <w:rFonts w:ascii="Times New Roman" w:hAnsi="Times New Roman" w:cs="Times New Roman"/>
          <w:sz w:val="24"/>
          <w:szCs w:val="24"/>
          <w:vertAlign w:val="superscript"/>
        </w:rPr>
        <w:t>o</w:t>
      </w:r>
      <w:r w:rsidRPr="00610042">
        <w:rPr>
          <w:rFonts w:ascii="Times New Roman" w:hAnsi="Times New Roman" w:cs="Times New Roman"/>
          <w:sz w:val="24"/>
          <w:szCs w:val="24"/>
        </w:rPr>
        <w:t xml:space="preserve">C and 110 </w:t>
      </w:r>
      <w:r w:rsidRPr="00610042">
        <w:rPr>
          <w:rFonts w:ascii="Times New Roman" w:hAnsi="Times New Roman" w:cs="Times New Roman"/>
          <w:sz w:val="24"/>
          <w:szCs w:val="24"/>
          <w:vertAlign w:val="superscript"/>
        </w:rPr>
        <w:t>o</w:t>
      </w:r>
      <w:r w:rsidRPr="00610042">
        <w:rPr>
          <w:rFonts w:ascii="Times New Roman" w:hAnsi="Times New Roman" w:cs="Times New Roman"/>
          <w:sz w:val="24"/>
          <w:szCs w:val="24"/>
        </w:rPr>
        <w:t xml:space="preserve">C are selected as glassy state, and rubbery state, respectively). 1.0 wt.% UPR/rGO composite displays the lowest coefficient C, indicating that 1.0 wt.% is the optimum concentration for enhancing the storage modulus. </w:t>
      </w:r>
    </w:p>
    <w:p w14:paraId="4AC4B92D" w14:textId="77777777" w:rsidR="00EC3BE6" w:rsidRPr="00610042" w:rsidRDefault="00EC3BE6" w:rsidP="007E4AF6">
      <w:pPr>
        <w:spacing w:after="0" w:line="480" w:lineRule="auto"/>
        <w:ind w:firstLine="360"/>
        <w:jc w:val="both"/>
        <w:rPr>
          <w:rFonts w:ascii="Times New Roman" w:hAnsi="Times New Roman" w:cs="Times New Roman"/>
          <w:sz w:val="24"/>
          <w:szCs w:val="24"/>
        </w:rPr>
      </w:pPr>
    </w:p>
    <w:p w14:paraId="6208C13E" w14:textId="7C530546" w:rsidR="007E4AF6" w:rsidRPr="001A5452" w:rsidRDefault="007E4AF6" w:rsidP="007E4AF6">
      <w:pPr>
        <w:spacing w:after="0" w:line="480" w:lineRule="auto"/>
        <w:jc w:val="center"/>
        <w:rPr>
          <w:rFonts w:ascii="Times New Roman" w:hAnsi="Times New Roman" w:cs="Times New Roman"/>
          <w:b/>
          <w:sz w:val="28"/>
          <w:szCs w:val="28"/>
        </w:rPr>
      </w:pPr>
      <m:oMath>
        <m:r>
          <m:rPr>
            <m:sty m:val="b"/>
          </m:rPr>
          <w:rPr>
            <w:rFonts w:ascii="Cambria Math" w:hAnsi="Cambria Math" w:cs="Times New Roman"/>
            <w:sz w:val="28"/>
            <w:szCs w:val="28"/>
          </w:rPr>
          <m:t xml:space="preserve">C= </m:t>
        </m:r>
        <m:f>
          <m:fPr>
            <m:ctrlPr>
              <w:rPr>
                <w:rFonts w:ascii="Cambria Math" w:hAnsi="Cambria Math" w:cs="Times New Roman"/>
                <w:b/>
                <w:sz w:val="28"/>
                <w:szCs w:val="28"/>
              </w:rPr>
            </m:ctrlPr>
          </m:fPr>
          <m:num>
            <m:sSub>
              <m:sSubPr>
                <m:ctrlPr>
                  <w:rPr>
                    <w:rFonts w:ascii="Cambria Math" w:hAnsi="Cambria Math" w:cs="Times New Roman"/>
                    <w:b/>
                    <w:i/>
                    <w:sz w:val="28"/>
                    <w:szCs w:val="28"/>
                  </w:rPr>
                </m:ctrlPr>
              </m:sSubPr>
              <m:e>
                <m:r>
                  <m:rPr>
                    <m:sty m:val="bi"/>
                  </m:rPr>
                  <w:rPr>
                    <w:rFonts w:ascii="Cambria Math" w:hAnsi="Cambria Math" w:cs="Times New Roman"/>
                    <w:sz w:val="28"/>
                    <w:szCs w:val="28"/>
                  </w:rPr>
                  <m:t>(</m:t>
                </m:r>
                <m:sSup>
                  <m:sSupPr>
                    <m:ctrlPr>
                      <w:rPr>
                        <w:rFonts w:ascii="Cambria Math" w:hAnsi="Cambria Math" w:cs="Times New Roman"/>
                        <w:b/>
                        <w:i/>
                        <w:sz w:val="28"/>
                        <w:szCs w:val="28"/>
                      </w:rPr>
                    </m:ctrlPr>
                  </m:sSupPr>
                  <m:e>
                    <m:r>
                      <m:rPr>
                        <m:sty m:val="bi"/>
                      </m:rPr>
                      <w:rPr>
                        <w:rFonts w:ascii="Cambria Math" w:hAnsi="Cambria Math" w:cs="Times New Roman"/>
                        <w:sz w:val="28"/>
                        <w:szCs w:val="28"/>
                      </w:rPr>
                      <m:t>E</m:t>
                    </m:r>
                  </m:e>
                  <m:sup>
                    <m:r>
                      <m:rPr>
                        <m:sty m:val="bi"/>
                      </m:rPr>
                      <w:rPr>
                        <w:rFonts w:ascii="Cambria Math" w:hAnsi="Cambria Math" w:cs="Times New Roman" w:hint="eastAsia"/>
                        <w:sz w:val="28"/>
                        <w:szCs w:val="28"/>
                      </w:rPr>
                      <m:t>'</m:t>
                    </m:r>
                  </m:sup>
                </m:sSup>
              </m:e>
              <m:sub>
                <m:r>
                  <m:rPr>
                    <m:sty m:val="bi"/>
                  </m:rPr>
                  <w:rPr>
                    <w:rFonts w:ascii="Cambria Math" w:hAnsi="Cambria Math" w:cs="Times New Roman"/>
                    <w:sz w:val="28"/>
                    <w:szCs w:val="28"/>
                  </w:rPr>
                  <m:t xml:space="preserve">g </m:t>
                </m:r>
              </m:sub>
            </m:sSub>
            <m:r>
              <m:rPr>
                <m:sty m:val="bi"/>
              </m:rPr>
              <w:rPr>
                <w:rFonts w:ascii="Cambria Math" w:hAnsi="Cambria Math" w:cs="Times New Roman"/>
                <w:sz w:val="28"/>
                <w:szCs w:val="28"/>
              </w:rPr>
              <m:t>/</m:t>
            </m:r>
            <m:sSub>
              <m:sSubPr>
                <m:ctrlPr>
                  <w:rPr>
                    <w:rFonts w:ascii="Cambria Math" w:hAnsi="Cambria Math" w:cs="Times New Roman"/>
                    <w:b/>
                    <w:i/>
                    <w:sz w:val="28"/>
                    <w:szCs w:val="28"/>
                  </w:rPr>
                </m:ctrlPr>
              </m:sSubPr>
              <m:e>
                <m:sSup>
                  <m:sSupPr>
                    <m:ctrlPr>
                      <w:rPr>
                        <w:rFonts w:ascii="Cambria Math" w:hAnsi="Cambria Math" w:cs="Times New Roman"/>
                        <w:b/>
                        <w:i/>
                        <w:sz w:val="28"/>
                        <w:szCs w:val="28"/>
                      </w:rPr>
                    </m:ctrlPr>
                  </m:sSupPr>
                  <m:e>
                    <m:r>
                      <m:rPr>
                        <m:sty m:val="bi"/>
                      </m:rPr>
                      <w:rPr>
                        <w:rFonts w:ascii="Cambria Math" w:hAnsi="Cambria Math" w:cs="Times New Roman"/>
                        <w:sz w:val="28"/>
                        <w:szCs w:val="28"/>
                      </w:rPr>
                      <m:t>E</m:t>
                    </m:r>
                  </m:e>
                  <m:sup>
                    <m:r>
                      <m:rPr>
                        <m:sty m:val="bi"/>
                      </m:rPr>
                      <w:rPr>
                        <w:rFonts w:ascii="Cambria Math" w:hAnsi="Cambria Math" w:cs="Times New Roman" w:hint="eastAsia"/>
                        <w:sz w:val="28"/>
                        <w:szCs w:val="28"/>
                      </w:rPr>
                      <m:t>'</m:t>
                    </m:r>
                  </m:sup>
                </m:sSup>
              </m:e>
              <m:sub>
                <m:r>
                  <m:rPr>
                    <m:sty m:val="bi"/>
                  </m:rPr>
                  <w:rPr>
                    <w:rFonts w:ascii="Cambria Math" w:hAnsi="Cambria Math" w:cs="Times New Roman"/>
                    <w:sz w:val="28"/>
                    <w:szCs w:val="28"/>
                  </w:rPr>
                  <m:t>r</m:t>
                </m:r>
              </m:sub>
            </m:sSub>
            <m:r>
              <m:rPr>
                <m:sty m:val="bi"/>
              </m:rPr>
              <w:rPr>
                <w:rFonts w:ascii="Cambria Math" w:hAnsi="Cambria Math" w:cs="Times New Roman"/>
                <w:sz w:val="28"/>
                <w:szCs w:val="28"/>
              </w:rPr>
              <m:t>)comp</m:t>
            </m:r>
          </m:num>
          <m:den>
            <m:sSub>
              <m:sSubPr>
                <m:ctrlPr>
                  <w:rPr>
                    <w:rFonts w:ascii="Cambria Math" w:hAnsi="Cambria Math" w:cs="Times New Roman"/>
                    <w:b/>
                    <w:i/>
                    <w:sz w:val="28"/>
                    <w:szCs w:val="28"/>
                  </w:rPr>
                </m:ctrlPr>
              </m:sSubPr>
              <m:e>
                <m:r>
                  <m:rPr>
                    <m:sty m:val="bi"/>
                  </m:rPr>
                  <w:rPr>
                    <w:rFonts w:ascii="Cambria Math" w:hAnsi="Cambria Math" w:cs="Times New Roman"/>
                    <w:sz w:val="28"/>
                    <w:szCs w:val="28"/>
                  </w:rPr>
                  <m:t>(</m:t>
                </m:r>
                <m:sSup>
                  <m:sSupPr>
                    <m:ctrlPr>
                      <w:rPr>
                        <w:rFonts w:ascii="Cambria Math" w:hAnsi="Cambria Math" w:cs="Times New Roman"/>
                        <w:b/>
                        <w:i/>
                        <w:sz w:val="28"/>
                        <w:szCs w:val="28"/>
                      </w:rPr>
                    </m:ctrlPr>
                  </m:sSupPr>
                  <m:e>
                    <m:r>
                      <m:rPr>
                        <m:sty m:val="bi"/>
                      </m:rPr>
                      <w:rPr>
                        <w:rFonts w:ascii="Cambria Math" w:hAnsi="Cambria Math" w:cs="Times New Roman"/>
                        <w:sz w:val="28"/>
                        <w:szCs w:val="28"/>
                      </w:rPr>
                      <m:t>E</m:t>
                    </m:r>
                  </m:e>
                  <m:sup>
                    <m:r>
                      <m:rPr>
                        <m:sty m:val="bi"/>
                      </m:rPr>
                      <w:rPr>
                        <w:rFonts w:ascii="Cambria Math" w:hAnsi="Cambria Math" w:cs="Times New Roman" w:hint="eastAsia"/>
                        <w:sz w:val="28"/>
                        <w:szCs w:val="28"/>
                      </w:rPr>
                      <m:t>'</m:t>
                    </m:r>
                  </m:sup>
                </m:sSup>
              </m:e>
              <m:sub>
                <m:r>
                  <m:rPr>
                    <m:sty m:val="bi"/>
                  </m:rPr>
                  <w:rPr>
                    <w:rFonts w:ascii="Cambria Math" w:hAnsi="Cambria Math" w:cs="Times New Roman"/>
                    <w:sz w:val="28"/>
                    <w:szCs w:val="28"/>
                  </w:rPr>
                  <m:t xml:space="preserve">g </m:t>
                </m:r>
              </m:sub>
            </m:sSub>
            <m:r>
              <m:rPr>
                <m:sty m:val="bi"/>
              </m:rPr>
              <w:rPr>
                <w:rFonts w:ascii="Cambria Math" w:hAnsi="Cambria Math" w:cs="Times New Roman"/>
                <w:sz w:val="28"/>
                <w:szCs w:val="28"/>
              </w:rPr>
              <m:t>/</m:t>
            </m:r>
            <m:sSub>
              <m:sSubPr>
                <m:ctrlPr>
                  <w:rPr>
                    <w:rFonts w:ascii="Cambria Math" w:hAnsi="Cambria Math" w:cs="Times New Roman"/>
                    <w:b/>
                    <w:i/>
                    <w:sz w:val="28"/>
                    <w:szCs w:val="28"/>
                  </w:rPr>
                </m:ctrlPr>
              </m:sSubPr>
              <m:e>
                <m:sSup>
                  <m:sSupPr>
                    <m:ctrlPr>
                      <w:rPr>
                        <w:rFonts w:ascii="Cambria Math" w:hAnsi="Cambria Math" w:cs="Times New Roman"/>
                        <w:b/>
                        <w:i/>
                        <w:sz w:val="28"/>
                        <w:szCs w:val="28"/>
                      </w:rPr>
                    </m:ctrlPr>
                  </m:sSupPr>
                  <m:e>
                    <m:r>
                      <m:rPr>
                        <m:sty m:val="bi"/>
                      </m:rPr>
                      <w:rPr>
                        <w:rFonts w:ascii="Cambria Math" w:hAnsi="Cambria Math" w:cs="Times New Roman"/>
                        <w:sz w:val="28"/>
                        <w:szCs w:val="28"/>
                      </w:rPr>
                      <m:t>E</m:t>
                    </m:r>
                  </m:e>
                  <m:sup>
                    <m:r>
                      <m:rPr>
                        <m:sty m:val="bi"/>
                      </m:rPr>
                      <w:rPr>
                        <w:rFonts w:ascii="Cambria Math" w:hAnsi="Cambria Math" w:cs="Times New Roman" w:hint="eastAsia"/>
                        <w:sz w:val="28"/>
                        <w:szCs w:val="28"/>
                      </w:rPr>
                      <m:t>'</m:t>
                    </m:r>
                  </m:sup>
                </m:sSup>
              </m:e>
              <m:sub>
                <m:r>
                  <m:rPr>
                    <m:sty m:val="bi"/>
                  </m:rPr>
                  <w:rPr>
                    <w:rFonts w:ascii="Cambria Math" w:hAnsi="Cambria Math" w:cs="Times New Roman"/>
                    <w:sz w:val="28"/>
                    <w:szCs w:val="28"/>
                  </w:rPr>
                  <m:t>r</m:t>
                </m:r>
              </m:sub>
            </m:sSub>
            <m:r>
              <m:rPr>
                <m:sty m:val="bi"/>
              </m:rPr>
              <w:rPr>
                <w:rFonts w:ascii="Cambria Math" w:hAnsi="Cambria Math" w:cs="Times New Roman"/>
                <w:sz w:val="28"/>
                <w:szCs w:val="28"/>
              </w:rPr>
              <m:t>)resin</m:t>
            </m:r>
          </m:den>
        </m:f>
      </m:oMath>
      <w:r w:rsidR="005A797A">
        <w:rPr>
          <w:rFonts w:ascii="Times New Roman" w:hAnsi="Times New Roman" w:cs="Times New Roman"/>
          <w:b/>
          <w:sz w:val="28"/>
          <w:szCs w:val="28"/>
        </w:rPr>
        <w:t xml:space="preserve">              (4.3</w:t>
      </w:r>
      <w:r w:rsidRPr="00610042">
        <w:rPr>
          <w:rFonts w:ascii="Times New Roman" w:hAnsi="Times New Roman" w:cs="Times New Roman"/>
          <w:b/>
          <w:sz w:val="28"/>
          <w:szCs w:val="28"/>
        </w:rPr>
        <w:t>)</w:t>
      </w:r>
    </w:p>
    <w:p w14:paraId="04EA5BBE" w14:textId="77777777" w:rsidR="007E4AF6" w:rsidRPr="001A5452" w:rsidRDefault="007E4AF6" w:rsidP="007E4AF6">
      <w:pPr>
        <w:spacing w:after="0"/>
        <w:jc w:val="center"/>
        <w:rPr>
          <w:rFonts w:ascii="Times New Roman" w:hAnsi="Times New Roman" w:cs="Times New Roman"/>
        </w:rPr>
      </w:pPr>
      <w:r w:rsidRPr="001A5452">
        <w:rPr>
          <w:rFonts w:ascii="Times New Roman" w:hAnsi="Times New Roman" w:cs="Times New Roman"/>
          <w:noProof/>
          <w:lang w:val="en-GB"/>
        </w:rPr>
        <w:drawing>
          <wp:inline distT="0" distB="0" distL="0" distR="0" wp14:anchorId="3C47ED55" wp14:editId="04939554">
            <wp:extent cx="5910773" cy="4352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0901" cy="4360384"/>
                    </a:xfrm>
                    <a:prstGeom prst="rect">
                      <a:avLst/>
                    </a:prstGeom>
                    <a:noFill/>
                  </pic:spPr>
                </pic:pic>
              </a:graphicData>
            </a:graphic>
          </wp:inline>
        </w:drawing>
      </w:r>
    </w:p>
    <w:p w14:paraId="5A382168" w14:textId="1C7655C5" w:rsidR="007E4AF6" w:rsidRDefault="005A797A" w:rsidP="00EC3BE6">
      <w:pPr>
        <w:pStyle w:val="Caption"/>
        <w:ind w:firstLine="0"/>
        <w:rPr>
          <w:rFonts w:cs="Times New Roman"/>
          <w:szCs w:val="24"/>
        </w:rPr>
      </w:pPr>
      <w:bookmarkStart w:id="149" w:name="_Toc502662475"/>
      <w:r>
        <w:t>Figure 4</w:t>
      </w:r>
      <w:r w:rsidR="00B527F6">
        <w:t>.</w:t>
      </w:r>
      <w:r w:rsidR="00EC3BE6">
        <w:fldChar w:fldCharType="begin"/>
      </w:r>
      <w:r w:rsidR="00EC3BE6">
        <w:instrText xml:space="preserve"> SEQ Figure_4. \* ARABIC </w:instrText>
      </w:r>
      <w:r w:rsidR="00EC3BE6">
        <w:fldChar w:fldCharType="separate"/>
      </w:r>
      <w:r w:rsidR="00551ED9">
        <w:rPr>
          <w:noProof/>
        </w:rPr>
        <w:t>9</w:t>
      </w:r>
      <w:r w:rsidR="00EC3BE6">
        <w:fldChar w:fldCharType="end"/>
      </w:r>
      <w:r w:rsidR="007E4AF6" w:rsidRPr="001A5452">
        <w:rPr>
          <w:rFonts w:cs="Times New Roman"/>
          <w:b w:val="0"/>
          <w:szCs w:val="24"/>
        </w:rPr>
        <w:t xml:space="preserve">. </w:t>
      </w:r>
      <w:r w:rsidR="007E4AF6" w:rsidRPr="001A5452">
        <w:rPr>
          <w:rFonts w:cs="Times New Roman"/>
          <w:szCs w:val="24"/>
        </w:rPr>
        <w:t>Dynamic mechanical properties of UPR/rGO composites: (a) storage modulus, (</w:t>
      </w:r>
      <w:r w:rsidR="00EC3BE6">
        <w:rPr>
          <w:rFonts w:cs="Times New Roman"/>
          <w:szCs w:val="24"/>
        </w:rPr>
        <w:t>b) loss modulus, and (c) tan δ.</w:t>
      </w:r>
      <w:bookmarkEnd w:id="149"/>
    </w:p>
    <w:p w14:paraId="5F0155FB" w14:textId="310659A9" w:rsidR="005A797A" w:rsidRDefault="005A797A" w:rsidP="005A797A"/>
    <w:p w14:paraId="5BAA6948" w14:textId="74FCABC3" w:rsidR="005A797A" w:rsidRDefault="005A797A" w:rsidP="005A797A"/>
    <w:p w14:paraId="1C564D8E" w14:textId="77777777" w:rsidR="005A797A" w:rsidRPr="005A797A" w:rsidRDefault="005A797A" w:rsidP="005A797A"/>
    <w:p w14:paraId="09CA202C" w14:textId="77777777" w:rsidR="00EC3BE6" w:rsidRPr="001A5452" w:rsidRDefault="00EC3BE6" w:rsidP="00EC3BE6">
      <w:pPr>
        <w:spacing w:after="0" w:line="360" w:lineRule="auto"/>
        <w:jc w:val="center"/>
        <w:rPr>
          <w:rFonts w:ascii="Times New Roman" w:hAnsi="Times New Roman" w:cs="Times New Roman"/>
          <w:sz w:val="24"/>
          <w:szCs w:val="24"/>
        </w:rPr>
      </w:pPr>
    </w:p>
    <w:p w14:paraId="366671CB" w14:textId="7D6EF181" w:rsidR="007E4AF6" w:rsidRPr="001A5452" w:rsidRDefault="005A797A" w:rsidP="00EC3BE6">
      <w:pPr>
        <w:pStyle w:val="Caption"/>
        <w:ind w:firstLine="0"/>
        <w:rPr>
          <w:rFonts w:cs="Times New Roman"/>
          <w:szCs w:val="24"/>
        </w:rPr>
      </w:pPr>
      <w:bookmarkStart w:id="150" w:name="_Toc518823489"/>
      <w:r>
        <w:t>Table 4</w:t>
      </w:r>
      <w:r w:rsidR="00EC3BE6">
        <w:t xml:space="preserve">. </w:t>
      </w:r>
      <w:r w:rsidR="00EC3BE6">
        <w:fldChar w:fldCharType="begin"/>
      </w:r>
      <w:r w:rsidR="00EC3BE6">
        <w:instrText xml:space="preserve"> SEQ Table_4. \* ARABIC </w:instrText>
      </w:r>
      <w:r w:rsidR="00EC3BE6">
        <w:fldChar w:fldCharType="separate"/>
      </w:r>
      <w:r w:rsidR="00551ED9">
        <w:rPr>
          <w:noProof/>
        </w:rPr>
        <w:t>5</w:t>
      </w:r>
      <w:r w:rsidR="00EC3BE6">
        <w:fldChar w:fldCharType="end"/>
      </w:r>
      <w:r w:rsidR="002B0B54">
        <w:rPr>
          <w:rFonts w:cs="Times New Roman" w:hint="eastAsia"/>
          <w:b w:val="0"/>
          <w:szCs w:val="24"/>
        </w:rPr>
        <w:t>.</w:t>
      </w:r>
      <w:r w:rsidR="007E4AF6" w:rsidRPr="001A5452">
        <w:rPr>
          <w:rFonts w:cs="Times New Roman"/>
          <w:b w:val="0"/>
          <w:szCs w:val="24"/>
        </w:rPr>
        <w:t xml:space="preserve"> </w:t>
      </w:r>
      <w:r w:rsidR="007E4AF6" w:rsidRPr="001A5452">
        <w:rPr>
          <w:rFonts w:cs="Times New Roman"/>
          <w:szCs w:val="24"/>
        </w:rPr>
        <w:t>Dynamic</w:t>
      </w:r>
      <w:r w:rsidR="007E4AF6" w:rsidRPr="001A5452">
        <w:rPr>
          <w:rFonts w:cs="Times New Roman"/>
          <w:b w:val="0"/>
          <w:szCs w:val="24"/>
        </w:rPr>
        <w:t xml:space="preserve"> </w:t>
      </w:r>
      <w:r w:rsidR="007E4AF6" w:rsidRPr="001A5452">
        <w:rPr>
          <w:rFonts w:cs="Times New Roman"/>
          <w:szCs w:val="24"/>
        </w:rPr>
        <w:t>mechanical properties of UPR/rGO composites.</w:t>
      </w:r>
      <w:bookmarkEnd w:id="150"/>
    </w:p>
    <w:tbl>
      <w:tblPr>
        <w:tblStyle w:val="TableGrid"/>
        <w:tblW w:w="944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35"/>
        <w:gridCol w:w="1180"/>
        <w:gridCol w:w="1260"/>
        <w:gridCol w:w="1260"/>
        <w:gridCol w:w="1260"/>
        <w:gridCol w:w="16"/>
        <w:gridCol w:w="1244"/>
        <w:gridCol w:w="1890"/>
      </w:tblGrid>
      <w:tr w:rsidR="007E4AF6" w:rsidRPr="001A5452" w14:paraId="289550C0" w14:textId="77777777" w:rsidTr="00314423">
        <w:trPr>
          <w:trHeight w:val="179"/>
        </w:trPr>
        <w:tc>
          <w:tcPr>
            <w:tcW w:w="1335" w:type="dxa"/>
            <w:tcBorders>
              <w:left w:val="nil"/>
              <w:right w:val="nil"/>
            </w:tcBorders>
            <w:vAlign w:val="center"/>
          </w:tcPr>
          <w:p w14:paraId="13283883" w14:textId="77777777" w:rsidR="007E4AF6" w:rsidRPr="001A5452" w:rsidRDefault="007E4AF6" w:rsidP="00314423">
            <w:pPr>
              <w:spacing w:line="360" w:lineRule="auto"/>
              <w:jc w:val="center"/>
              <w:rPr>
                <w:rFonts w:ascii="Times New Roman" w:hAnsi="Times New Roman" w:cs="Times New Roman"/>
              </w:rPr>
            </w:pPr>
          </w:p>
        </w:tc>
        <w:tc>
          <w:tcPr>
            <w:tcW w:w="4976" w:type="dxa"/>
            <w:gridSpan w:val="5"/>
            <w:tcBorders>
              <w:left w:val="nil"/>
              <w:bottom w:val="single" w:sz="12" w:space="0" w:color="auto"/>
              <w:right w:val="nil"/>
            </w:tcBorders>
            <w:vAlign w:val="center"/>
          </w:tcPr>
          <w:p w14:paraId="090CC32C"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 xml:space="preserve">Storage modulus </w:t>
            </w:r>
            <w:r w:rsidRPr="001A5452">
              <w:rPr>
                <w:rFonts w:ascii="Times New Roman" w:hAnsi="Times New Roman" w:cs="Times New Roman"/>
                <w:i/>
                <w:sz w:val="24"/>
                <w:szCs w:val="24"/>
              </w:rPr>
              <w:t>E'</w:t>
            </w:r>
            <w:r w:rsidRPr="001A5452">
              <w:rPr>
                <w:rFonts w:ascii="Times New Roman" w:hAnsi="Times New Roman" w:cs="Times New Roman"/>
              </w:rPr>
              <w:t xml:space="preserve"> / GPa</w:t>
            </w:r>
          </w:p>
        </w:tc>
        <w:tc>
          <w:tcPr>
            <w:tcW w:w="1244" w:type="dxa"/>
            <w:tcBorders>
              <w:left w:val="nil"/>
              <w:bottom w:val="single" w:sz="12" w:space="0" w:color="auto"/>
              <w:right w:val="nil"/>
            </w:tcBorders>
            <w:vAlign w:val="center"/>
          </w:tcPr>
          <w:p w14:paraId="49A830B2"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i/>
              </w:rPr>
              <w:t>T</w:t>
            </w:r>
            <w:r w:rsidRPr="001A5452">
              <w:rPr>
                <w:rFonts w:ascii="Times New Roman" w:hAnsi="Times New Roman" w:cs="Times New Roman"/>
                <w:i/>
                <w:vertAlign w:val="subscript"/>
              </w:rPr>
              <w:t>g</w:t>
            </w:r>
            <w:r w:rsidRPr="001A5452">
              <w:rPr>
                <w:rFonts w:ascii="Times New Roman" w:hAnsi="Times New Roman" w:cs="Times New Roman"/>
                <w:i/>
              </w:rPr>
              <w:t xml:space="preserve"> </w:t>
            </w:r>
            <w:r w:rsidRPr="001A5452">
              <w:rPr>
                <w:rFonts w:ascii="Times New Roman" w:hAnsi="Times New Roman" w:cs="Times New Roman"/>
              </w:rPr>
              <w:t xml:space="preserve">/ </w:t>
            </w:r>
            <w:r w:rsidRPr="001A5452">
              <w:rPr>
                <w:rFonts w:ascii="Times New Roman" w:hAnsi="Times New Roman" w:cs="Times New Roman"/>
                <w:vertAlign w:val="superscript"/>
              </w:rPr>
              <w:t>o</w:t>
            </w:r>
            <w:r w:rsidRPr="001A5452">
              <w:rPr>
                <w:rFonts w:ascii="Times New Roman" w:hAnsi="Times New Roman" w:cs="Times New Roman"/>
              </w:rPr>
              <w:t>C</w:t>
            </w:r>
          </w:p>
        </w:tc>
        <w:tc>
          <w:tcPr>
            <w:tcW w:w="1890" w:type="dxa"/>
            <w:tcBorders>
              <w:left w:val="nil"/>
              <w:bottom w:val="single" w:sz="12" w:space="0" w:color="auto"/>
              <w:right w:val="nil"/>
            </w:tcBorders>
            <w:vAlign w:val="center"/>
          </w:tcPr>
          <w:p w14:paraId="546101F7"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Coefficient C</w:t>
            </w:r>
          </w:p>
        </w:tc>
      </w:tr>
      <w:tr w:rsidR="007E4AF6" w:rsidRPr="001A5452" w14:paraId="0CFE9C0E" w14:textId="77777777" w:rsidTr="00314423">
        <w:tc>
          <w:tcPr>
            <w:tcW w:w="1335" w:type="dxa"/>
            <w:tcBorders>
              <w:left w:val="nil"/>
              <w:bottom w:val="single" w:sz="12" w:space="0" w:color="auto"/>
              <w:right w:val="nil"/>
            </w:tcBorders>
            <w:vAlign w:val="center"/>
          </w:tcPr>
          <w:p w14:paraId="03479E6F"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Samples</w:t>
            </w:r>
          </w:p>
        </w:tc>
        <w:tc>
          <w:tcPr>
            <w:tcW w:w="1180" w:type="dxa"/>
            <w:tcBorders>
              <w:left w:val="nil"/>
              <w:bottom w:val="single" w:sz="12" w:space="0" w:color="auto"/>
              <w:right w:val="nil"/>
            </w:tcBorders>
            <w:vAlign w:val="center"/>
          </w:tcPr>
          <w:p w14:paraId="6D95C324"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 xml:space="preserve">-40 </w:t>
            </w:r>
            <w:r w:rsidRPr="001A5452">
              <w:rPr>
                <w:rFonts w:ascii="Times New Roman" w:hAnsi="Times New Roman" w:cs="Times New Roman"/>
                <w:vertAlign w:val="superscript"/>
              </w:rPr>
              <w:t>o</w:t>
            </w:r>
            <w:r w:rsidRPr="001A5452">
              <w:rPr>
                <w:rFonts w:ascii="Times New Roman" w:hAnsi="Times New Roman" w:cs="Times New Roman"/>
              </w:rPr>
              <w:t>C</w:t>
            </w:r>
          </w:p>
        </w:tc>
        <w:tc>
          <w:tcPr>
            <w:tcW w:w="1260" w:type="dxa"/>
            <w:tcBorders>
              <w:left w:val="nil"/>
              <w:bottom w:val="single" w:sz="12" w:space="0" w:color="auto"/>
              <w:right w:val="nil"/>
            </w:tcBorders>
            <w:vAlign w:val="center"/>
          </w:tcPr>
          <w:p w14:paraId="256C2C7A"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 xml:space="preserve">20 </w:t>
            </w:r>
            <w:r w:rsidRPr="001A5452">
              <w:rPr>
                <w:rFonts w:ascii="Times New Roman" w:hAnsi="Times New Roman" w:cs="Times New Roman"/>
                <w:vertAlign w:val="superscript"/>
              </w:rPr>
              <w:t>o</w:t>
            </w:r>
            <w:r w:rsidRPr="001A5452">
              <w:rPr>
                <w:rFonts w:ascii="Times New Roman" w:hAnsi="Times New Roman" w:cs="Times New Roman"/>
              </w:rPr>
              <w:t>C</w:t>
            </w:r>
          </w:p>
        </w:tc>
        <w:tc>
          <w:tcPr>
            <w:tcW w:w="1260" w:type="dxa"/>
            <w:tcBorders>
              <w:left w:val="nil"/>
              <w:bottom w:val="single" w:sz="12" w:space="0" w:color="auto"/>
              <w:right w:val="nil"/>
            </w:tcBorders>
            <w:vAlign w:val="center"/>
          </w:tcPr>
          <w:p w14:paraId="41F2FA32"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 xml:space="preserve">40 </w:t>
            </w:r>
            <w:r w:rsidRPr="001A5452">
              <w:rPr>
                <w:rFonts w:ascii="Times New Roman" w:hAnsi="Times New Roman" w:cs="Times New Roman"/>
                <w:vertAlign w:val="superscript"/>
              </w:rPr>
              <w:t>o</w:t>
            </w:r>
            <w:r w:rsidRPr="001A5452">
              <w:rPr>
                <w:rFonts w:ascii="Times New Roman" w:hAnsi="Times New Roman" w:cs="Times New Roman"/>
              </w:rPr>
              <w:t>C</w:t>
            </w:r>
          </w:p>
        </w:tc>
        <w:tc>
          <w:tcPr>
            <w:tcW w:w="1260" w:type="dxa"/>
            <w:tcBorders>
              <w:left w:val="nil"/>
              <w:bottom w:val="single" w:sz="12" w:space="0" w:color="auto"/>
              <w:right w:val="nil"/>
            </w:tcBorders>
            <w:vAlign w:val="center"/>
          </w:tcPr>
          <w:p w14:paraId="21751AA5"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 xml:space="preserve">110 </w:t>
            </w:r>
            <w:r w:rsidRPr="001A5452">
              <w:rPr>
                <w:rFonts w:ascii="Times New Roman" w:hAnsi="Times New Roman" w:cs="Times New Roman"/>
                <w:vertAlign w:val="superscript"/>
              </w:rPr>
              <w:t>o</w:t>
            </w:r>
            <w:r w:rsidRPr="001A5452">
              <w:rPr>
                <w:rFonts w:ascii="Times New Roman" w:hAnsi="Times New Roman" w:cs="Times New Roman"/>
              </w:rPr>
              <w:t>C</w:t>
            </w:r>
          </w:p>
        </w:tc>
        <w:tc>
          <w:tcPr>
            <w:tcW w:w="1260" w:type="dxa"/>
            <w:gridSpan w:val="2"/>
            <w:tcBorders>
              <w:left w:val="nil"/>
              <w:bottom w:val="single" w:sz="12" w:space="0" w:color="auto"/>
              <w:right w:val="nil"/>
            </w:tcBorders>
            <w:vAlign w:val="center"/>
          </w:tcPr>
          <w:p w14:paraId="248BF48D"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w:t>
            </w:r>
          </w:p>
        </w:tc>
        <w:tc>
          <w:tcPr>
            <w:tcW w:w="1890" w:type="dxa"/>
            <w:tcBorders>
              <w:left w:val="nil"/>
              <w:bottom w:val="single" w:sz="12" w:space="0" w:color="auto"/>
              <w:right w:val="nil"/>
            </w:tcBorders>
            <w:vAlign w:val="center"/>
          </w:tcPr>
          <w:p w14:paraId="28317913" w14:textId="77777777" w:rsidR="007E4AF6" w:rsidRPr="001A5452" w:rsidRDefault="007E4AF6" w:rsidP="00314423">
            <w:pPr>
              <w:spacing w:line="360" w:lineRule="auto"/>
              <w:jc w:val="center"/>
              <w:rPr>
                <w:rFonts w:ascii="Times New Roman" w:hAnsi="Times New Roman" w:cs="Times New Roman"/>
              </w:rPr>
            </w:pPr>
          </w:p>
        </w:tc>
      </w:tr>
      <w:tr w:rsidR="007E4AF6" w:rsidRPr="001A5452" w14:paraId="722C8A74" w14:textId="77777777" w:rsidTr="00314423">
        <w:tc>
          <w:tcPr>
            <w:tcW w:w="1335" w:type="dxa"/>
            <w:tcBorders>
              <w:left w:val="nil"/>
              <w:bottom w:val="nil"/>
              <w:right w:val="nil"/>
            </w:tcBorders>
            <w:vAlign w:val="center"/>
          </w:tcPr>
          <w:p w14:paraId="1EB589DF"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UPR</w:t>
            </w:r>
          </w:p>
        </w:tc>
        <w:tc>
          <w:tcPr>
            <w:tcW w:w="1180" w:type="dxa"/>
            <w:tcBorders>
              <w:left w:val="nil"/>
              <w:bottom w:val="nil"/>
              <w:right w:val="nil"/>
            </w:tcBorders>
            <w:vAlign w:val="center"/>
          </w:tcPr>
          <w:p w14:paraId="3577001C" w14:textId="7298CEFD"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2.1</w:t>
            </w:r>
            <w:r w:rsidR="00944469">
              <w:rPr>
                <w:rFonts w:ascii="Times New Roman" w:hAnsi="Times New Roman" w:cs="Times New Roman"/>
              </w:rPr>
              <w:t>±0.03</w:t>
            </w:r>
          </w:p>
        </w:tc>
        <w:tc>
          <w:tcPr>
            <w:tcW w:w="1260" w:type="dxa"/>
            <w:tcBorders>
              <w:left w:val="nil"/>
              <w:bottom w:val="nil"/>
              <w:right w:val="nil"/>
            </w:tcBorders>
            <w:vAlign w:val="center"/>
          </w:tcPr>
          <w:p w14:paraId="314C12AE" w14:textId="43DF3393"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1.8</w:t>
            </w:r>
            <w:r w:rsidR="00944469">
              <w:rPr>
                <w:rFonts w:ascii="Times New Roman" w:hAnsi="Times New Roman" w:cs="Times New Roman"/>
              </w:rPr>
              <w:t>±0.03</w:t>
            </w:r>
          </w:p>
        </w:tc>
        <w:tc>
          <w:tcPr>
            <w:tcW w:w="1260" w:type="dxa"/>
            <w:tcBorders>
              <w:left w:val="nil"/>
              <w:bottom w:val="nil"/>
              <w:right w:val="nil"/>
            </w:tcBorders>
            <w:vAlign w:val="center"/>
          </w:tcPr>
          <w:p w14:paraId="4E757540" w14:textId="2956D123"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w:t>
            </w:r>
            <w:r w:rsidR="00944469">
              <w:rPr>
                <w:rFonts w:ascii="Times New Roman" w:hAnsi="Times New Roman" w:cs="Times New Roman"/>
              </w:rPr>
              <w:t>2±0.02</w:t>
            </w:r>
          </w:p>
        </w:tc>
        <w:tc>
          <w:tcPr>
            <w:tcW w:w="1260" w:type="dxa"/>
            <w:tcBorders>
              <w:left w:val="nil"/>
              <w:bottom w:val="nil"/>
              <w:right w:val="nil"/>
            </w:tcBorders>
            <w:vAlign w:val="center"/>
          </w:tcPr>
          <w:p w14:paraId="0B200280"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0.02</w:t>
            </w:r>
          </w:p>
        </w:tc>
        <w:tc>
          <w:tcPr>
            <w:tcW w:w="1260" w:type="dxa"/>
            <w:gridSpan w:val="2"/>
            <w:tcBorders>
              <w:left w:val="nil"/>
              <w:bottom w:val="nil"/>
              <w:right w:val="nil"/>
            </w:tcBorders>
            <w:vAlign w:val="center"/>
          </w:tcPr>
          <w:p w14:paraId="660CB1B4" w14:textId="2B8D05D2"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95</w:t>
            </w:r>
            <w:r w:rsidR="00944469">
              <w:rPr>
                <w:rFonts w:ascii="Times New Roman" w:hAnsi="Times New Roman" w:cs="Times New Roman"/>
              </w:rPr>
              <w:t>±2</w:t>
            </w:r>
          </w:p>
        </w:tc>
        <w:tc>
          <w:tcPr>
            <w:tcW w:w="1890" w:type="dxa"/>
            <w:tcBorders>
              <w:left w:val="nil"/>
              <w:bottom w:val="nil"/>
              <w:right w:val="nil"/>
            </w:tcBorders>
            <w:vAlign w:val="center"/>
          </w:tcPr>
          <w:p w14:paraId="100A31FE"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w:t>
            </w:r>
          </w:p>
        </w:tc>
      </w:tr>
      <w:tr w:rsidR="007E4AF6" w:rsidRPr="001A5452" w14:paraId="4A7068FC" w14:textId="77777777" w:rsidTr="00314423">
        <w:tc>
          <w:tcPr>
            <w:tcW w:w="1335" w:type="dxa"/>
            <w:tcBorders>
              <w:top w:val="nil"/>
              <w:left w:val="nil"/>
              <w:bottom w:val="nil"/>
              <w:right w:val="nil"/>
            </w:tcBorders>
            <w:vAlign w:val="center"/>
          </w:tcPr>
          <w:p w14:paraId="31C87249"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UPR-THF</w:t>
            </w:r>
          </w:p>
        </w:tc>
        <w:tc>
          <w:tcPr>
            <w:tcW w:w="1180" w:type="dxa"/>
            <w:tcBorders>
              <w:top w:val="nil"/>
              <w:left w:val="nil"/>
              <w:bottom w:val="nil"/>
              <w:right w:val="nil"/>
            </w:tcBorders>
            <w:vAlign w:val="center"/>
          </w:tcPr>
          <w:p w14:paraId="71D534F5" w14:textId="17ECB0CA"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2.1</w:t>
            </w:r>
            <w:r w:rsidR="00944469">
              <w:rPr>
                <w:rFonts w:ascii="Times New Roman" w:hAnsi="Times New Roman" w:cs="Times New Roman"/>
              </w:rPr>
              <w:t>±0.02</w:t>
            </w:r>
          </w:p>
        </w:tc>
        <w:tc>
          <w:tcPr>
            <w:tcW w:w="1260" w:type="dxa"/>
            <w:tcBorders>
              <w:top w:val="nil"/>
              <w:left w:val="nil"/>
              <w:bottom w:val="nil"/>
              <w:right w:val="nil"/>
            </w:tcBorders>
            <w:vAlign w:val="center"/>
          </w:tcPr>
          <w:p w14:paraId="1B5D7E10" w14:textId="7BEA7CB8"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1.7</w:t>
            </w:r>
            <w:r w:rsidR="00944469">
              <w:rPr>
                <w:rFonts w:ascii="Times New Roman" w:hAnsi="Times New Roman" w:cs="Times New Roman"/>
              </w:rPr>
              <w:t>±0.04</w:t>
            </w:r>
          </w:p>
        </w:tc>
        <w:tc>
          <w:tcPr>
            <w:tcW w:w="1260" w:type="dxa"/>
            <w:tcBorders>
              <w:top w:val="nil"/>
              <w:left w:val="nil"/>
              <w:bottom w:val="nil"/>
              <w:right w:val="nil"/>
            </w:tcBorders>
            <w:vAlign w:val="center"/>
          </w:tcPr>
          <w:p w14:paraId="6CB9E462" w14:textId="5FDA20EF"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1.3</w:t>
            </w:r>
            <w:r w:rsidR="00944469">
              <w:rPr>
                <w:rFonts w:ascii="Times New Roman" w:hAnsi="Times New Roman" w:cs="Times New Roman"/>
              </w:rPr>
              <w:t>±0.04</w:t>
            </w:r>
          </w:p>
        </w:tc>
        <w:tc>
          <w:tcPr>
            <w:tcW w:w="1260" w:type="dxa"/>
            <w:tcBorders>
              <w:top w:val="nil"/>
              <w:left w:val="nil"/>
              <w:bottom w:val="nil"/>
              <w:right w:val="nil"/>
            </w:tcBorders>
            <w:vAlign w:val="center"/>
          </w:tcPr>
          <w:p w14:paraId="327B62C3"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0.01</w:t>
            </w:r>
          </w:p>
        </w:tc>
        <w:tc>
          <w:tcPr>
            <w:tcW w:w="1260" w:type="dxa"/>
            <w:gridSpan w:val="2"/>
            <w:tcBorders>
              <w:top w:val="nil"/>
              <w:left w:val="nil"/>
              <w:bottom w:val="nil"/>
              <w:right w:val="nil"/>
            </w:tcBorders>
            <w:vAlign w:val="center"/>
          </w:tcPr>
          <w:p w14:paraId="4288A0B1" w14:textId="52FFD123"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73</w:t>
            </w:r>
            <w:r w:rsidR="00944469">
              <w:rPr>
                <w:rFonts w:ascii="Times New Roman" w:hAnsi="Times New Roman" w:cs="Times New Roman"/>
              </w:rPr>
              <w:t>±4</w:t>
            </w:r>
          </w:p>
        </w:tc>
        <w:tc>
          <w:tcPr>
            <w:tcW w:w="1890" w:type="dxa"/>
            <w:tcBorders>
              <w:top w:val="nil"/>
              <w:left w:val="nil"/>
              <w:bottom w:val="nil"/>
              <w:right w:val="nil"/>
            </w:tcBorders>
            <w:vAlign w:val="center"/>
          </w:tcPr>
          <w:p w14:paraId="0E897594"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w:t>
            </w:r>
          </w:p>
        </w:tc>
      </w:tr>
      <w:tr w:rsidR="007E4AF6" w:rsidRPr="001A5452" w14:paraId="4BD3A75F" w14:textId="77777777" w:rsidTr="00314423">
        <w:tc>
          <w:tcPr>
            <w:tcW w:w="1335" w:type="dxa"/>
            <w:tcBorders>
              <w:top w:val="nil"/>
              <w:left w:val="nil"/>
              <w:bottom w:val="nil"/>
              <w:right w:val="nil"/>
            </w:tcBorders>
            <w:vAlign w:val="center"/>
          </w:tcPr>
          <w:p w14:paraId="55786A8E"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0.05 wt.%</w:t>
            </w:r>
          </w:p>
        </w:tc>
        <w:tc>
          <w:tcPr>
            <w:tcW w:w="1180" w:type="dxa"/>
            <w:tcBorders>
              <w:top w:val="nil"/>
              <w:left w:val="nil"/>
              <w:bottom w:val="nil"/>
              <w:right w:val="nil"/>
            </w:tcBorders>
            <w:vAlign w:val="center"/>
          </w:tcPr>
          <w:p w14:paraId="079CAFB8" w14:textId="1B39F5D1"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2.2</w:t>
            </w:r>
            <w:r w:rsidR="00944469">
              <w:rPr>
                <w:rFonts w:ascii="Times New Roman" w:hAnsi="Times New Roman" w:cs="Times New Roman"/>
              </w:rPr>
              <w:t>±0.05</w:t>
            </w:r>
          </w:p>
        </w:tc>
        <w:tc>
          <w:tcPr>
            <w:tcW w:w="1260" w:type="dxa"/>
            <w:tcBorders>
              <w:top w:val="nil"/>
              <w:left w:val="nil"/>
              <w:bottom w:val="nil"/>
              <w:right w:val="nil"/>
            </w:tcBorders>
            <w:vAlign w:val="center"/>
          </w:tcPr>
          <w:p w14:paraId="210DC910" w14:textId="1D8F84B4"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1.6</w:t>
            </w:r>
            <w:r w:rsidR="00944469">
              <w:rPr>
                <w:rFonts w:ascii="Times New Roman" w:hAnsi="Times New Roman" w:cs="Times New Roman"/>
              </w:rPr>
              <w:t>±0.02</w:t>
            </w:r>
          </w:p>
        </w:tc>
        <w:tc>
          <w:tcPr>
            <w:tcW w:w="1260" w:type="dxa"/>
            <w:tcBorders>
              <w:top w:val="nil"/>
              <w:left w:val="nil"/>
              <w:bottom w:val="nil"/>
              <w:right w:val="nil"/>
            </w:tcBorders>
            <w:vAlign w:val="center"/>
          </w:tcPr>
          <w:p w14:paraId="28E72C87" w14:textId="6E210E0F"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0.9</w:t>
            </w:r>
            <w:r w:rsidR="00944469">
              <w:rPr>
                <w:rFonts w:ascii="Times New Roman" w:hAnsi="Times New Roman" w:cs="Times New Roman"/>
              </w:rPr>
              <w:t>±0.05</w:t>
            </w:r>
          </w:p>
        </w:tc>
        <w:tc>
          <w:tcPr>
            <w:tcW w:w="1260" w:type="dxa"/>
            <w:tcBorders>
              <w:top w:val="nil"/>
              <w:left w:val="nil"/>
              <w:bottom w:val="nil"/>
              <w:right w:val="nil"/>
            </w:tcBorders>
            <w:vAlign w:val="center"/>
          </w:tcPr>
          <w:p w14:paraId="47A3F5FC"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0.01</w:t>
            </w:r>
          </w:p>
        </w:tc>
        <w:tc>
          <w:tcPr>
            <w:tcW w:w="1260" w:type="dxa"/>
            <w:gridSpan w:val="2"/>
            <w:tcBorders>
              <w:top w:val="nil"/>
              <w:left w:val="nil"/>
              <w:bottom w:val="nil"/>
              <w:right w:val="nil"/>
            </w:tcBorders>
            <w:vAlign w:val="center"/>
          </w:tcPr>
          <w:p w14:paraId="78208E33" w14:textId="5FAD18CD"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67</w:t>
            </w:r>
            <w:r w:rsidR="00944469">
              <w:rPr>
                <w:rFonts w:ascii="Times New Roman" w:hAnsi="Times New Roman" w:cs="Times New Roman"/>
              </w:rPr>
              <w:t>±3</w:t>
            </w:r>
          </w:p>
        </w:tc>
        <w:tc>
          <w:tcPr>
            <w:tcW w:w="1890" w:type="dxa"/>
            <w:tcBorders>
              <w:top w:val="nil"/>
              <w:left w:val="nil"/>
              <w:bottom w:val="nil"/>
              <w:right w:val="nil"/>
            </w:tcBorders>
            <w:vAlign w:val="center"/>
          </w:tcPr>
          <w:p w14:paraId="13FC2993"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1.12</w:t>
            </w:r>
          </w:p>
        </w:tc>
      </w:tr>
      <w:tr w:rsidR="007E4AF6" w:rsidRPr="001A5452" w14:paraId="058AECB7" w14:textId="77777777" w:rsidTr="00314423">
        <w:tc>
          <w:tcPr>
            <w:tcW w:w="1335" w:type="dxa"/>
            <w:tcBorders>
              <w:top w:val="nil"/>
              <w:left w:val="nil"/>
              <w:bottom w:val="nil"/>
              <w:right w:val="nil"/>
            </w:tcBorders>
            <w:vAlign w:val="center"/>
          </w:tcPr>
          <w:p w14:paraId="11C8BF7B" w14:textId="3E013277" w:rsidR="007E4AF6" w:rsidRPr="001A5452" w:rsidRDefault="00E3476F" w:rsidP="00314423">
            <w:pPr>
              <w:spacing w:line="360" w:lineRule="auto"/>
              <w:jc w:val="center"/>
              <w:rPr>
                <w:rFonts w:ascii="Times New Roman" w:hAnsi="Times New Roman" w:cs="Times New Roman"/>
              </w:rPr>
            </w:pPr>
            <w:r>
              <w:rPr>
                <w:rFonts w:ascii="Times New Roman" w:hAnsi="Times New Roman" w:cs="Times New Roman"/>
              </w:rPr>
              <w:t>0.1</w:t>
            </w:r>
            <w:r w:rsidR="007E4AF6" w:rsidRPr="001A5452">
              <w:rPr>
                <w:rFonts w:ascii="Times New Roman" w:hAnsi="Times New Roman" w:cs="Times New Roman"/>
              </w:rPr>
              <w:t xml:space="preserve"> wt.%</w:t>
            </w:r>
          </w:p>
        </w:tc>
        <w:tc>
          <w:tcPr>
            <w:tcW w:w="1180" w:type="dxa"/>
            <w:tcBorders>
              <w:top w:val="nil"/>
              <w:left w:val="nil"/>
              <w:bottom w:val="nil"/>
              <w:right w:val="nil"/>
            </w:tcBorders>
            <w:vAlign w:val="center"/>
          </w:tcPr>
          <w:p w14:paraId="5D668E99" w14:textId="02965408"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2.0</w:t>
            </w:r>
            <w:r w:rsidR="00944469">
              <w:rPr>
                <w:rFonts w:ascii="Times New Roman" w:hAnsi="Times New Roman" w:cs="Times New Roman"/>
              </w:rPr>
              <w:t>±0.04</w:t>
            </w:r>
          </w:p>
        </w:tc>
        <w:tc>
          <w:tcPr>
            <w:tcW w:w="1260" w:type="dxa"/>
            <w:tcBorders>
              <w:top w:val="nil"/>
              <w:left w:val="nil"/>
              <w:bottom w:val="nil"/>
              <w:right w:val="nil"/>
            </w:tcBorders>
            <w:vAlign w:val="center"/>
          </w:tcPr>
          <w:p w14:paraId="42797746" w14:textId="3F8696CB"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1.3</w:t>
            </w:r>
            <w:r w:rsidR="00944469">
              <w:rPr>
                <w:rFonts w:ascii="Times New Roman" w:hAnsi="Times New Roman" w:cs="Times New Roman"/>
              </w:rPr>
              <w:t>±0.04</w:t>
            </w:r>
          </w:p>
        </w:tc>
        <w:tc>
          <w:tcPr>
            <w:tcW w:w="1260" w:type="dxa"/>
            <w:tcBorders>
              <w:top w:val="nil"/>
              <w:left w:val="nil"/>
              <w:bottom w:val="nil"/>
              <w:right w:val="nil"/>
            </w:tcBorders>
            <w:vAlign w:val="center"/>
          </w:tcPr>
          <w:p w14:paraId="48E17D4A" w14:textId="47E36AF1"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0.6</w:t>
            </w:r>
            <w:r w:rsidR="00944469">
              <w:rPr>
                <w:rFonts w:ascii="Times New Roman" w:hAnsi="Times New Roman" w:cs="Times New Roman"/>
              </w:rPr>
              <w:t>±0.03</w:t>
            </w:r>
          </w:p>
        </w:tc>
        <w:tc>
          <w:tcPr>
            <w:tcW w:w="1260" w:type="dxa"/>
            <w:tcBorders>
              <w:top w:val="nil"/>
              <w:left w:val="nil"/>
              <w:bottom w:val="nil"/>
              <w:right w:val="nil"/>
            </w:tcBorders>
            <w:vAlign w:val="center"/>
          </w:tcPr>
          <w:p w14:paraId="0D9056F4"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0.01</w:t>
            </w:r>
          </w:p>
        </w:tc>
        <w:tc>
          <w:tcPr>
            <w:tcW w:w="1260" w:type="dxa"/>
            <w:gridSpan w:val="2"/>
            <w:tcBorders>
              <w:top w:val="nil"/>
              <w:left w:val="nil"/>
              <w:bottom w:val="nil"/>
              <w:right w:val="nil"/>
            </w:tcBorders>
            <w:vAlign w:val="center"/>
          </w:tcPr>
          <w:p w14:paraId="756484A9" w14:textId="471A4D69"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64</w:t>
            </w:r>
            <w:r w:rsidR="00944469">
              <w:rPr>
                <w:rFonts w:ascii="Times New Roman" w:hAnsi="Times New Roman" w:cs="Times New Roman"/>
              </w:rPr>
              <w:t>±2</w:t>
            </w:r>
          </w:p>
        </w:tc>
        <w:tc>
          <w:tcPr>
            <w:tcW w:w="1890" w:type="dxa"/>
            <w:tcBorders>
              <w:top w:val="nil"/>
              <w:left w:val="nil"/>
              <w:bottom w:val="nil"/>
              <w:right w:val="nil"/>
            </w:tcBorders>
            <w:vAlign w:val="center"/>
          </w:tcPr>
          <w:p w14:paraId="2C42462D"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0.83</w:t>
            </w:r>
          </w:p>
        </w:tc>
      </w:tr>
      <w:tr w:rsidR="007E4AF6" w:rsidRPr="001A5452" w14:paraId="5300F559" w14:textId="77777777" w:rsidTr="00314423">
        <w:trPr>
          <w:trHeight w:val="47"/>
        </w:trPr>
        <w:tc>
          <w:tcPr>
            <w:tcW w:w="1335" w:type="dxa"/>
            <w:tcBorders>
              <w:top w:val="nil"/>
              <w:left w:val="nil"/>
              <w:bottom w:val="nil"/>
              <w:right w:val="nil"/>
            </w:tcBorders>
            <w:vAlign w:val="center"/>
          </w:tcPr>
          <w:p w14:paraId="3DA7DD15"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0.3 wt.%</w:t>
            </w:r>
          </w:p>
        </w:tc>
        <w:tc>
          <w:tcPr>
            <w:tcW w:w="1180" w:type="dxa"/>
            <w:tcBorders>
              <w:top w:val="nil"/>
              <w:left w:val="nil"/>
              <w:bottom w:val="nil"/>
              <w:right w:val="nil"/>
            </w:tcBorders>
            <w:vAlign w:val="center"/>
          </w:tcPr>
          <w:p w14:paraId="6BD935BC" w14:textId="26939FC6"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w:t>
            </w:r>
            <w:r w:rsidR="00944469">
              <w:rPr>
                <w:rFonts w:ascii="Times New Roman" w:hAnsi="Times New Roman" w:cs="Times New Roman"/>
              </w:rPr>
              <w:t>0±0.07</w:t>
            </w:r>
          </w:p>
        </w:tc>
        <w:tc>
          <w:tcPr>
            <w:tcW w:w="1260" w:type="dxa"/>
            <w:tcBorders>
              <w:top w:val="nil"/>
              <w:left w:val="nil"/>
              <w:bottom w:val="nil"/>
              <w:right w:val="nil"/>
            </w:tcBorders>
            <w:vAlign w:val="center"/>
          </w:tcPr>
          <w:p w14:paraId="06EF559A" w14:textId="7A2DF7B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1.2</w:t>
            </w:r>
            <w:r w:rsidR="00944469">
              <w:rPr>
                <w:rFonts w:ascii="Times New Roman" w:hAnsi="Times New Roman" w:cs="Times New Roman"/>
              </w:rPr>
              <w:t>±0.07</w:t>
            </w:r>
          </w:p>
        </w:tc>
        <w:tc>
          <w:tcPr>
            <w:tcW w:w="1260" w:type="dxa"/>
            <w:tcBorders>
              <w:top w:val="nil"/>
              <w:left w:val="nil"/>
              <w:bottom w:val="nil"/>
              <w:right w:val="nil"/>
            </w:tcBorders>
            <w:vAlign w:val="center"/>
          </w:tcPr>
          <w:p w14:paraId="26B3A26E" w14:textId="1BD11081" w:rsidR="007E4AF6" w:rsidRPr="00944469" w:rsidRDefault="007E4AF6" w:rsidP="00314423">
            <w:pPr>
              <w:spacing w:line="360" w:lineRule="auto"/>
              <w:jc w:val="center"/>
              <w:rPr>
                <w:rFonts w:ascii="Times New Roman" w:hAnsi="Times New Roman" w:cs="Times New Roman"/>
                <w:b/>
              </w:rPr>
            </w:pPr>
            <w:r w:rsidRPr="001A5452">
              <w:rPr>
                <w:rFonts w:ascii="Times New Roman" w:hAnsi="Times New Roman" w:cs="Times New Roman"/>
              </w:rPr>
              <w:t>0.7</w:t>
            </w:r>
            <w:r w:rsidR="00944469">
              <w:rPr>
                <w:rFonts w:ascii="Times New Roman" w:hAnsi="Times New Roman" w:cs="Times New Roman"/>
              </w:rPr>
              <w:t>±0.07</w:t>
            </w:r>
          </w:p>
        </w:tc>
        <w:tc>
          <w:tcPr>
            <w:tcW w:w="1260" w:type="dxa"/>
            <w:tcBorders>
              <w:top w:val="nil"/>
              <w:left w:val="nil"/>
              <w:bottom w:val="nil"/>
              <w:right w:val="nil"/>
            </w:tcBorders>
            <w:vAlign w:val="center"/>
          </w:tcPr>
          <w:p w14:paraId="546B1340"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0.01</w:t>
            </w:r>
          </w:p>
        </w:tc>
        <w:tc>
          <w:tcPr>
            <w:tcW w:w="1260" w:type="dxa"/>
            <w:gridSpan w:val="2"/>
            <w:tcBorders>
              <w:top w:val="nil"/>
              <w:left w:val="nil"/>
              <w:bottom w:val="nil"/>
              <w:right w:val="nil"/>
            </w:tcBorders>
            <w:vAlign w:val="center"/>
          </w:tcPr>
          <w:p w14:paraId="2ACE6E6B" w14:textId="23A5FBEC"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63</w:t>
            </w:r>
            <w:r w:rsidR="00944469">
              <w:rPr>
                <w:rFonts w:ascii="Times New Roman" w:hAnsi="Times New Roman" w:cs="Times New Roman"/>
              </w:rPr>
              <w:t>±3</w:t>
            </w:r>
          </w:p>
        </w:tc>
        <w:tc>
          <w:tcPr>
            <w:tcW w:w="1890" w:type="dxa"/>
            <w:tcBorders>
              <w:top w:val="nil"/>
              <w:left w:val="nil"/>
              <w:bottom w:val="nil"/>
              <w:right w:val="nil"/>
            </w:tcBorders>
            <w:vAlign w:val="center"/>
          </w:tcPr>
          <w:p w14:paraId="4C6ED57D"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0.70</w:t>
            </w:r>
          </w:p>
        </w:tc>
      </w:tr>
      <w:tr w:rsidR="007E4AF6" w:rsidRPr="001A5452" w14:paraId="2950DD1A" w14:textId="77777777" w:rsidTr="00314423">
        <w:trPr>
          <w:trHeight w:val="47"/>
        </w:trPr>
        <w:tc>
          <w:tcPr>
            <w:tcW w:w="1335" w:type="dxa"/>
            <w:tcBorders>
              <w:top w:val="nil"/>
              <w:left w:val="nil"/>
              <w:bottom w:val="nil"/>
              <w:right w:val="nil"/>
            </w:tcBorders>
            <w:vAlign w:val="center"/>
          </w:tcPr>
          <w:p w14:paraId="66D14879"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0.5 wt.%</w:t>
            </w:r>
          </w:p>
        </w:tc>
        <w:tc>
          <w:tcPr>
            <w:tcW w:w="1180" w:type="dxa"/>
            <w:tcBorders>
              <w:top w:val="nil"/>
              <w:left w:val="nil"/>
              <w:bottom w:val="nil"/>
              <w:right w:val="nil"/>
            </w:tcBorders>
            <w:vAlign w:val="center"/>
          </w:tcPr>
          <w:p w14:paraId="05D62E71" w14:textId="066F1C29"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1.5</w:t>
            </w:r>
            <w:r w:rsidR="00944469">
              <w:rPr>
                <w:rFonts w:ascii="Times New Roman" w:hAnsi="Times New Roman" w:cs="Times New Roman"/>
              </w:rPr>
              <w:t>±0.05</w:t>
            </w:r>
          </w:p>
        </w:tc>
        <w:tc>
          <w:tcPr>
            <w:tcW w:w="1260" w:type="dxa"/>
            <w:tcBorders>
              <w:top w:val="nil"/>
              <w:left w:val="nil"/>
              <w:bottom w:val="nil"/>
              <w:right w:val="nil"/>
            </w:tcBorders>
            <w:vAlign w:val="center"/>
          </w:tcPr>
          <w:p w14:paraId="04C0486C" w14:textId="466BF418"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0.9</w:t>
            </w:r>
            <w:r w:rsidR="00944469">
              <w:rPr>
                <w:rFonts w:ascii="Times New Roman" w:hAnsi="Times New Roman" w:cs="Times New Roman"/>
              </w:rPr>
              <w:t>±0.05</w:t>
            </w:r>
          </w:p>
        </w:tc>
        <w:tc>
          <w:tcPr>
            <w:tcW w:w="1260" w:type="dxa"/>
            <w:tcBorders>
              <w:top w:val="nil"/>
              <w:left w:val="nil"/>
              <w:bottom w:val="nil"/>
              <w:right w:val="nil"/>
            </w:tcBorders>
            <w:vAlign w:val="center"/>
          </w:tcPr>
          <w:p w14:paraId="5FA70085" w14:textId="4902B81E"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0.4</w:t>
            </w:r>
            <w:r w:rsidR="00944469">
              <w:rPr>
                <w:rFonts w:ascii="Times New Roman" w:hAnsi="Times New Roman" w:cs="Times New Roman"/>
              </w:rPr>
              <w:t>±0.02</w:t>
            </w:r>
          </w:p>
        </w:tc>
        <w:tc>
          <w:tcPr>
            <w:tcW w:w="1260" w:type="dxa"/>
            <w:tcBorders>
              <w:top w:val="nil"/>
              <w:left w:val="nil"/>
              <w:bottom w:val="nil"/>
              <w:right w:val="nil"/>
            </w:tcBorders>
            <w:vAlign w:val="center"/>
          </w:tcPr>
          <w:p w14:paraId="24CBCB61"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0.01</w:t>
            </w:r>
          </w:p>
        </w:tc>
        <w:tc>
          <w:tcPr>
            <w:tcW w:w="1260" w:type="dxa"/>
            <w:gridSpan w:val="2"/>
            <w:tcBorders>
              <w:top w:val="nil"/>
              <w:left w:val="nil"/>
              <w:bottom w:val="nil"/>
              <w:right w:val="nil"/>
            </w:tcBorders>
            <w:vAlign w:val="center"/>
          </w:tcPr>
          <w:p w14:paraId="394612A5" w14:textId="5AB6CB23"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60</w:t>
            </w:r>
            <w:r w:rsidR="00944469">
              <w:rPr>
                <w:rFonts w:ascii="Times New Roman" w:hAnsi="Times New Roman" w:cs="Times New Roman"/>
              </w:rPr>
              <w:t>±2</w:t>
            </w:r>
          </w:p>
        </w:tc>
        <w:tc>
          <w:tcPr>
            <w:tcW w:w="1890" w:type="dxa"/>
            <w:tcBorders>
              <w:top w:val="nil"/>
              <w:left w:val="nil"/>
              <w:bottom w:val="nil"/>
              <w:right w:val="nil"/>
            </w:tcBorders>
            <w:vAlign w:val="center"/>
          </w:tcPr>
          <w:p w14:paraId="50460594"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0.50</w:t>
            </w:r>
          </w:p>
        </w:tc>
      </w:tr>
      <w:tr w:rsidR="007E4AF6" w:rsidRPr="001A5452" w14:paraId="694EA1C6" w14:textId="77777777" w:rsidTr="00314423">
        <w:trPr>
          <w:trHeight w:val="47"/>
        </w:trPr>
        <w:tc>
          <w:tcPr>
            <w:tcW w:w="1335" w:type="dxa"/>
            <w:tcBorders>
              <w:top w:val="nil"/>
              <w:left w:val="nil"/>
              <w:right w:val="nil"/>
            </w:tcBorders>
            <w:vAlign w:val="center"/>
          </w:tcPr>
          <w:p w14:paraId="1E3EFC39"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1.0 wt.%</w:t>
            </w:r>
          </w:p>
        </w:tc>
        <w:tc>
          <w:tcPr>
            <w:tcW w:w="1180" w:type="dxa"/>
            <w:tcBorders>
              <w:top w:val="nil"/>
              <w:left w:val="nil"/>
              <w:right w:val="nil"/>
            </w:tcBorders>
            <w:vAlign w:val="center"/>
          </w:tcPr>
          <w:p w14:paraId="715EDF03" w14:textId="257C0E1E"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3.9</w:t>
            </w:r>
            <w:r w:rsidR="00944469">
              <w:rPr>
                <w:rFonts w:ascii="Times New Roman" w:hAnsi="Times New Roman" w:cs="Times New Roman"/>
              </w:rPr>
              <w:t>±0.06</w:t>
            </w:r>
          </w:p>
        </w:tc>
        <w:tc>
          <w:tcPr>
            <w:tcW w:w="1260" w:type="dxa"/>
            <w:tcBorders>
              <w:top w:val="nil"/>
              <w:left w:val="nil"/>
              <w:right w:val="nil"/>
            </w:tcBorders>
            <w:vAlign w:val="center"/>
          </w:tcPr>
          <w:p w14:paraId="5F9E5ACB" w14:textId="1A01F33F"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3.5</w:t>
            </w:r>
            <w:r w:rsidR="00944469">
              <w:rPr>
                <w:rFonts w:ascii="Times New Roman" w:hAnsi="Times New Roman" w:cs="Times New Roman"/>
              </w:rPr>
              <w:t>±0.08</w:t>
            </w:r>
          </w:p>
        </w:tc>
        <w:tc>
          <w:tcPr>
            <w:tcW w:w="1260" w:type="dxa"/>
            <w:tcBorders>
              <w:top w:val="nil"/>
              <w:left w:val="nil"/>
              <w:right w:val="nil"/>
            </w:tcBorders>
            <w:vAlign w:val="center"/>
          </w:tcPr>
          <w:p w14:paraId="590DFC61" w14:textId="2316F06E"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3.3</w:t>
            </w:r>
            <w:r w:rsidR="00944469">
              <w:rPr>
                <w:rFonts w:ascii="Times New Roman" w:hAnsi="Times New Roman" w:cs="Times New Roman"/>
              </w:rPr>
              <w:t>±0.09</w:t>
            </w:r>
          </w:p>
        </w:tc>
        <w:tc>
          <w:tcPr>
            <w:tcW w:w="1260" w:type="dxa"/>
            <w:tcBorders>
              <w:top w:val="nil"/>
              <w:left w:val="nil"/>
              <w:right w:val="nil"/>
            </w:tcBorders>
            <w:vAlign w:val="center"/>
          </w:tcPr>
          <w:p w14:paraId="0897FEE4"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0.08</w:t>
            </w:r>
          </w:p>
        </w:tc>
        <w:tc>
          <w:tcPr>
            <w:tcW w:w="1260" w:type="dxa"/>
            <w:gridSpan w:val="2"/>
            <w:tcBorders>
              <w:top w:val="nil"/>
              <w:left w:val="nil"/>
              <w:right w:val="nil"/>
            </w:tcBorders>
            <w:vAlign w:val="center"/>
          </w:tcPr>
          <w:p w14:paraId="4A1A28A6" w14:textId="3A43672B"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100</w:t>
            </w:r>
            <w:r w:rsidR="00944469">
              <w:rPr>
                <w:rFonts w:ascii="Times New Roman" w:hAnsi="Times New Roman" w:cs="Times New Roman"/>
              </w:rPr>
              <w:t>±4</w:t>
            </w:r>
          </w:p>
        </w:tc>
        <w:tc>
          <w:tcPr>
            <w:tcW w:w="1890" w:type="dxa"/>
            <w:tcBorders>
              <w:top w:val="nil"/>
              <w:left w:val="nil"/>
              <w:right w:val="nil"/>
            </w:tcBorders>
            <w:vAlign w:val="center"/>
          </w:tcPr>
          <w:p w14:paraId="68964E81" w14:textId="77777777" w:rsidR="007E4AF6" w:rsidRPr="001A5452" w:rsidRDefault="007E4AF6" w:rsidP="00314423">
            <w:pPr>
              <w:spacing w:line="360" w:lineRule="auto"/>
              <w:jc w:val="center"/>
              <w:rPr>
                <w:rFonts w:ascii="Times New Roman" w:hAnsi="Times New Roman" w:cs="Times New Roman"/>
              </w:rPr>
            </w:pPr>
            <w:r w:rsidRPr="001A5452">
              <w:rPr>
                <w:rFonts w:ascii="Times New Roman" w:hAnsi="Times New Roman" w:cs="Times New Roman"/>
              </w:rPr>
              <w:t>0.48</w:t>
            </w:r>
          </w:p>
        </w:tc>
      </w:tr>
    </w:tbl>
    <w:p w14:paraId="06B1BEF8" w14:textId="77777777" w:rsidR="005A797A" w:rsidRDefault="005A797A" w:rsidP="007E4AF6">
      <w:pPr>
        <w:pStyle w:val="Heading2"/>
        <w:spacing w:before="0"/>
        <w:rPr>
          <w:rFonts w:cs="Times New Roman"/>
          <w:szCs w:val="24"/>
        </w:rPr>
      </w:pPr>
    </w:p>
    <w:p w14:paraId="25781FC8" w14:textId="3C00F99B" w:rsidR="007E4AF6" w:rsidRPr="00610042" w:rsidRDefault="007331C7" w:rsidP="007E4AF6">
      <w:pPr>
        <w:pStyle w:val="Heading2"/>
        <w:spacing w:before="0"/>
        <w:rPr>
          <w:rFonts w:cs="Times New Roman"/>
          <w:szCs w:val="24"/>
        </w:rPr>
      </w:pPr>
      <w:bookmarkStart w:id="151" w:name="_Toc518823306"/>
      <w:r>
        <w:rPr>
          <w:rFonts w:cs="Times New Roman"/>
          <w:szCs w:val="24"/>
        </w:rPr>
        <w:t>4</w:t>
      </w:r>
      <w:r w:rsidR="004D0F8E">
        <w:rPr>
          <w:rFonts w:cs="Times New Roman"/>
          <w:szCs w:val="24"/>
        </w:rPr>
        <w:t>.</w:t>
      </w:r>
      <w:r w:rsidR="002E496B">
        <w:rPr>
          <w:rFonts w:cs="Times New Roman"/>
          <w:szCs w:val="24"/>
        </w:rPr>
        <w:t>3.</w:t>
      </w:r>
      <w:r w:rsidR="002E496B">
        <w:rPr>
          <w:rFonts w:cs="Times New Roman" w:hint="eastAsia"/>
          <w:szCs w:val="24"/>
        </w:rPr>
        <w:t>7</w:t>
      </w:r>
      <w:r w:rsidR="00685F1C">
        <w:rPr>
          <w:rFonts w:cs="Times New Roman"/>
          <w:szCs w:val="24"/>
        </w:rPr>
        <w:t xml:space="preserve">. Thermal </w:t>
      </w:r>
      <w:r w:rsidR="004A14D4">
        <w:rPr>
          <w:rFonts w:cs="Times New Roman"/>
          <w:szCs w:val="24"/>
        </w:rPr>
        <w:t>stability</w:t>
      </w:r>
      <w:r w:rsidR="007E4AF6" w:rsidRPr="00610042">
        <w:rPr>
          <w:rFonts w:cs="Times New Roman"/>
          <w:szCs w:val="24"/>
        </w:rPr>
        <w:t xml:space="preserve"> of UPR, and UPR/rGO composites</w:t>
      </w:r>
      <w:bookmarkEnd w:id="151"/>
    </w:p>
    <w:p w14:paraId="6DB85F06" w14:textId="32B292BA" w:rsidR="00EE1B27" w:rsidRDefault="007E4AF6" w:rsidP="00EE1B27">
      <w:pPr>
        <w:spacing w:after="0" w:line="480" w:lineRule="auto"/>
        <w:jc w:val="both"/>
        <w:rPr>
          <w:rFonts w:ascii="Times New Roman" w:hAnsi="Times New Roman" w:cs="Times New Roman"/>
          <w:sz w:val="24"/>
          <w:szCs w:val="24"/>
        </w:rPr>
      </w:pPr>
      <w:r w:rsidRPr="00610042">
        <w:rPr>
          <w:rFonts w:ascii="Times New Roman" w:hAnsi="Times New Roman" w:cs="Times New Roman"/>
          <w:sz w:val="24"/>
          <w:szCs w:val="24"/>
          <w:lang w:val="en-GB"/>
        </w:rPr>
        <w:t>The influence of rGO on the thermal properties of UPR was investigated by TGA, and the results are presented in F</w:t>
      </w:r>
      <w:r w:rsidR="0098706E">
        <w:rPr>
          <w:rFonts w:ascii="Times New Roman" w:hAnsi="Times New Roman" w:cs="Times New Roman"/>
          <w:sz w:val="24"/>
          <w:szCs w:val="24"/>
          <w:lang w:val="en-GB"/>
        </w:rPr>
        <w:t xml:space="preserve">igure </w:t>
      </w:r>
      <w:r w:rsidR="007331C7">
        <w:rPr>
          <w:rFonts w:ascii="Times New Roman" w:hAnsi="Times New Roman" w:cs="Times New Roman" w:hint="eastAsia"/>
          <w:sz w:val="24"/>
          <w:szCs w:val="24"/>
          <w:lang w:val="en-GB"/>
        </w:rPr>
        <w:t>4</w:t>
      </w:r>
      <w:r w:rsidR="0098706E">
        <w:rPr>
          <w:rFonts w:ascii="Times New Roman" w:hAnsi="Times New Roman" w:cs="Times New Roman" w:hint="eastAsia"/>
          <w:sz w:val="24"/>
          <w:szCs w:val="24"/>
          <w:lang w:val="en-GB"/>
        </w:rPr>
        <w:t>.10</w:t>
      </w:r>
      <w:r w:rsidR="007331C7">
        <w:rPr>
          <w:rFonts w:ascii="Times New Roman" w:hAnsi="Times New Roman" w:cs="Times New Roman"/>
          <w:sz w:val="24"/>
          <w:szCs w:val="24"/>
          <w:lang w:val="en-GB"/>
        </w:rPr>
        <w:t xml:space="preserve"> and Table 4</w:t>
      </w:r>
      <w:r w:rsidRPr="00610042">
        <w:rPr>
          <w:rFonts w:ascii="Times New Roman" w:hAnsi="Times New Roman" w:cs="Times New Roman"/>
          <w:sz w:val="24"/>
          <w:szCs w:val="24"/>
          <w:lang w:val="en-GB"/>
        </w:rPr>
        <w:t>.</w:t>
      </w:r>
      <w:r w:rsidR="0098706E">
        <w:rPr>
          <w:rFonts w:ascii="Times New Roman" w:hAnsi="Times New Roman" w:cs="Times New Roman" w:hint="eastAsia"/>
          <w:sz w:val="24"/>
          <w:szCs w:val="24"/>
          <w:lang w:val="en-GB"/>
        </w:rPr>
        <w:t>6</w:t>
      </w:r>
      <w:r w:rsidR="0098706E">
        <w:rPr>
          <w:rFonts w:ascii="Times New Roman" w:hAnsi="Times New Roman" w:cs="Times New Roman"/>
          <w:sz w:val="24"/>
          <w:szCs w:val="24"/>
          <w:lang w:val="en-GB"/>
        </w:rPr>
        <w:t xml:space="preserve"> As shown in Figure </w:t>
      </w:r>
      <w:r w:rsidR="007331C7">
        <w:rPr>
          <w:rFonts w:ascii="Times New Roman" w:hAnsi="Times New Roman" w:cs="Times New Roman" w:hint="eastAsia"/>
          <w:sz w:val="24"/>
          <w:szCs w:val="24"/>
          <w:lang w:val="en-GB"/>
        </w:rPr>
        <w:t>4</w:t>
      </w:r>
      <w:r w:rsidR="0098706E">
        <w:rPr>
          <w:rFonts w:ascii="Times New Roman" w:hAnsi="Times New Roman" w:cs="Times New Roman" w:hint="eastAsia"/>
          <w:sz w:val="24"/>
          <w:szCs w:val="24"/>
          <w:lang w:val="en-GB"/>
        </w:rPr>
        <w:t>.10</w:t>
      </w:r>
      <w:r w:rsidRPr="00610042">
        <w:rPr>
          <w:rFonts w:ascii="Times New Roman" w:hAnsi="Times New Roman" w:cs="Times New Roman"/>
          <w:sz w:val="24"/>
          <w:szCs w:val="24"/>
          <w:lang w:val="en-GB"/>
        </w:rPr>
        <w:t>(a), the onset temperature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oMath>
      <w:r w:rsidRPr="00610042">
        <w:rPr>
          <w:rFonts w:ascii="Times New Roman" w:hAnsi="Times New Roman" w:cs="Times New Roman"/>
          <w:sz w:val="24"/>
          <w:szCs w:val="24"/>
          <w:lang w:val="en-GB"/>
        </w:rPr>
        <w:t xml:space="preserve">) of UPR, which is defined as the degradation temperature at 5% weight loss </w:t>
      </w:r>
      <w:r w:rsidRPr="00610042">
        <w:rPr>
          <w:rFonts w:ascii="Times New Roman" w:hAnsi="Times New Roman" w:cs="Times New Roman"/>
          <w:sz w:val="24"/>
          <w:szCs w:val="24"/>
          <w:lang w:val="en-GB"/>
        </w:rPr>
        <w:fldChar w:fldCharType="begin" w:fldLock="1"/>
      </w:r>
      <w:r w:rsidR="0076089E">
        <w:rPr>
          <w:rFonts w:ascii="Times New Roman" w:hAnsi="Times New Roman" w:cs="Times New Roman"/>
          <w:sz w:val="24"/>
          <w:szCs w:val="24"/>
          <w:lang w:val="en-GB"/>
        </w:rPr>
        <w:instrText>ADDIN CSL_CITATION { "citationItems" : [ { "id" : "ITEM-1", "itemData" : { "DOI" : "10.1039/C4RA07878K", "ISBN" : "2046-2069", "ISSN" : "2046-2069", "author" : [ { "dropping-particle" : "", "family" : "Wang", "given" : "Yi", "non-dropping-particle" : "", "parse-names" : false, "suffix" : "" }, { "dropping-particle" : "", "family" : "Yu", "given" : "Jinhong", "non-dropping-particle" : "", "parse-names" : false, "suffix" : "" }, { "dropping-particle" : "", "family" : "Dai", "given" : "Wen", "non-dropping-particle" : "", "parse-names" : false, "suffix" : "" }, { "dropping-particle" : "", "family" : "Wang", "given" : "Dong", "non-dropping-particle" : "", "parse-names" : false, "suffix" : "" }, { "dropping-particle" : "", "family" : "Song", "given" : "Yingze", "non-dropping-particle" : "", "parse-names" : false, "suffix" : "" }, { "dropping-particle" : "", "family" : "Bai", "given" : "Hua", "non-dropping-particle" : "", "parse-names" : false, "suffix" : "" }, { "dropping-particle" : "", "family" : "Zhou", "given" : "Xufeng", "non-dropping-particle" : "", "parse-names" : false, "suffix" : "" }, { "dropping-particle" : "", "family" : "Li", "given" : "Chaoyang", "non-dropping-particle" : "", "parse-names" : false, "suffix" : "" }, { "dropping-particle" : "", "family" : "Lin", "given" : "Cheng-Te", "non-dropping-particle" : "", "parse-names" : false, "suffix" : "" }, { "dropping-particle" : "", "family" : "Jiang", "given" : "Nan", "non-dropping-particle" : "", "parse-names" : false, "suffix" : "" } ], "container-title" : "RSC Adv.", "id" : "ITEM-1", "issue" : "103", "issued" : { "date-parts" : [ [ "2014" ] ] }, "page" : "59409-59417", "publisher" : "Royal Society of Chemistry", "title" : "Epoxy composites filled with one-dimensional SiC nanowires\u2013two-dimensional graphene nanoplatelets hybrid nanofillers", "type" : "article-journal", "volume" : "4" }, "uris" : [ "http://www.mendeley.com/documents/?uuid=7d405f10-b4ec-4d15-ab72-6fda65676285" ] } ], "mendeley" : { "formattedCitation" : "[212]", "plainTextFormattedCitation" : "[212]", "previouslyFormattedCitation" : "[212]" }, "properties" : {  }, "schema" : "https://github.com/citation-style-language/schema/raw/master/csl-citation.json" }</w:instrText>
      </w:r>
      <w:r w:rsidRPr="00610042">
        <w:rPr>
          <w:rFonts w:ascii="Times New Roman" w:hAnsi="Times New Roman" w:cs="Times New Roman"/>
          <w:sz w:val="24"/>
          <w:szCs w:val="24"/>
          <w:lang w:val="en-GB"/>
        </w:rPr>
        <w:fldChar w:fldCharType="separate"/>
      </w:r>
      <w:r w:rsidR="0076089E" w:rsidRPr="0076089E">
        <w:rPr>
          <w:rFonts w:ascii="Times New Roman" w:hAnsi="Times New Roman" w:cs="Times New Roman"/>
          <w:noProof/>
          <w:sz w:val="24"/>
          <w:szCs w:val="24"/>
          <w:lang w:val="en-GB"/>
        </w:rPr>
        <w:t>[212]</w:t>
      </w:r>
      <w:r w:rsidRPr="00610042">
        <w:rPr>
          <w:rFonts w:ascii="Times New Roman" w:hAnsi="Times New Roman" w:cs="Times New Roman"/>
          <w:sz w:val="24"/>
          <w:szCs w:val="24"/>
          <w:lang w:val="en-GB"/>
        </w:rPr>
        <w:fldChar w:fldCharType="end"/>
      </w:r>
      <w:r w:rsidRPr="00610042">
        <w:rPr>
          <w:rFonts w:ascii="Times New Roman" w:hAnsi="Times New Roman" w:cs="Times New Roman"/>
          <w:sz w:val="24"/>
          <w:szCs w:val="24"/>
          <w:lang w:val="en-GB"/>
        </w:rPr>
        <w:t>, is observed at 367 ºC, and yields a 95% mass loss when the temperature reaches 800 °C (char yield). The 50 % weight loss and maximum weight loss occur at 413 °C (</w:t>
      </w:r>
      <w:r w:rsidR="0098706E" w:rsidRPr="00610042">
        <w:rPr>
          <w:rFonts w:ascii="Times New Roman" w:hAnsi="Times New Roman" w:cs="Times New Roman"/>
          <w:i/>
          <w:sz w:val="24"/>
          <w:szCs w:val="24"/>
          <w:lang w:val="en-GB"/>
        </w:rPr>
        <w:t>T</w:t>
      </w:r>
      <w:r w:rsidR="0098706E" w:rsidRPr="00610042">
        <w:rPr>
          <w:rFonts w:ascii="Times New Roman" w:hAnsi="Times New Roman" w:cs="Times New Roman"/>
          <w:i/>
          <w:sz w:val="24"/>
          <w:szCs w:val="24"/>
          <w:vertAlign w:val="subscript"/>
          <w:lang w:val="en-GB"/>
        </w:rPr>
        <w:t>d</w:t>
      </w:r>
      <w:r w:rsidR="0098706E" w:rsidRPr="00610042">
        <w:rPr>
          <w:rFonts w:ascii="Times New Roman" w:hAnsi="Times New Roman" w:cs="Times New Roman"/>
          <w:i/>
          <w:sz w:val="24"/>
          <w:szCs w:val="24"/>
          <w:vertAlign w:val="superscript"/>
          <w:lang w:val="en-GB"/>
        </w:rPr>
        <w:t>1/2</w:t>
      </w:r>
      <w:r w:rsidR="0098706E">
        <w:rPr>
          <w:rFonts w:ascii="Times New Roman" w:hAnsi="Times New Roman" w:cs="Times New Roman"/>
          <w:sz w:val="24"/>
          <w:szCs w:val="24"/>
        </w:rPr>
        <w:t>)</w:t>
      </w:r>
      <w:r w:rsidRPr="00610042">
        <w:rPr>
          <w:rFonts w:ascii="Times New Roman" w:hAnsi="Times New Roman" w:cs="Times New Roman"/>
          <w:sz w:val="24"/>
          <w:szCs w:val="24"/>
          <w:lang w:val="en-GB"/>
        </w:rPr>
        <w:t>), and 419 °C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Pr="00610042">
        <w:rPr>
          <w:rFonts w:ascii="Times New Roman" w:hAnsi="Times New Roman" w:cs="Times New Roman"/>
          <w:sz w:val="24"/>
          <w:szCs w:val="24"/>
          <w:lang w:val="en-GB"/>
        </w:rPr>
        <w:t xml:space="preserve">), respectively. This is associated to the decomposition of polymeric network </w:t>
      </w:r>
      <w:r w:rsidRPr="00610042">
        <w:rPr>
          <w:rFonts w:ascii="Times New Roman" w:hAnsi="Times New Roman" w:cs="Times New Roman"/>
          <w:sz w:val="24"/>
          <w:szCs w:val="24"/>
          <w:lang w:val="en-GB"/>
        </w:rPr>
        <w:fldChar w:fldCharType="begin" w:fldLock="1"/>
      </w:r>
      <w:r w:rsidR="00D14688">
        <w:rPr>
          <w:rFonts w:ascii="Times New Roman" w:hAnsi="Times New Roman" w:cs="Times New Roman"/>
          <w:sz w:val="24"/>
          <w:szCs w:val="24"/>
          <w:lang w:val="en-GB"/>
        </w:rPr>
        <w:instrText>ADDIN CSL_CITATION { "citationItems" : [ { "id" : "ITEM-1", "itemData" : { "DOI" : "10.1016/j.polymdegradstab.2004.04.020", "author" : [ { "dropping-particle" : "", "family" : "Shih", "given" : "Yeng-fong", "non-dropping-particle" : "", "parse-names" : false, "suffix" : "" }, { "dropping-particle" : "", "family" : "Wang", "given" : "Yih-tyng", "non-dropping-particle" : "", "parse-names" : false, "suffix" : "" }, { "dropping-particle" : "", "family" : "Jeng", "given" : "Ru-jong", "non-dropping-particle" : "", "parse-names" : false, "suffix" : "" }, { "dropping-particle" : "", "family" : "Wei", "given" : "Kuo-min", "non-dropping-particle" : "", "parse-names" : false, "suffix" : "" } ], "container-title" : "Polymer Degradation and Stability", "id" : "ITEM-1", "issued" : { "date-parts" : [ [ "2004" ] ] }, "page" : "339-348", "title" : "Expandable graphite systems for phosphorus-containing unsaturated polyesters . I . Enhanced thermal properties and flame retardancy", "type" : "article-journal", "volume" : "86" }, "uris" : [ "http://www.mendeley.com/documents/?uuid=d3cc4110-3ef0-43bb-ab04-3bb3ef6dbb60" ] } ], "mendeley" : { "formattedCitation" : "[140]", "plainTextFormattedCitation" : "[140]", "previouslyFormattedCitation" : "[140]" }, "properties" : {  }, "schema" : "https://github.com/citation-style-language/schema/raw/master/csl-citation.json" }</w:instrText>
      </w:r>
      <w:r w:rsidRPr="00610042">
        <w:rPr>
          <w:rFonts w:ascii="Times New Roman" w:hAnsi="Times New Roman" w:cs="Times New Roman"/>
          <w:sz w:val="24"/>
          <w:szCs w:val="24"/>
          <w:lang w:val="en-GB"/>
        </w:rPr>
        <w:fldChar w:fldCharType="separate"/>
      </w:r>
      <w:r w:rsidR="00D973A8" w:rsidRPr="00D973A8">
        <w:rPr>
          <w:rFonts w:ascii="Times New Roman" w:hAnsi="Times New Roman" w:cs="Times New Roman"/>
          <w:noProof/>
          <w:sz w:val="24"/>
          <w:szCs w:val="24"/>
          <w:lang w:val="en-GB"/>
        </w:rPr>
        <w:t>[140]</w:t>
      </w:r>
      <w:r w:rsidRPr="00610042">
        <w:rPr>
          <w:rFonts w:ascii="Times New Roman" w:hAnsi="Times New Roman" w:cs="Times New Roman"/>
          <w:sz w:val="24"/>
          <w:szCs w:val="24"/>
          <w:lang w:val="en-GB"/>
        </w:rPr>
        <w:fldChar w:fldCharType="end"/>
      </w:r>
      <w:r w:rsidRPr="00610042">
        <w:rPr>
          <w:rFonts w:ascii="Times New Roman" w:hAnsi="Times New Roman" w:cs="Times New Roman"/>
          <w:sz w:val="24"/>
          <w:szCs w:val="24"/>
          <w:lang w:val="en-GB"/>
        </w:rPr>
        <w:t xml:space="preserve">. Compared to UPR, UPR-THF displays very similar thermal properties on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oMath>
      <w:r w:rsidRPr="00610042">
        <w:rPr>
          <w:rFonts w:ascii="Times New Roman" w:hAnsi="Times New Roman" w:cs="Times New Roman"/>
          <w:sz w:val="24"/>
          <w:szCs w:val="24"/>
          <w:lang w:val="en-GB"/>
        </w:rPr>
        <w:t xml:space="preserve">,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Pr="00610042">
        <w:rPr>
          <w:rFonts w:ascii="Times New Roman" w:hAnsi="Times New Roman" w:cs="Times New Roman"/>
          <w:sz w:val="24"/>
          <w:szCs w:val="24"/>
          <w:lang w:val="en-GB"/>
        </w:rPr>
        <w:t xml:space="preserve">, and </w:t>
      </w:r>
      <w:r w:rsidRPr="00610042">
        <w:rPr>
          <w:rFonts w:ascii="Times New Roman" w:hAnsi="Times New Roman" w:cs="Times New Roman"/>
          <w:i/>
          <w:sz w:val="24"/>
          <w:szCs w:val="24"/>
          <w:lang w:val="en-GB"/>
        </w:rPr>
        <w:t>T</w:t>
      </w:r>
      <w:r w:rsidRPr="00610042">
        <w:rPr>
          <w:rFonts w:ascii="Times New Roman" w:hAnsi="Times New Roman" w:cs="Times New Roman"/>
          <w:i/>
          <w:sz w:val="24"/>
          <w:szCs w:val="24"/>
          <w:vertAlign w:val="subscript"/>
          <w:lang w:val="en-GB"/>
        </w:rPr>
        <w:t>d</w:t>
      </w:r>
      <w:r w:rsidRPr="00610042">
        <w:rPr>
          <w:rFonts w:ascii="Times New Roman" w:hAnsi="Times New Roman" w:cs="Times New Roman"/>
          <w:i/>
          <w:sz w:val="24"/>
          <w:szCs w:val="24"/>
          <w:vertAlign w:val="superscript"/>
          <w:lang w:val="en-GB"/>
        </w:rPr>
        <w:t>1/2</w:t>
      </w:r>
      <w:r w:rsidRPr="00610042">
        <w:rPr>
          <w:rFonts w:ascii="Times New Roman" w:hAnsi="Times New Roman" w:cs="Times New Roman"/>
          <w:sz w:val="24"/>
          <w:szCs w:val="24"/>
          <w:lang w:val="en-GB"/>
        </w:rPr>
        <w:t xml:space="preserve">, which is negligible, indicating that the use of solvent does not affect the thermal properties of UPR. The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oMath>
      <w:r w:rsidRPr="00610042">
        <w:rPr>
          <w:rFonts w:ascii="Times New Roman" w:hAnsi="Times New Roman" w:cs="Times New Roman"/>
          <w:sz w:val="24"/>
          <w:szCs w:val="24"/>
          <w:lang w:val="en-GB"/>
        </w:rPr>
        <w:t xml:space="preserve"> of UPR/rGO composites are very similar to that of neat UPR, except 0.05 wt.% and 1.0 wt.% composites which </w:t>
      </w:r>
      <w:r w:rsidR="00013417">
        <w:rPr>
          <w:rFonts w:ascii="Times New Roman" w:hAnsi="Times New Roman" w:cs="Times New Roman"/>
          <w:sz w:val="24"/>
          <w:szCs w:val="24"/>
          <w:lang w:val="en-GB"/>
        </w:rPr>
        <w:t>are</w:t>
      </w:r>
      <w:r w:rsidR="00013417" w:rsidRPr="00610042">
        <w:rPr>
          <w:rFonts w:ascii="Times New Roman" w:hAnsi="Times New Roman" w:cs="Times New Roman"/>
          <w:sz w:val="24"/>
          <w:szCs w:val="24"/>
          <w:lang w:val="en-GB"/>
        </w:rPr>
        <w:t xml:space="preserve"> </w:t>
      </w:r>
      <w:r w:rsidRPr="00610042">
        <w:rPr>
          <w:rFonts w:ascii="Times New Roman" w:hAnsi="Times New Roman" w:cs="Times New Roman"/>
          <w:sz w:val="24"/>
          <w:szCs w:val="24"/>
          <w:lang w:val="en-GB"/>
        </w:rPr>
        <w:t xml:space="preserve">7 °C lower, and 6 °C higher over UPR, respectively. As aforementioned reasons, the addition of rGO reduces </w:t>
      </w:r>
      <w:r w:rsidR="00211DEA">
        <w:rPr>
          <w:rFonts w:ascii="Times New Roman" w:hAnsi="Times New Roman" w:cs="Times New Roman"/>
          <w:sz w:val="24"/>
          <w:szCs w:val="24"/>
          <w:lang w:val="en-GB"/>
        </w:rPr>
        <w:t>the amount of styrene monomers for polymerization with polymer chains,</w:t>
      </w:r>
      <w:r w:rsidRPr="00610042">
        <w:rPr>
          <w:rFonts w:ascii="Times New Roman" w:hAnsi="Times New Roman" w:cs="Times New Roman"/>
          <w:sz w:val="24"/>
          <w:szCs w:val="24"/>
          <w:lang w:val="en-GB"/>
        </w:rPr>
        <w:t xml:space="preserve"> resulting in a reduced crosslinking density </w:t>
      </w:r>
      <w:r w:rsidRPr="00610042">
        <w:rPr>
          <w:rFonts w:ascii="Times New Roman" w:hAnsi="Times New Roman" w:cs="Times New Roman"/>
          <w:sz w:val="24"/>
          <w:szCs w:val="24"/>
          <w:lang w:val="en-GB"/>
        </w:rPr>
        <w:fldChar w:fldCharType="begin" w:fldLock="1"/>
      </w:r>
      <w:r w:rsidR="0076089E">
        <w:rPr>
          <w:rFonts w:ascii="Times New Roman" w:hAnsi="Times New Roman" w:cs="Times New Roman"/>
          <w:sz w:val="24"/>
          <w:szCs w:val="24"/>
          <w:lang w:val="en-GB"/>
        </w:rPr>
        <w:instrText>ADDIN CSL_CITATION { "citationItems" : [ { "id" : "ITEM-1", "itemData" : { "DOI" : "10.1039/c3ra40404h", "ISSN" : "2046-2069", "author" : [ { "dropping-particle" : "", "family" : "Lu", "given" : "Shaorong", "non-dropping-particle" : "", "parse-names" : false, "suffix" : "" }, { "dropping-particle" : "", "family" : "Li", "given" : "Shanrong", "non-dropping-particle" : "", "parse-names" : false, "suffix" : "" }, { "dropping-particle" : "", "family" : "Yu", "given" : "Jinhong", "non-dropping-particle" : "", "parse-names" : false, "suffix" : "" }, { "dropping-particle" : "", "family" : "Yuan", "given" : "Zhengkai", "non-dropping-particle" : "", "parse-names" : false, "suffix" : "" }, { "dropping-particle" : "", "family" : "Qi", "given" : "Bo", "non-dropping-particle" : "", "parse-names" : false, "suffix" : "" } ], "container-title" : "RSC Advances", "id" : "ITEM-1", "issue" : "23", "issued" : { "date-parts" : [ [ "2013" ] ] }, "page" : "8915", "title" : "Epoxy nanocomposites filled with thermotropic liquid crystalline epoxy grafted graphene oxide", "type" : "article-journal", "volume" : "3" }, "uris" : [ "http://www.mendeley.com/documents/?uuid=3d09d460-662e-4b88-952f-edc4ffb14263" ] }, { "id" : "ITEM-2", "itemData" : { "DOI" : "10.1021/ie200152x", "ISBN" : "- 0888-5885", "ISSN" : "08885885", "abstract" : "Starting from expandable graphite (EG), graphene, graphite oxide (GO) and organic phosphate functionalized graphite oxide (FGO) were prepared and incorporated into epoxy resin (EP) matrix via in-situ polymerization to prepare EP based composites. The structure of the composites is characterized by transmission electron microscopy to show good dispersion without large aggregates. The thermal behavior investigated by thermogravimetric analysis indicating the EP/graphene composites show the highest onset temperature and maximum weight loss temperature compared with those added with GO and FGO. The flame retardant properties investigated by micro combustion calorimeter illustrate that both EP/Graphene and EP/FGO composites perform better than EP/GO composites in flame retardant properties with a maximum reduction of 23.7% in peak-heat release rate when containing 5wt% FGO and a maximum reduction of 43.9% at 5wt% loading of graphene. This study represents a new approach to prepare functionalized GO with flame retardant elements to improve the flame retardancy of polymer and gives a way of application of graphene in enhancing thermal stabilities of polymer.", "author" : [ { "dropping-particle" : "", "family" : "Guo", "given" : "Yuqiang", "non-dropping-particle" : "", "parse-names" : false, "suffix" : "" }, { "dropping-particle" : "", "family" : "Bao", "given" : "Chenlu", "non-dropping-particle" : "", "parse-names" : false, "suffix" : "" }, { "dropping-particle" : "", "family" : "Song", "given" : "Lei", "non-dropping-particle" : "", "parse-names" : false, "suffix" : "" }, { "dropping-particle" : "", "family" : "Yuan", "given" : "Bihe", "non-dropping-particle" : "", "parse-names" : false, "suffix" : "" }, { "dropping-particle" : "", "family" : "Hu", "given" : "Yuan", "non-dropping-particle" : "", "parse-names" : false, "suffix" : "" } ], "container-title" : "Industrial and Engineering Chemistry Research", "id" : "ITEM-2", "issue" : "13", "issued" : { "date-parts" : [ [ "2011" ] ] }, "page" : "7772-7783", "title" : "In situ polymerization of graphene, graphite oxide, and functionalized graphite oxide into epoxy resin and comparison study of on-the-flame behavior", "type" : "article-journal", "volume" : "50" }, "uris" : [ "http://www.mendeley.com/documents/?uuid=a1caa31d-331e-4240-afa1-e8d8d59f2577" ] } ], "mendeley" : { "formattedCitation" : "[213,214]", "plainTextFormattedCitation" : "[213,214]", "previouslyFormattedCitation" : "[213,214]" }, "properties" : {  }, "schema" : "https://github.com/citation-style-language/schema/raw/master/csl-citation.json" }</w:instrText>
      </w:r>
      <w:r w:rsidRPr="00610042">
        <w:rPr>
          <w:rFonts w:ascii="Times New Roman" w:hAnsi="Times New Roman" w:cs="Times New Roman"/>
          <w:sz w:val="24"/>
          <w:szCs w:val="24"/>
          <w:lang w:val="en-GB"/>
        </w:rPr>
        <w:fldChar w:fldCharType="separate"/>
      </w:r>
      <w:r w:rsidR="0076089E" w:rsidRPr="0076089E">
        <w:rPr>
          <w:rFonts w:ascii="Times New Roman" w:hAnsi="Times New Roman" w:cs="Times New Roman"/>
          <w:noProof/>
          <w:sz w:val="24"/>
          <w:szCs w:val="24"/>
          <w:lang w:val="en-GB"/>
        </w:rPr>
        <w:t>[213,214]</w:t>
      </w:r>
      <w:r w:rsidRPr="00610042">
        <w:rPr>
          <w:rFonts w:ascii="Times New Roman" w:hAnsi="Times New Roman" w:cs="Times New Roman"/>
          <w:sz w:val="24"/>
          <w:szCs w:val="24"/>
          <w:lang w:val="en-GB"/>
        </w:rPr>
        <w:fldChar w:fldCharType="end"/>
      </w:r>
      <w:r w:rsidRPr="00610042">
        <w:rPr>
          <w:rFonts w:ascii="Times New Roman" w:hAnsi="Times New Roman" w:cs="Times New Roman"/>
          <w:sz w:val="24"/>
          <w:szCs w:val="24"/>
          <w:lang w:val="en-GB"/>
        </w:rPr>
        <w:t>. Therefore, 0.05 wt.% of UPR/rGO composite shows a slightly decrease on the.</w:t>
      </w:r>
      <m:oMath>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oMath>
      <w:r w:rsidRPr="00610042">
        <w:rPr>
          <w:rFonts w:ascii="Times New Roman" w:hAnsi="Times New Roman" w:cs="Times New Roman"/>
          <w:sz w:val="24"/>
          <w:szCs w:val="24"/>
          <w:lang w:val="en-GB"/>
        </w:rPr>
        <w:t xml:space="preserve"> When the rGO loading reaches 1.0 wt.%, the number of reactive </w:t>
      </w:r>
      <w:r w:rsidR="00211DEA">
        <w:rPr>
          <w:rFonts w:ascii="Times New Roman" w:hAnsi="Times New Roman" w:cs="Times New Roman"/>
          <w:sz w:val="24"/>
          <w:szCs w:val="24"/>
          <w:lang w:val="en-GB"/>
        </w:rPr>
        <w:t xml:space="preserve">styrene monomers </w:t>
      </w:r>
      <w:r w:rsidRPr="00610042">
        <w:rPr>
          <w:rFonts w:ascii="Times New Roman" w:hAnsi="Times New Roman" w:cs="Times New Roman"/>
          <w:sz w:val="24"/>
          <w:szCs w:val="24"/>
          <w:lang w:val="en-GB"/>
        </w:rPr>
        <w:t xml:space="preserve">for polymerization is increased due to the reduced specific surface area of rGO caused by aggregation of rGO at higher concentration. Therefore,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oMath>
      <w:r w:rsidRPr="00610042">
        <w:rPr>
          <w:rFonts w:ascii="Times New Roman" w:hAnsi="Times New Roman" w:cs="Times New Roman"/>
          <w:sz w:val="24"/>
          <w:szCs w:val="24"/>
          <w:lang w:val="en-GB"/>
        </w:rPr>
        <w:t xml:space="preserve"> at 1.0 wt.% is improved over UPR. Slightly decreases of both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Pr="00610042">
        <w:rPr>
          <w:rFonts w:ascii="Times New Roman" w:hAnsi="Times New Roman" w:cs="Times New Roman"/>
          <w:sz w:val="24"/>
          <w:szCs w:val="24"/>
          <w:lang w:val="en-GB"/>
        </w:rPr>
        <w:t xml:space="preserve"> and </w:t>
      </w:r>
      <w:r w:rsidR="00B50056" w:rsidRPr="00610042">
        <w:rPr>
          <w:rFonts w:ascii="Times New Roman" w:hAnsi="Times New Roman" w:cs="Times New Roman"/>
          <w:i/>
          <w:sz w:val="24"/>
          <w:szCs w:val="24"/>
          <w:lang w:val="en-GB"/>
        </w:rPr>
        <w:t>T</w:t>
      </w:r>
      <w:r w:rsidR="00B50056" w:rsidRPr="00610042">
        <w:rPr>
          <w:rFonts w:ascii="Times New Roman" w:hAnsi="Times New Roman" w:cs="Times New Roman"/>
          <w:i/>
          <w:sz w:val="24"/>
          <w:szCs w:val="24"/>
          <w:vertAlign w:val="subscript"/>
          <w:lang w:val="en-GB"/>
        </w:rPr>
        <w:t>d</w:t>
      </w:r>
      <w:r w:rsidR="00B50056" w:rsidRPr="00610042">
        <w:rPr>
          <w:rFonts w:ascii="Times New Roman" w:hAnsi="Times New Roman" w:cs="Times New Roman"/>
          <w:i/>
          <w:sz w:val="24"/>
          <w:szCs w:val="24"/>
          <w:vertAlign w:val="superscript"/>
          <w:lang w:val="en-GB"/>
        </w:rPr>
        <w:t>1/2</w:t>
      </w:r>
      <w:r w:rsidR="00B50056">
        <w:rPr>
          <w:rFonts w:ascii="Times New Roman" w:hAnsi="Times New Roman" w:cs="Times New Roman"/>
          <w:i/>
          <w:sz w:val="24"/>
          <w:szCs w:val="24"/>
          <w:vertAlign w:val="superscript"/>
          <w:lang w:val="en-GB"/>
        </w:rPr>
        <w:t xml:space="preserve"> </w:t>
      </w:r>
      <w:r w:rsidRPr="00610042">
        <w:rPr>
          <w:rFonts w:ascii="Times New Roman" w:hAnsi="Times New Roman" w:cs="Times New Roman"/>
          <w:sz w:val="24"/>
          <w:szCs w:val="24"/>
          <w:lang w:val="en-GB"/>
        </w:rPr>
        <w:t>of UPR/rGO composites are observed over neat UPR, and the lowest values (</w:t>
      </w:r>
      <w:r w:rsidRPr="00610042">
        <w:rPr>
          <w:rFonts w:ascii="Times New Roman" w:hAnsi="Times New Roman" w:cs="Times New Roman"/>
          <w:sz w:val="24"/>
          <w:szCs w:val="24"/>
        </w:rPr>
        <w:t xml:space="preserve">413 °C for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Pr="00610042">
        <w:rPr>
          <w:rFonts w:ascii="Times New Roman" w:hAnsi="Times New Roman" w:cs="Times New Roman"/>
          <w:sz w:val="24"/>
          <w:szCs w:val="24"/>
        </w:rPr>
        <w:t xml:space="preserve">, and 405 °C for </w:t>
      </w:r>
      <w:r w:rsidR="00B50056" w:rsidRPr="00610042">
        <w:rPr>
          <w:rFonts w:ascii="Times New Roman" w:hAnsi="Times New Roman" w:cs="Times New Roman"/>
          <w:i/>
          <w:sz w:val="24"/>
          <w:szCs w:val="24"/>
          <w:lang w:val="en-GB"/>
        </w:rPr>
        <w:t>T</w:t>
      </w:r>
      <w:r w:rsidR="00B50056" w:rsidRPr="00610042">
        <w:rPr>
          <w:rFonts w:ascii="Times New Roman" w:hAnsi="Times New Roman" w:cs="Times New Roman"/>
          <w:i/>
          <w:sz w:val="24"/>
          <w:szCs w:val="24"/>
          <w:vertAlign w:val="subscript"/>
          <w:lang w:val="en-GB"/>
        </w:rPr>
        <w:t>d</w:t>
      </w:r>
      <w:r w:rsidR="00B50056" w:rsidRPr="00610042">
        <w:rPr>
          <w:rFonts w:ascii="Times New Roman" w:hAnsi="Times New Roman" w:cs="Times New Roman"/>
          <w:i/>
          <w:sz w:val="24"/>
          <w:szCs w:val="24"/>
          <w:vertAlign w:val="superscript"/>
          <w:lang w:val="en-GB"/>
        </w:rPr>
        <w:t>1/2</w:t>
      </w:r>
      <w:r w:rsidR="00B50056">
        <w:rPr>
          <w:rFonts w:ascii="Times New Roman" w:hAnsi="Times New Roman" w:cs="Times New Roman"/>
          <w:sz w:val="24"/>
          <w:szCs w:val="24"/>
        </w:rPr>
        <w:t>) are</w:t>
      </w:r>
      <w:r w:rsidRPr="00610042">
        <w:rPr>
          <w:rFonts w:ascii="Times New Roman" w:hAnsi="Times New Roman" w:cs="Times New Roman"/>
          <w:sz w:val="24"/>
          <w:szCs w:val="24"/>
        </w:rPr>
        <w:t xml:space="preserve"> observed at 0.5 wt.%, which are 413 °C, and 405 °C respectively, which is 6 °C and 8 °C lower compared to UPR. These slightly decreases are presumably due to the addition of rGO particles which would limit the formation of polymer network, resulting in some changes on the thermal behavior </w:t>
      </w:r>
      <w:r w:rsidRPr="0061004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"10.1021/ie200152x", "ISBN" : "- 0888-5885", "ISSN" : "08885885", "abstract" : "Starting from expandable graphite (EG), graphene, graphite oxide (GO) and organic phosphate functionalized graphite oxide (FGO) were prepared and incorporated into epoxy resin (EP) matrix via in-situ polymerization to prepare EP based composites. The structure of the composites is characterized by transmission electron microscopy to show good dispersion without large aggregates. The thermal behavior investigated by thermogravimetric analysis indicating the EP/graphene composites show the highest onset temperature and maximum weight loss temperature compared with those added with GO and FGO. The flame retardant properties investigated by micro combustion calorimeter illustrate that both EP/Graphene and EP/FGO composites perform better than EP/GO composites in flame retardant properties with a maximum reduction of 23.7% in peak-heat release rate when containing 5wt% FGO and a maximum reduction of 43.9% at 5wt% loading of graphene. This study represents a new approach to prepare functionalized GO with flame retardant elements to improve the flame retardancy of polymer and gives a way of application of graphene in enhancing thermal stabilities of polymer.", "author" : [ { "dropping-particle" : "", "family" : "Guo", "given" : "Yuqiang", "non-dropping-particle" : "", "parse-names" : false, "suffix" : "" }, { "dropping-particle" : "", "family" : "Bao", "given" : "Chenlu", "non-dropping-particle" : "", "parse-names" : false, "suffix" : "" }, { "dropping-particle" : "", "family" : "Song", "given" : "Lei", "non-dropping-particle" : "", "parse-names" : false, "suffix" : "" }, { "dropping-particle" : "", "family" : "Yuan", "given" : "Bihe", "non-dropping-particle" : "", "parse-names" : false, "suffix" : "" }, { "dropping-particle" : "", "family" : "Hu", "given" : "Yuan", "non-dropping-particle" : "", "parse-names" : false, "suffix" : "" } ], "container-title" : "Industrial and Engineering Chemistry Research", "id" : "ITEM-1", "issue" : "13", "issued" : { "date-parts" : [ [ "2011" ] ] }, "page" : "7772-7783", "title" : "In situ polymerization of graphene, graphite oxide, and functionalized graphite oxide into epoxy resin and comparison study of on-the-flame behavior", "type" : "article-journal", "volume" : "50" }, "uris" : [ "http://www.mendeley.com/documents/?uuid=a1caa31d-331e-4240-afa1-e8d8d59f2577" ] } ], "mendeley" : { "formattedCitation" : "[214]", "plainTextFormattedCitation" : "[214]", "previouslyFormattedCitation" : "[214]" }, "properties" : {  }, "schema" : "https://github.com/citation-style-language/schema/raw/master/csl-citation.json" }</w:instrText>
      </w:r>
      <w:r w:rsidRPr="0061004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[214]</w:t>
      </w:r>
      <w:r w:rsidRPr="00610042">
        <w:rPr>
          <w:rFonts w:ascii="Times New Roman" w:hAnsi="Times New Roman" w:cs="Times New Roman"/>
          <w:sz w:val="24"/>
          <w:szCs w:val="24"/>
        </w:rPr>
        <w:fldChar w:fldCharType="end"/>
      </w:r>
      <w:r w:rsidRPr="00610042">
        <w:rPr>
          <w:rFonts w:ascii="Times New Roman" w:hAnsi="Times New Roman" w:cs="Times New Roman"/>
          <w:sz w:val="24"/>
          <w:szCs w:val="24"/>
        </w:rPr>
        <w:t xml:space="preserve">. The char yields of UPR/rGO composites are improved over UPR. The highest value of 6.82% occurs at 0.05 wt.%, which is 37.5% improvement over UPR. This might because </w:t>
      </w:r>
      <w:r w:rsidR="00211DEA">
        <w:rPr>
          <w:rFonts w:ascii="Times New Roman" w:hAnsi="Times New Roman" w:cs="Times New Roman"/>
          <w:sz w:val="24"/>
          <w:szCs w:val="24"/>
        </w:rPr>
        <w:t>rGO sheets forms barriers on the surface of polymer chains during the TGA analysis. Therefore, the combustible molecules cannot go out, and oxygen can’t go in, re</w:t>
      </w:r>
      <w:r w:rsidR="00EE1B27">
        <w:rPr>
          <w:rFonts w:ascii="Times New Roman" w:hAnsi="Times New Roman" w:cs="Times New Roman"/>
          <w:sz w:val="24"/>
          <w:szCs w:val="24"/>
        </w:rPr>
        <w:t xml:space="preserve">sulting in a higher char yield </w:t>
      </w:r>
      <w:r w:rsidR="00EE1B27" w:rsidRPr="00EE1B27">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"10.1021/ie200152x", "ISBN" : "- 0888-5885", "ISSN" : "08885885", "abstract" : "Starting from expandable graphite (EG), graphene, graphite oxide (GO) and organic phosphate functionalized graphite oxide (FGO) were prepared and incorporated into epoxy resin (EP) matrix via in-situ polymerization to prepare EP based composites. The structure of the composites is characterized by transmission electron microscopy to show good dispersion without large aggregates. The thermal behavior investigated by thermogravimetric analysis indicating the EP/graphene composites show the highest onset temperature and maximum weight loss temperature compared with those added with GO and FGO. The flame retardant properties investigated by micro combustion calorimeter illustrate that both EP/Graphene and EP/FGO composites perform better than EP/GO composites in flame retardant properties with a maximum reduction of 23.7% in peak-heat release rate when containing 5wt% FGO and a maximum reduction of 43.9% at 5wt% loading of graphene. This study represents a new approach to prepare functionalized GO with flame retardant elements to improve the flame retardancy of polymer and gives a way of application of graphene in enhancing thermal stabilities of polymer.", "author" : [ { "dropping-particle" : "", "family" : "Guo", "given" : "Yuqiang", "non-dropping-particle" : "", "parse-names" : false, "suffix" : "" }, { "dropping-particle" : "", "family" : "Bao", "given" : "Chenlu", "non-dropping-particle" : "", "parse-names" : false, "suffix" : "" }, { "dropping-particle" : "", "family" : "Song", "given" : "Lei", "non-dropping-particle" : "", "parse-names" : false, "suffix" : "" }, { "dropping-particle" : "", "family" : "Yuan", "given" : "Bihe", "non-dropping-particle" : "", "parse-names" : false, "suffix" : "" }, { "dropping-particle" : "", "family" : "Hu", "given" : "Yuan", "non-dropping-particle" : "", "parse-names" : false, "suffix" : "" } ], "container-title" : "Industrial and Engineering Chemistry Research", "id" : "ITEM-1", "issue" : "13", "issued" : { "date-parts" : [ [ "2011" ] ] }, "page" : "7772-7783", "title" : "In situ polymerization of graphene, graphite oxide, and functionalized graphite oxide into epoxy resin and comparison study of on-the-flame behavior", "type" : "article-journal", "volume" : "50" }, "uris" : [ "http://www.mendeley.com/documents/?uuid=a1caa31d-331e-4240-afa1-e8d8d59f2577" ] } ], "mendeley" : { "formattedCitation" : "[214]", "plainTextFormattedCitation" : "[214]", "previouslyFormattedCitation" : "[214]" }, "properties" : {  }, "schema" : "https://github.com/citation-style-language/schema/raw/master/csl-citation.json" }</w:instrText>
      </w:r>
      <w:r w:rsidR="00EE1B27" w:rsidRPr="00EE1B27">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[214]</w:t>
      </w:r>
      <w:r w:rsidR="00EE1B27" w:rsidRPr="00EE1B27">
        <w:rPr>
          <w:rFonts w:ascii="Times New Roman" w:hAnsi="Times New Roman" w:cs="Times New Roman"/>
          <w:sz w:val="24"/>
          <w:szCs w:val="24"/>
        </w:rPr>
        <w:fldChar w:fldCharType="end"/>
      </w:r>
      <w:r w:rsidR="00EE1B27" w:rsidRPr="00EE1B27">
        <w:rPr>
          <w:rFonts w:ascii="Times New Roman" w:hAnsi="Times New Roman" w:cs="Times New Roman"/>
          <w:sz w:val="24"/>
          <w:szCs w:val="24"/>
        </w:rPr>
        <w:t>.</w:t>
      </w:r>
    </w:p>
    <w:p w14:paraId="07B3AF2F" w14:textId="77777777" w:rsidR="007331C7" w:rsidRPr="001A5452" w:rsidRDefault="007331C7" w:rsidP="00EE1B27">
      <w:pPr>
        <w:spacing w:after="0" w:line="480" w:lineRule="auto"/>
        <w:jc w:val="both"/>
        <w:rPr>
          <w:rFonts w:ascii="Times New Roman" w:hAnsi="Times New Roman" w:cs="Times New Roman"/>
          <w:sz w:val="24"/>
          <w:szCs w:val="24"/>
          <w:lang w:val="en-GB"/>
        </w:rPr>
      </w:pPr>
    </w:p>
    <w:p w14:paraId="0D197CD3" w14:textId="77777777" w:rsidR="007E4AF6" w:rsidRPr="001A5452" w:rsidRDefault="007E4AF6" w:rsidP="00EC3BE6">
      <w:pPr>
        <w:spacing w:after="0"/>
        <w:ind w:hanging="851"/>
        <w:jc w:val="center"/>
        <w:rPr>
          <w:rFonts w:ascii="Times New Roman" w:hAnsi="Times New Roman" w:cs="Times New Roman"/>
        </w:rPr>
      </w:pPr>
      <w:r w:rsidRPr="001A5452">
        <w:rPr>
          <w:rFonts w:ascii="Times New Roman" w:hAnsi="Times New Roman" w:cs="Times New Roman"/>
          <w:noProof/>
          <w:lang w:val="en-GB"/>
        </w:rPr>
        <w:drawing>
          <wp:inline distT="0" distB="0" distL="0" distR="0" wp14:anchorId="03186147" wp14:editId="6541D8A5">
            <wp:extent cx="6753225" cy="266997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774743" cy="2678481"/>
                    </a:xfrm>
                    <a:prstGeom prst="rect">
                      <a:avLst/>
                    </a:prstGeom>
                    <a:noFill/>
                  </pic:spPr>
                </pic:pic>
              </a:graphicData>
            </a:graphic>
          </wp:inline>
        </w:drawing>
      </w:r>
    </w:p>
    <w:p w14:paraId="25D66759" w14:textId="1F198C79" w:rsidR="007E4AF6" w:rsidRDefault="007331C7" w:rsidP="00EC3BE6">
      <w:pPr>
        <w:pStyle w:val="Caption"/>
        <w:ind w:firstLine="0"/>
        <w:rPr>
          <w:rFonts w:cs="Times New Roman"/>
          <w:szCs w:val="24"/>
        </w:rPr>
      </w:pPr>
      <w:bookmarkStart w:id="152" w:name="_Toc502662476"/>
      <w:r>
        <w:t>Figure 4</w:t>
      </w:r>
      <w:r w:rsidR="00B527F6">
        <w:t>.</w:t>
      </w:r>
      <w:r w:rsidR="00EC3BE6">
        <w:fldChar w:fldCharType="begin"/>
      </w:r>
      <w:r w:rsidR="00EC3BE6">
        <w:instrText xml:space="preserve"> SEQ Figure_4. \* ARABIC </w:instrText>
      </w:r>
      <w:r w:rsidR="00EC3BE6">
        <w:fldChar w:fldCharType="separate"/>
      </w:r>
      <w:r w:rsidR="00551ED9">
        <w:rPr>
          <w:noProof/>
        </w:rPr>
        <w:t>10</w:t>
      </w:r>
      <w:r w:rsidR="00EC3BE6">
        <w:fldChar w:fldCharType="end"/>
      </w:r>
      <w:r w:rsidR="007E4AF6" w:rsidRPr="001A5452">
        <w:rPr>
          <w:rFonts w:cs="Times New Roman"/>
          <w:b w:val="0"/>
          <w:szCs w:val="24"/>
        </w:rPr>
        <w:t xml:space="preserve">. </w:t>
      </w:r>
      <w:r w:rsidR="007E4AF6" w:rsidRPr="001A5452">
        <w:rPr>
          <w:rFonts w:cs="Times New Roman"/>
          <w:szCs w:val="24"/>
        </w:rPr>
        <w:t>Thermal properties of UPR and UPR/rGO composites: (a) TGA and (b) DTG.</w:t>
      </w:r>
      <w:bookmarkEnd w:id="152"/>
    </w:p>
    <w:p w14:paraId="7A37D16E" w14:textId="690B8C40" w:rsidR="00EE1B27" w:rsidRDefault="00EE1B27" w:rsidP="007E4AF6">
      <w:pPr>
        <w:spacing w:after="0"/>
        <w:jc w:val="center"/>
        <w:rPr>
          <w:rFonts w:ascii="Times New Roman" w:hAnsi="Times New Roman" w:cs="Times New Roman"/>
          <w:sz w:val="24"/>
          <w:szCs w:val="24"/>
        </w:rPr>
      </w:pPr>
    </w:p>
    <w:p w14:paraId="7B1069DC" w14:textId="158E29F0" w:rsidR="007331C7" w:rsidRDefault="007331C7" w:rsidP="007E4AF6">
      <w:pPr>
        <w:spacing w:after="0"/>
        <w:jc w:val="center"/>
        <w:rPr>
          <w:rFonts w:ascii="Times New Roman" w:hAnsi="Times New Roman" w:cs="Times New Roman"/>
          <w:sz w:val="24"/>
          <w:szCs w:val="24"/>
        </w:rPr>
      </w:pPr>
    </w:p>
    <w:p w14:paraId="09EBA0AD" w14:textId="3886BEA6" w:rsidR="007331C7" w:rsidRDefault="007331C7" w:rsidP="007E4AF6">
      <w:pPr>
        <w:spacing w:after="0"/>
        <w:jc w:val="center"/>
        <w:rPr>
          <w:rFonts w:ascii="Times New Roman" w:hAnsi="Times New Roman" w:cs="Times New Roman"/>
          <w:sz w:val="24"/>
          <w:szCs w:val="24"/>
        </w:rPr>
      </w:pPr>
    </w:p>
    <w:p w14:paraId="244CB0DC" w14:textId="04F6AEB5" w:rsidR="007331C7" w:rsidRDefault="007331C7" w:rsidP="007E4AF6">
      <w:pPr>
        <w:spacing w:after="0"/>
        <w:jc w:val="center"/>
        <w:rPr>
          <w:rFonts w:ascii="Times New Roman" w:hAnsi="Times New Roman" w:cs="Times New Roman"/>
          <w:sz w:val="24"/>
          <w:szCs w:val="24"/>
        </w:rPr>
      </w:pPr>
    </w:p>
    <w:p w14:paraId="2A16B256" w14:textId="343C194B" w:rsidR="007E4AF6" w:rsidRPr="001A5452" w:rsidRDefault="00EC3BE6" w:rsidP="00EC3BE6">
      <w:pPr>
        <w:pStyle w:val="Caption"/>
        <w:ind w:firstLine="0"/>
        <w:rPr>
          <w:rFonts w:cs="Times New Roman"/>
          <w:szCs w:val="24"/>
        </w:rPr>
      </w:pPr>
      <w:bookmarkStart w:id="153" w:name="_Toc518823490"/>
      <w:r>
        <w:t>Tab</w:t>
      </w:r>
      <w:r w:rsidR="007331C7">
        <w:t>le 4</w:t>
      </w:r>
      <w:r w:rsidR="00B527F6">
        <w:t>.</w:t>
      </w:r>
      <w:r>
        <w:fldChar w:fldCharType="begin"/>
      </w:r>
      <w:r>
        <w:instrText xml:space="preserve"> SEQ Table_4. \* ARABIC </w:instrText>
      </w:r>
      <w:r>
        <w:fldChar w:fldCharType="separate"/>
      </w:r>
      <w:r w:rsidR="00551ED9">
        <w:rPr>
          <w:noProof/>
        </w:rPr>
        <w:t>6</w:t>
      </w:r>
      <w:r>
        <w:fldChar w:fldCharType="end"/>
      </w:r>
      <w:r w:rsidR="002B0B54">
        <w:rPr>
          <w:rFonts w:cs="Times New Roman" w:hint="eastAsia"/>
          <w:b w:val="0"/>
          <w:szCs w:val="24"/>
        </w:rPr>
        <w:t>.</w:t>
      </w:r>
      <w:r w:rsidR="007E4AF6" w:rsidRPr="001A5452">
        <w:rPr>
          <w:rFonts w:cs="Times New Roman"/>
          <w:b w:val="0"/>
          <w:szCs w:val="24"/>
        </w:rPr>
        <w:t xml:space="preserve"> </w:t>
      </w:r>
      <w:r w:rsidR="007E4AF6" w:rsidRPr="001A5452">
        <w:rPr>
          <w:rFonts w:cs="Times New Roman"/>
          <w:szCs w:val="24"/>
        </w:rPr>
        <w:t xml:space="preserve">Thermal </w:t>
      </w:r>
      <w:r w:rsidR="00685F1C">
        <w:rPr>
          <w:rFonts w:cs="Times New Roman"/>
          <w:szCs w:val="24"/>
        </w:rPr>
        <w:t>stability</w:t>
      </w:r>
      <w:r w:rsidR="007E4AF6" w:rsidRPr="001A5452">
        <w:rPr>
          <w:rFonts w:cs="Times New Roman"/>
          <w:szCs w:val="24"/>
        </w:rPr>
        <w:t xml:space="preserve"> of UPR, and UPR/rGO composites.</w:t>
      </w:r>
      <w:bookmarkEnd w:id="153"/>
    </w:p>
    <w:tbl>
      <w:tblPr>
        <w:tblStyle w:val="TableGrid"/>
        <w:tblW w:w="872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525"/>
        <w:gridCol w:w="1800"/>
        <w:gridCol w:w="1625"/>
        <w:gridCol w:w="1525"/>
        <w:gridCol w:w="2250"/>
      </w:tblGrid>
      <w:tr w:rsidR="007E4AF6" w:rsidRPr="001A5452" w14:paraId="06633851" w14:textId="77777777" w:rsidTr="00D47B0A">
        <w:tc>
          <w:tcPr>
            <w:tcW w:w="1525" w:type="dxa"/>
            <w:tcBorders>
              <w:left w:val="nil"/>
              <w:bottom w:val="single" w:sz="12" w:space="0" w:color="auto"/>
              <w:right w:val="nil"/>
            </w:tcBorders>
            <w:vAlign w:val="center"/>
          </w:tcPr>
          <w:p w14:paraId="43C4632F"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Samples</w:t>
            </w:r>
          </w:p>
        </w:tc>
        <w:tc>
          <w:tcPr>
            <w:tcW w:w="1800" w:type="dxa"/>
            <w:tcBorders>
              <w:left w:val="nil"/>
              <w:bottom w:val="single" w:sz="12" w:space="0" w:color="auto"/>
              <w:right w:val="nil"/>
            </w:tcBorders>
            <w:vAlign w:val="center"/>
          </w:tcPr>
          <w:p w14:paraId="601DE906" w14:textId="77777777" w:rsidR="007E4AF6" w:rsidRPr="001A5452" w:rsidRDefault="00B72F48" w:rsidP="00314423">
            <w:pPr>
              <w:spacing w:line="360" w:lineRule="auto"/>
              <w:jc w:val="center"/>
              <w:rPr>
                <w:rFonts w:ascii="Times New Roman" w:hAnsi="Times New Roman" w:cs="Times New Roman"/>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r>
                <w:rPr>
                  <w:rFonts w:ascii="Cambria Math" w:hAnsi="Cambria Math" w:cs="Times New Roman"/>
                  <w:sz w:val="24"/>
                  <w:szCs w:val="24"/>
                </w:rPr>
                <m:t xml:space="preserve"> </m:t>
              </m:r>
            </m:oMath>
            <w:r w:rsidR="007E4AF6" w:rsidRPr="001A5452">
              <w:rPr>
                <w:rFonts w:ascii="Times New Roman" w:hAnsi="Times New Roman" w:cs="Times New Roman"/>
                <w:szCs w:val="24"/>
              </w:rPr>
              <w:t>/  °C</w:t>
            </w:r>
          </w:p>
        </w:tc>
        <w:tc>
          <w:tcPr>
            <w:tcW w:w="1625" w:type="dxa"/>
            <w:tcBorders>
              <w:left w:val="nil"/>
              <w:bottom w:val="single" w:sz="12" w:space="0" w:color="auto"/>
              <w:right w:val="nil"/>
            </w:tcBorders>
            <w:vAlign w:val="center"/>
          </w:tcPr>
          <w:p w14:paraId="76817B0B" w14:textId="77777777" w:rsidR="007E4AF6" w:rsidRPr="001A5452" w:rsidRDefault="00B72F48" w:rsidP="00314423">
            <w:pPr>
              <w:spacing w:line="360" w:lineRule="auto"/>
              <w:jc w:val="center"/>
              <w:rPr>
                <w:rFonts w:ascii="Times New Roman" w:hAnsi="Times New Roman" w:cs="Times New Roman"/>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007E4AF6" w:rsidRPr="001A5452">
              <w:rPr>
                <w:rFonts w:ascii="Times New Roman" w:hAnsi="Times New Roman" w:cs="Times New Roman"/>
                <w:szCs w:val="24"/>
              </w:rPr>
              <w:t xml:space="preserve"> / °C</w:t>
            </w:r>
          </w:p>
        </w:tc>
        <w:tc>
          <w:tcPr>
            <w:tcW w:w="1525" w:type="dxa"/>
            <w:tcBorders>
              <w:left w:val="nil"/>
              <w:bottom w:val="single" w:sz="12" w:space="0" w:color="auto"/>
              <w:right w:val="nil"/>
            </w:tcBorders>
            <w:vAlign w:val="center"/>
          </w:tcPr>
          <w:p w14:paraId="605A5C77" w14:textId="0BE3B108" w:rsidR="007E4AF6" w:rsidRPr="001A5452" w:rsidRDefault="00B72F48" w:rsidP="00314423">
            <w:pPr>
              <w:spacing w:line="360" w:lineRule="auto"/>
              <w:jc w:val="center"/>
              <w:rPr>
                <w:rFonts w:ascii="Times New Roman" w:hAnsi="Times New Roman" w:cs="Times New Roman"/>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sidRPr="001A5452">
              <w:rPr>
                <w:rFonts w:ascii="Times New Roman" w:hAnsi="Times New Roman" w:cs="Times New Roman"/>
                <w:szCs w:val="24"/>
              </w:rPr>
              <w:t xml:space="preserve"> / °C</w:t>
            </w:r>
          </w:p>
        </w:tc>
        <w:tc>
          <w:tcPr>
            <w:tcW w:w="2250" w:type="dxa"/>
            <w:tcBorders>
              <w:left w:val="nil"/>
              <w:bottom w:val="single" w:sz="12" w:space="0" w:color="auto"/>
              <w:right w:val="nil"/>
            </w:tcBorders>
            <w:vAlign w:val="center"/>
          </w:tcPr>
          <w:p w14:paraId="059A2AA9"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Char yield / wt.%</w:t>
            </w:r>
          </w:p>
        </w:tc>
      </w:tr>
      <w:tr w:rsidR="007E4AF6" w:rsidRPr="001A5452" w14:paraId="45AB73E3" w14:textId="77777777" w:rsidTr="00D47B0A">
        <w:tc>
          <w:tcPr>
            <w:tcW w:w="1525" w:type="dxa"/>
            <w:tcBorders>
              <w:left w:val="nil"/>
              <w:bottom w:val="nil"/>
              <w:right w:val="nil"/>
            </w:tcBorders>
            <w:vAlign w:val="center"/>
          </w:tcPr>
          <w:p w14:paraId="27742144"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UPR</w:t>
            </w:r>
          </w:p>
        </w:tc>
        <w:tc>
          <w:tcPr>
            <w:tcW w:w="1800" w:type="dxa"/>
            <w:tcBorders>
              <w:left w:val="nil"/>
              <w:bottom w:val="nil"/>
              <w:right w:val="nil"/>
            </w:tcBorders>
            <w:vAlign w:val="center"/>
          </w:tcPr>
          <w:p w14:paraId="2D2CFD21"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367</w:t>
            </w:r>
          </w:p>
        </w:tc>
        <w:tc>
          <w:tcPr>
            <w:tcW w:w="1625" w:type="dxa"/>
            <w:tcBorders>
              <w:left w:val="nil"/>
              <w:bottom w:val="nil"/>
              <w:right w:val="nil"/>
            </w:tcBorders>
            <w:vAlign w:val="center"/>
          </w:tcPr>
          <w:p w14:paraId="31F7A325"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419</w:t>
            </w:r>
          </w:p>
        </w:tc>
        <w:tc>
          <w:tcPr>
            <w:tcW w:w="1525" w:type="dxa"/>
            <w:tcBorders>
              <w:left w:val="nil"/>
              <w:bottom w:val="nil"/>
              <w:right w:val="nil"/>
            </w:tcBorders>
            <w:vAlign w:val="center"/>
          </w:tcPr>
          <w:p w14:paraId="043A9936"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413</w:t>
            </w:r>
          </w:p>
        </w:tc>
        <w:tc>
          <w:tcPr>
            <w:tcW w:w="2250" w:type="dxa"/>
            <w:tcBorders>
              <w:left w:val="nil"/>
              <w:bottom w:val="nil"/>
              <w:right w:val="nil"/>
            </w:tcBorders>
            <w:vAlign w:val="center"/>
          </w:tcPr>
          <w:p w14:paraId="57146D21"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4.96</w:t>
            </w:r>
          </w:p>
        </w:tc>
      </w:tr>
      <w:tr w:rsidR="007E4AF6" w:rsidRPr="001A5452" w14:paraId="30EAFFFF" w14:textId="77777777" w:rsidTr="00D47B0A">
        <w:tc>
          <w:tcPr>
            <w:tcW w:w="1525" w:type="dxa"/>
            <w:tcBorders>
              <w:top w:val="nil"/>
              <w:left w:val="nil"/>
              <w:bottom w:val="nil"/>
              <w:right w:val="nil"/>
            </w:tcBorders>
            <w:vAlign w:val="center"/>
          </w:tcPr>
          <w:p w14:paraId="5D89B0B1"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UPR-THF</w:t>
            </w:r>
          </w:p>
        </w:tc>
        <w:tc>
          <w:tcPr>
            <w:tcW w:w="1800" w:type="dxa"/>
            <w:tcBorders>
              <w:top w:val="nil"/>
              <w:left w:val="nil"/>
              <w:bottom w:val="nil"/>
              <w:right w:val="nil"/>
            </w:tcBorders>
            <w:vAlign w:val="center"/>
          </w:tcPr>
          <w:p w14:paraId="064C5F5B"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366</w:t>
            </w:r>
          </w:p>
        </w:tc>
        <w:tc>
          <w:tcPr>
            <w:tcW w:w="1625" w:type="dxa"/>
            <w:tcBorders>
              <w:top w:val="nil"/>
              <w:left w:val="nil"/>
              <w:bottom w:val="nil"/>
              <w:right w:val="nil"/>
            </w:tcBorders>
            <w:vAlign w:val="center"/>
          </w:tcPr>
          <w:p w14:paraId="3AF2CC7F"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420</w:t>
            </w:r>
          </w:p>
        </w:tc>
        <w:tc>
          <w:tcPr>
            <w:tcW w:w="1525" w:type="dxa"/>
            <w:tcBorders>
              <w:top w:val="nil"/>
              <w:left w:val="nil"/>
              <w:bottom w:val="nil"/>
              <w:right w:val="nil"/>
            </w:tcBorders>
            <w:vAlign w:val="center"/>
          </w:tcPr>
          <w:p w14:paraId="0F9C04F3"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414</w:t>
            </w:r>
          </w:p>
        </w:tc>
        <w:tc>
          <w:tcPr>
            <w:tcW w:w="2250" w:type="dxa"/>
            <w:tcBorders>
              <w:top w:val="nil"/>
              <w:left w:val="nil"/>
              <w:bottom w:val="nil"/>
              <w:right w:val="nil"/>
            </w:tcBorders>
            <w:vAlign w:val="center"/>
          </w:tcPr>
          <w:p w14:paraId="6F768576"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5.87</w:t>
            </w:r>
          </w:p>
        </w:tc>
      </w:tr>
      <w:tr w:rsidR="007E4AF6" w:rsidRPr="001A5452" w14:paraId="59E66FA9" w14:textId="77777777" w:rsidTr="00D47B0A">
        <w:tc>
          <w:tcPr>
            <w:tcW w:w="1525" w:type="dxa"/>
            <w:tcBorders>
              <w:top w:val="nil"/>
              <w:left w:val="nil"/>
              <w:bottom w:val="nil"/>
              <w:right w:val="nil"/>
            </w:tcBorders>
            <w:vAlign w:val="center"/>
          </w:tcPr>
          <w:p w14:paraId="426BA47E"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0.05 wt.%</w:t>
            </w:r>
          </w:p>
        </w:tc>
        <w:tc>
          <w:tcPr>
            <w:tcW w:w="1800" w:type="dxa"/>
            <w:tcBorders>
              <w:top w:val="nil"/>
              <w:left w:val="nil"/>
              <w:bottom w:val="nil"/>
              <w:right w:val="nil"/>
            </w:tcBorders>
            <w:vAlign w:val="center"/>
          </w:tcPr>
          <w:p w14:paraId="36923ADC"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360</w:t>
            </w:r>
          </w:p>
        </w:tc>
        <w:tc>
          <w:tcPr>
            <w:tcW w:w="1625" w:type="dxa"/>
            <w:tcBorders>
              <w:top w:val="nil"/>
              <w:left w:val="nil"/>
              <w:bottom w:val="nil"/>
              <w:right w:val="nil"/>
            </w:tcBorders>
            <w:vAlign w:val="center"/>
          </w:tcPr>
          <w:p w14:paraId="22E8CF88"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415</w:t>
            </w:r>
          </w:p>
        </w:tc>
        <w:tc>
          <w:tcPr>
            <w:tcW w:w="1525" w:type="dxa"/>
            <w:tcBorders>
              <w:top w:val="nil"/>
              <w:left w:val="nil"/>
              <w:bottom w:val="nil"/>
              <w:right w:val="nil"/>
            </w:tcBorders>
            <w:vAlign w:val="center"/>
          </w:tcPr>
          <w:p w14:paraId="586E646E"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409</w:t>
            </w:r>
          </w:p>
        </w:tc>
        <w:tc>
          <w:tcPr>
            <w:tcW w:w="2250" w:type="dxa"/>
            <w:tcBorders>
              <w:top w:val="nil"/>
              <w:left w:val="nil"/>
              <w:bottom w:val="nil"/>
              <w:right w:val="nil"/>
            </w:tcBorders>
            <w:vAlign w:val="center"/>
          </w:tcPr>
          <w:p w14:paraId="1E0FA981"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6.82</w:t>
            </w:r>
          </w:p>
        </w:tc>
      </w:tr>
      <w:tr w:rsidR="007E4AF6" w:rsidRPr="001A5452" w14:paraId="35E0AA88" w14:textId="77777777" w:rsidTr="00D47B0A">
        <w:tc>
          <w:tcPr>
            <w:tcW w:w="1525" w:type="dxa"/>
            <w:tcBorders>
              <w:top w:val="nil"/>
              <w:left w:val="nil"/>
              <w:bottom w:val="nil"/>
              <w:right w:val="nil"/>
            </w:tcBorders>
            <w:vAlign w:val="center"/>
          </w:tcPr>
          <w:p w14:paraId="78569044"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0.1.0 wt.%</w:t>
            </w:r>
          </w:p>
        </w:tc>
        <w:tc>
          <w:tcPr>
            <w:tcW w:w="1800" w:type="dxa"/>
            <w:tcBorders>
              <w:top w:val="nil"/>
              <w:left w:val="nil"/>
              <w:bottom w:val="nil"/>
              <w:right w:val="nil"/>
            </w:tcBorders>
            <w:vAlign w:val="center"/>
          </w:tcPr>
          <w:p w14:paraId="2BE973CB"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368</w:t>
            </w:r>
          </w:p>
        </w:tc>
        <w:tc>
          <w:tcPr>
            <w:tcW w:w="1625" w:type="dxa"/>
            <w:tcBorders>
              <w:top w:val="nil"/>
              <w:left w:val="nil"/>
              <w:bottom w:val="nil"/>
              <w:right w:val="nil"/>
            </w:tcBorders>
            <w:vAlign w:val="center"/>
          </w:tcPr>
          <w:p w14:paraId="360C0C96"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416</w:t>
            </w:r>
          </w:p>
        </w:tc>
        <w:tc>
          <w:tcPr>
            <w:tcW w:w="1525" w:type="dxa"/>
            <w:tcBorders>
              <w:top w:val="nil"/>
              <w:left w:val="nil"/>
              <w:bottom w:val="nil"/>
              <w:right w:val="nil"/>
            </w:tcBorders>
            <w:vAlign w:val="center"/>
          </w:tcPr>
          <w:p w14:paraId="074BA82B"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410</w:t>
            </w:r>
          </w:p>
        </w:tc>
        <w:tc>
          <w:tcPr>
            <w:tcW w:w="2250" w:type="dxa"/>
            <w:tcBorders>
              <w:top w:val="nil"/>
              <w:left w:val="nil"/>
              <w:bottom w:val="nil"/>
              <w:right w:val="nil"/>
            </w:tcBorders>
            <w:vAlign w:val="center"/>
          </w:tcPr>
          <w:p w14:paraId="7C7F2CA5"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4.32</w:t>
            </w:r>
          </w:p>
        </w:tc>
      </w:tr>
      <w:tr w:rsidR="007E4AF6" w:rsidRPr="001A5452" w14:paraId="1A6B89EC" w14:textId="77777777" w:rsidTr="00D47B0A">
        <w:tc>
          <w:tcPr>
            <w:tcW w:w="1525" w:type="dxa"/>
            <w:tcBorders>
              <w:top w:val="nil"/>
              <w:left w:val="nil"/>
              <w:bottom w:val="nil"/>
              <w:right w:val="nil"/>
            </w:tcBorders>
            <w:vAlign w:val="center"/>
          </w:tcPr>
          <w:p w14:paraId="06FAEF2A"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0.3 wt.%</w:t>
            </w:r>
          </w:p>
        </w:tc>
        <w:tc>
          <w:tcPr>
            <w:tcW w:w="1800" w:type="dxa"/>
            <w:tcBorders>
              <w:top w:val="nil"/>
              <w:left w:val="nil"/>
              <w:bottom w:val="nil"/>
              <w:right w:val="nil"/>
            </w:tcBorders>
            <w:vAlign w:val="center"/>
          </w:tcPr>
          <w:p w14:paraId="63B5C3DF"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366</w:t>
            </w:r>
          </w:p>
        </w:tc>
        <w:tc>
          <w:tcPr>
            <w:tcW w:w="1625" w:type="dxa"/>
            <w:tcBorders>
              <w:top w:val="nil"/>
              <w:left w:val="nil"/>
              <w:bottom w:val="nil"/>
              <w:right w:val="nil"/>
            </w:tcBorders>
            <w:vAlign w:val="center"/>
          </w:tcPr>
          <w:p w14:paraId="4F2822E5"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419</w:t>
            </w:r>
          </w:p>
        </w:tc>
        <w:tc>
          <w:tcPr>
            <w:tcW w:w="1525" w:type="dxa"/>
            <w:tcBorders>
              <w:top w:val="nil"/>
              <w:left w:val="nil"/>
              <w:bottom w:val="nil"/>
              <w:right w:val="nil"/>
            </w:tcBorders>
            <w:vAlign w:val="center"/>
          </w:tcPr>
          <w:p w14:paraId="51CF7FB6"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410</w:t>
            </w:r>
          </w:p>
        </w:tc>
        <w:tc>
          <w:tcPr>
            <w:tcW w:w="2250" w:type="dxa"/>
            <w:tcBorders>
              <w:top w:val="nil"/>
              <w:left w:val="nil"/>
              <w:bottom w:val="nil"/>
              <w:right w:val="nil"/>
            </w:tcBorders>
            <w:vAlign w:val="center"/>
          </w:tcPr>
          <w:p w14:paraId="20633EC3"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5.27</w:t>
            </w:r>
          </w:p>
        </w:tc>
      </w:tr>
      <w:tr w:rsidR="007E4AF6" w:rsidRPr="001A5452" w14:paraId="5E16DCB3" w14:textId="77777777" w:rsidTr="00D47B0A">
        <w:tc>
          <w:tcPr>
            <w:tcW w:w="1525" w:type="dxa"/>
            <w:tcBorders>
              <w:top w:val="nil"/>
              <w:left w:val="nil"/>
              <w:bottom w:val="nil"/>
              <w:right w:val="nil"/>
            </w:tcBorders>
            <w:vAlign w:val="center"/>
          </w:tcPr>
          <w:p w14:paraId="2A96D65D"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0.5 wt.%</w:t>
            </w:r>
          </w:p>
        </w:tc>
        <w:tc>
          <w:tcPr>
            <w:tcW w:w="1800" w:type="dxa"/>
            <w:tcBorders>
              <w:top w:val="nil"/>
              <w:left w:val="nil"/>
              <w:bottom w:val="nil"/>
              <w:right w:val="nil"/>
            </w:tcBorders>
            <w:vAlign w:val="center"/>
          </w:tcPr>
          <w:p w14:paraId="77AA6707"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367</w:t>
            </w:r>
          </w:p>
        </w:tc>
        <w:tc>
          <w:tcPr>
            <w:tcW w:w="1625" w:type="dxa"/>
            <w:tcBorders>
              <w:top w:val="nil"/>
              <w:left w:val="nil"/>
              <w:bottom w:val="nil"/>
              <w:right w:val="nil"/>
            </w:tcBorders>
            <w:vAlign w:val="center"/>
          </w:tcPr>
          <w:p w14:paraId="5F3F6F0D"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413</w:t>
            </w:r>
          </w:p>
        </w:tc>
        <w:tc>
          <w:tcPr>
            <w:tcW w:w="1525" w:type="dxa"/>
            <w:tcBorders>
              <w:top w:val="nil"/>
              <w:left w:val="nil"/>
              <w:bottom w:val="nil"/>
              <w:right w:val="nil"/>
            </w:tcBorders>
            <w:vAlign w:val="center"/>
          </w:tcPr>
          <w:p w14:paraId="1F943B23"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405</w:t>
            </w:r>
          </w:p>
        </w:tc>
        <w:tc>
          <w:tcPr>
            <w:tcW w:w="2250" w:type="dxa"/>
            <w:tcBorders>
              <w:top w:val="nil"/>
              <w:left w:val="nil"/>
              <w:bottom w:val="nil"/>
              <w:right w:val="nil"/>
            </w:tcBorders>
            <w:vAlign w:val="center"/>
          </w:tcPr>
          <w:p w14:paraId="14AD7965"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4.33</w:t>
            </w:r>
          </w:p>
        </w:tc>
      </w:tr>
      <w:tr w:rsidR="007E4AF6" w:rsidRPr="001A5452" w14:paraId="33715376" w14:textId="77777777" w:rsidTr="00D47B0A">
        <w:tc>
          <w:tcPr>
            <w:tcW w:w="1525" w:type="dxa"/>
            <w:tcBorders>
              <w:top w:val="nil"/>
              <w:left w:val="nil"/>
              <w:right w:val="nil"/>
            </w:tcBorders>
            <w:vAlign w:val="center"/>
          </w:tcPr>
          <w:p w14:paraId="2E1DA408"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1.0 wt.%</w:t>
            </w:r>
          </w:p>
        </w:tc>
        <w:tc>
          <w:tcPr>
            <w:tcW w:w="1800" w:type="dxa"/>
            <w:tcBorders>
              <w:top w:val="nil"/>
              <w:left w:val="nil"/>
              <w:right w:val="nil"/>
            </w:tcBorders>
            <w:vAlign w:val="center"/>
          </w:tcPr>
          <w:p w14:paraId="422A9B0D"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373</w:t>
            </w:r>
          </w:p>
        </w:tc>
        <w:tc>
          <w:tcPr>
            <w:tcW w:w="1625" w:type="dxa"/>
            <w:tcBorders>
              <w:top w:val="nil"/>
              <w:left w:val="nil"/>
              <w:right w:val="nil"/>
            </w:tcBorders>
            <w:vAlign w:val="center"/>
          </w:tcPr>
          <w:p w14:paraId="778B1AE2"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418</w:t>
            </w:r>
          </w:p>
        </w:tc>
        <w:tc>
          <w:tcPr>
            <w:tcW w:w="1525" w:type="dxa"/>
            <w:tcBorders>
              <w:top w:val="nil"/>
              <w:left w:val="nil"/>
              <w:right w:val="nil"/>
            </w:tcBorders>
            <w:vAlign w:val="center"/>
          </w:tcPr>
          <w:p w14:paraId="2E935626"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417</w:t>
            </w:r>
          </w:p>
        </w:tc>
        <w:tc>
          <w:tcPr>
            <w:tcW w:w="2250" w:type="dxa"/>
            <w:tcBorders>
              <w:top w:val="nil"/>
              <w:left w:val="nil"/>
              <w:right w:val="nil"/>
            </w:tcBorders>
            <w:vAlign w:val="center"/>
          </w:tcPr>
          <w:p w14:paraId="655CC7FE" w14:textId="77777777" w:rsidR="007E4AF6" w:rsidRPr="001A5452" w:rsidRDefault="007E4AF6" w:rsidP="00314423">
            <w:pPr>
              <w:spacing w:line="360" w:lineRule="auto"/>
              <w:jc w:val="center"/>
              <w:rPr>
                <w:rFonts w:ascii="Times New Roman" w:hAnsi="Times New Roman" w:cs="Times New Roman"/>
                <w:szCs w:val="24"/>
              </w:rPr>
            </w:pPr>
            <w:r w:rsidRPr="001A5452">
              <w:rPr>
                <w:rFonts w:ascii="Times New Roman" w:hAnsi="Times New Roman" w:cs="Times New Roman"/>
                <w:szCs w:val="24"/>
              </w:rPr>
              <w:t>5.28</w:t>
            </w:r>
          </w:p>
        </w:tc>
      </w:tr>
    </w:tbl>
    <w:p w14:paraId="1D9B96D5" w14:textId="77777777" w:rsidR="007E4AF6" w:rsidRPr="001A5452" w:rsidRDefault="007E4AF6" w:rsidP="007E4AF6">
      <w:pPr>
        <w:spacing w:after="0" w:line="360" w:lineRule="auto"/>
        <w:jc w:val="both"/>
        <w:rPr>
          <w:rFonts w:ascii="Times New Roman" w:hAnsi="Times New Roman" w:cs="Times New Roman"/>
          <w:sz w:val="20"/>
          <w:szCs w:val="20"/>
        </w:rPr>
      </w:pPr>
    </w:p>
    <w:p w14:paraId="6024EA73" w14:textId="77777777" w:rsidR="00F53C4E" w:rsidRDefault="00F53C4E" w:rsidP="00CC25B1"/>
    <w:p w14:paraId="438278EB" w14:textId="77777777" w:rsidR="00301529" w:rsidRDefault="00301529" w:rsidP="00CC25B1"/>
    <w:p w14:paraId="05A633D8" w14:textId="013FB124" w:rsidR="007E4AF6" w:rsidRPr="001A5452" w:rsidRDefault="00120E33" w:rsidP="007E4AF6">
      <w:pPr>
        <w:pStyle w:val="Heading2"/>
        <w:spacing w:before="0"/>
        <w:rPr>
          <w:rFonts w:cs="Times New Roman"/>
          <w:szCs w:val="24"/>
        </w:rPr>
      </w:pPr>
      <w:bookmarkStart w:id="154" w:name="_Toc518823307"/>
      <w:r>
        <w:rPr>
          <w:rFonts w:cs="Times New Roman"/>
          <w:szCs w:val="24"/>
        </w:rPr>
        <w:t>4</w:t>
      </w:r>
      <w:r w:rsidR="004D0F8E">
        <w:rPr>
          <w:rFonts w:cs="Times New Roman"/>
          <w:szCs w:val="24"/>
        </w:rPr>
        <w:t>.</w:t>
      </w:r>
      <w:r w:rsidR="002E496B">
        <w:rPr>
          <w:rFonts w:cs="Times New Roman"/>
          <w:szCs w:val="24"/>
        </w:rPr>
        <w:t>3.</w:t>
      </w:r>
      <w:r w:rsidR="002E496B">
        <w:rPr>
          <w:rFonts w:cs="Times New Roman" w:hint="eastAsia"/>
          <w:szCs w:val="24"/>
        </w:rPr>
        <w:t>8</w:t>
      </w:r>
      <w:r w:rsidR="007E4AF6" w:rsidRPr="001A5452">
        <w:rPr>
          <w:rFonts w:cs="Times New Roman"/>
          <w:szCs w:val="24"/>
        </w:rPr>
        <w:t>. Morphology of UPR and UPR/rGO composites</w:t>
      </w:r>
      <w:bookmarkEnd w:id="154"/>
    </w:p>
    <w:p w14:paraId="541F9D70" w14:textId="6B4981A2" w:rsidR="007E4AF6" w:rsidRPr="001A5452"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The fracture surfaces of neat UPR and UPR/rGO composites are investigated by SEM (Figure </w:t>
      </w:r>
      <w:r w:rsidR="00120E33">
        <w:rPr>
          <w:rFonts w:ascii="Times New Roman" w:hAnsi="Times New Roman" w:cs="Times New Roman"/>
          <w:sz w:val="24"/>
          <w:szCs w:val="24"/>
        </w:rPr>
        <w:t>4</w:t>
      </w:r>
      <w:r w:rsidR="00B527F6">
        <w:rPr>
          <w:rFonts w:ascii="Times New Roman" w:hAnsi="Times New Roman" w:cs="Times New Roman"/>
          <w:sz w:val="24"/>
          <w:szCs w:val="24"/>
        </w:rPr>
        <w:t>.11</w:t>
      </w:r>
      <w:r w:rsidRPr="001A5452">
        <w:rPr>
          <w:rFonts w:ascii="Times New Roman" w:hAnsi="Times New Roman" w:cs="Times New Roman"/>
          <w:sz w:val="24"/>
          <w:szCs w:val="24"/>
        </w:rPr>
        <w:t xml:space="preserve"> </w:t>
      </w:r>
      <w:r w:rsidR="0098706E">
        <w:rPr>
          <w:rFonts w:ascii="Times New Roman" w:hAnsi="Times New Roman" w:cs="Times New Roman"/>
          <w:sz w:val="24"/>
          <w:szCs w:val="24"/>
        </w:rPr>
        <w:t xml:space="preserve">and </w:t>
      </w:r>
      <w:r w:rsidR="00120E33">
        <w:rPr>
          <w:rFonts w:ascii="Times New Roman" w:hAnsi="Times New Roman" w:cs="Times New Roman"/>
          <w:sz w:val="24"/>
          <w:szCs w:val="24"/>
        </w:rPr>
        <w:t>4</w:t>
      </w:r>
      <w:r w:rsidR="00B527F6">
        <w:rPr>
          <w:rFonts w:ascii="Times New Roman" w:hAnsi="Times New Roman" w:cs="Times New Roman"/>
          <w:sz w:val="24"/>
          <w:szCs w:val="24"/>
        </w:rPr>
        <w:t>.12</w:t>
      </w:r>
      <w:r w:rsidR="0098706E">
        <w:rPr>
          <w:rFonts w:ascii="Times New Roman" w:hAnsi="Times New Roman" w:cs="Times New Roman"/>
          <w:sz w:val="24"/>
          <w:szCs w:val="24"/>
        </w:rPr>
        <w:t xml:space="preserve">). For neat UPR (Figure </w:t>
      </w:r>
      <w:r w:rsidR="00120E33">
        <w:rPr>
          <w:rFonts w:ascii="Times New Roman" w:hAnsi="Times New Roman" w:cs="Times New Roman" w:hint="eastAsia"/>
          <w:sz w:val="24"/>
          <w:szCs w:val="24"/>
        </w:rPr>
        <w:t>4</w:t>
      </w:r>
      <w:r w:rsidR="0098706E">
        <w:rPr>
          <w:rFonts w:ascii="Times New Roman" w:hAnsi="Times New Roman" w:cs="Times New Roman" w:hint="eastAsia"/>
          <w:sz w:val="24"/>
          <w:szCs w:val="24"/>
        </w:rPr>
        <w:t>.11</w:t>
      </w:r>
      <w:r w:rsidRPr="001A5452">
        <w:rPr>
          <w:rFonts w:ascii="Times New Roman" w:hAnsi="Times New Roman" w:cs="Times New Roman"/>
          <w:sz w:val="24"/>
          <w:szCs w:val="24"/>
        </w:rPr>
        <w:t xml:space="preserve"> (a)), the fracture surface is flat and smooth with some stripes and debris which are the typical signs of a glassy material. </w:t>
      </w:r>
      <w:r w:rsidR="0070339F">
        <w:rPr>
          <w:rFonts w:ascii="Times New Roman" w:hAnsi="Times New Roman" w:cs="Times New Roman"/>
          <w:sz w:val="24"/>
          <w:szCs w:val="24"/>
        </w:rPr>
        <w:t>In contrast,</w:t>
      </w:r>
      <w:r w:rsidRPr="001A5452">
        <w:rPr>
          <w:rFonts w:ascii="Times New Roman" w:hAnsi="Times New Roman" w:cs="Times New Roman"/>
          <w:sz w:val="24"/>
          <w:szCs w:val="24"/>
        </w:rPr>
        <w:t xml:space="preserve"> some rGO clusters are observed for UPR/rGO composites, and they increase with increasing rG</w:t>
      </w:r>
      <w:r w:rsidR="00B527F6">
        <w:rPr>
          <w:rFonts w:ascii="Times New Roman" w:hAnsi="Times New Roman" w:cs="Times New Roman"/>
          <w:sz w:val="24"/>
          <w:szCs w:val="24"/>
        </w:rPr>
        <w:t xml:space="preserve">O content, as shown in Figure </w:t>
      </w:r>
      <w:r w:rsidR="00120E33">
        <w:rPr>
          <w:rFonts w:ascii="Times New Roman" w:hAnsi="Times New Roman" w:cs="Times New Roman"/>
          <w:sz w:val="24"/>
          <w:szCs w:val="24"/>
        </w:rPr>
        <w:t>4.</w:t>
      </w:r>
      <w:r w:rsidR="00B527F6">
        <w:rPr>
          <w:rFonts w:ascii="Times New Roman" w:hAnsi="Times New Roman" w:cs="Times New Roman"/>
          <w:sz w:val="24"/>
          <w:szCs w:val="24"/>
        </w:rPr>
        <w:t>11</w:t>
      </w:r>
      <w:r w:rsidRPr="001A5452">
        <w:rPr>
          <w:rFonts w:ascii="Times New Roman" w:hAnsi="Times New Roman" w:cs="Times New Roman"/>
          <w:sz w:val="24"/>
          <w:szCs w:val="24"/>
        </w:rPr>
        <w:t>. This is because the removal of oxygen functional groups allows rGO sheets easily to be stacked together due to the</w:t>
      </w:r>
      <w:r w:rsidR="0098706E">
        <w:rPr>
          <w:rFonts w:ascii="Times New Roman" w:hAnsi="Times New Roman" w:cs="Times New Roman"/>
          <w:sz w:val="24"/>
          <w:szCs w:val="24"/>
        </w:rPr>
        <w:t xml:space="preserve"> van der Waal’s force. Figure </w:t>
      </w:r>
      <w:r w:rsidR="00120E33">
        <w:rPr>
          <w:rFonts w:ascii="Times New Roman" w:hAnsi="Times New Roman" w:cs="Times New Roman" w:hint="eastAsia"/>
          <w:sz w:val="24"/>
          <w:szCs w:val="24"/>
        </w:rPr>
        <w:t>4</w:t>
      </w:r>
      <w:r w:rsidR="0098706E">
        <w:rPr>
          <w:rFonts w:ascii="Times New Roman" w:hAnsi="Times New Roman" w:cs="Times New Roman" w:hint="eastAsia"/>
          <w:sz w:val="24"/>
          <w:szCs w:val="24"/>
        </w:rPr>
        <w:t>.12</w:t>
      </w:r>
      <w:r w:rsidRPr="001A5452">
        <w:rPr>
          <w:rFonts w:ascii="Times New Roman" w:hAnsi="Times New Roman" w:cs="Times New Roman"/>
          <w:sz w:val="24"/>
          <w:szCs w:val="24"/>
        </w:rPr>
        <w:t xml:space="preserve"> shows the fracture structures of UPR/rGO of 0.05 wt.% and 1.0 wt.% at high magnification. Compared with 0.05 wt.% UPR/rGO composite, the aggregation of rGO in 1.0 wt.% UPR/rGO is much more serious. This confirms that the specific surface of rGO of 1.0 wt.% composite is much smaller than other composites. Hence, the crosslinking density of UPR/rGO composites at low concentration (≤0.5 wt.%) is influenced by addition of rGO more significantly over that of UPR/rGO at 1.0 wt.%. Therefore, the mechanical properties, thermal properties, and glass transition temperature are reduced by 0.5 wt.%, then increased at 1.0% rGO content.</w:t>
      </w:r>
    </w:p>
    <w:p w14:paraId="5BE7C5D3" w14:textId="256C3D6B" w:rsidR="007E4AF6" w:rsidRDefault="007E4AF6" w:rsidP="007E4AF6">
      <w:pPr>
        <w:spacing w:after="0"/>
        <w:jc w:val="center"/>
        <w:rPr>
          <w:rFonts w:ascii="Times New Roman" w:hAnsi="Times New Roman" w:cs="Times New Roman"/>
        </w:rPr>
      </w:pPr>
      <w:r w:rsidRPr="001A5452">
        <w:rPr>
          <w:rFonts w:ascii="Times New Roman" w:hAnsi="Times New Roman" w:cs="Times New Roman"/>
          <w:noProof/>
          <w:lang w:val="en-GB"/>
        </w:rPr>
        <w:drawing>
          <wp:inline distT="0" distB="0" distL="0" distR="0" wp14:anchorId="04892E8F" wp14:editId="52B9754F">
            <wp:extent cx="4943475" cy="648896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46418" cy="6492829"/>
                    </a:xfrm>
                    <a:prstGeom prst="rect">
                      <a:avLst/>
                    </a:prstGeom>
                    <a:noFill/>
                  </pic:spPr>
                </pic:pic>
              </a:graphicData>
            </a:graphic>
          </wp:inline>
        </w:drawing>
      </w:r>
    </w:p>
    <w:p w14:paraId="447CF827" w14:textId="77777777" w:rsidR="0098706E" w:rsidRPr="001A5452" w:rsidRDefault="0098706E" w:rsidP="007E4AF6">
      <w:pPr>
        <w:spacing w:after="0"/>
        <w:jc w:val="center"/>
        <w:rPr>
          <w:rFonts w:ascii="Times New Roman" w:hAnsi="Times New Roman" w:cs="Times New Roman"/>
        </w:rPr>
      </w:pPr>
    </w:p>
    <w:p w14:paraId="659D1E52" w14:textId="3D1EE145" w:rsidR="007E4AF6" w:rsidRPr="001A5452" w:rsidRDefault="00120E33" w:rsidP="00EC3BE6">
      <w:pPr>
        <w:pStyle w:val="Caption"/>
        <w:ind w:firstLine="0"/>
        <w:rPr>
          <w:rFonts w:cs="Times New Roman"/>
          <w:szCs w:val="24"/>
        </w:rPr>
      </w:pPr>
      <w:bookmarkStart w:id="155" w:name="_Toc502662477"/>
      <w:r>
        <w:t>Figure 4</w:t>
      </w:r>
      <w:r w:rsidR="00B527F6">
        <w:t>.</w:t>
      </w:r>
      <w:r w:rsidR="00EC3BE6">
        <w:fldChar w:fldCharType="begin"/>
      </w:r>
      <w:r w:rsidR="00EC3BE6">
        <w:instrText xml:space="preserve"> SEQ Figure_4. \* ARABIC </w:instrText>
      </w:r>
      <w:r w:rsidR="00EC3BE6">
        <w:fldChar w:fldCharType="separate"/>
      </w:r>
      <w:r w:rsidR="00551ED9">
        <w:rPr>
          <w:noProof/>
        </w:rPr>
        <w:t>11</w:t>
      </w:r>
      <w:r w:rsidR="00EC3BE6">
        <w:fldChar w:fldCharType="end"/>
      </w:r>
      <w:r w:rsidR="007E4AF6" w:rsidRPr="001A5452">
        <w:rPr>
          <w:rFonts w:cs="Times New Roman"/>
          <w:b w:val="0"/>
          <w:szCs w:val="24"/>
        </w:rPr>
        <w:t>.</w:t>
      </w:r>
      <w:r w:rsidR="007E4AF6" w:rsidRPr="001A5452">
        <w:rPr>
          <w:rFonts w:cs="Times New Roman"/>
          <w:szCs w:val="24"/>
        </w:rPr>
        <w:t xml:space="preserve"> SEM images of the fracture surfaces of UPR and UPR/rGO composites: (a) neat UPR, (b) 0.05 wt.%, (c) 0.1.0 wt.%, (d) 0.3 %, (e) 0.5 wt.%, and (f) 1</w:t>
      </w:r>
      <w:r w:rsidR="007E4AF6" w:rsidRPr="001A5452">
        <w:rPr>
          <w:rFonts w:cs="Times New Roman"/>
          <w:szCs w:val="24"/>
          <w:lang w:val="en-GB"/>
        </w:rPr>
        <w:t>.0</w:t>
      </w:r>
      <w:r w:rsidR="007E4AF6" w:rsidRPr="001A5452">
        <w:rPr>
          <w:rFonts w:cs="Times New Roman"/>
          <w:szCs w:val="24"/>
        </w:rPr>
        <w:t xml:space="preserve"> wt.%.</w:t>
      </w:r>
      <w:bookmarkEnd w:id="155"/>
    </w:p>
    <w:p w14:paraId="57A1147E" w14:textId="77777777" w:rsidR="007E4AF6" w:rsidRPr="001A5452" w:rsidRDefault="007E4AF6" w:rsidP="0098706E">
      <w:pPr>
        <w:spacing w:after="0" w:line="360" w:lineRule="auto"/>
        <w:rPr>
          <w:rFonts w:ascii="Times New Roman" w:hAnsi="Times New Roman" w:cs="Times New Roman"/>
          <w:sz w:val="24"/>
          <w:szCs w:val="24"/>
        </w:rPr>
      </w:pPr>
    </w:p>
    <w:p w14:paraId="599C0468" w14:textId="77777777" w:rsidR="007E4AF6" w:rsidRPr="001A5452" w:rsidRDefault="007E4AF6" w:rsidP="007E4AF6">
      <w:pPr>
        <w:spacing w:after="0" w:line="480" w:lineRule="auto"/>
        <w:ind w:firstLine="270"/>
        <w:jc w:val="both"/>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2DCCBC86" wp14:editId="226932A7">
            <wp:extent cx="5621334" cy="257722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51487" cy="2591052"/>
                    </a:xfrm>
                    <a:prstGeom prst="rect">
                      <a:avLst/>
                    </a:prstGeom>
                    <a:noFill/>
                  </pic:spPr>
                </pic:pic>
              </a:graphicData>
            </a:graphic>
          </wp:inline>
        </w:drawing>
      </w:r>
    </w:p>
    <w:p w14:paraId="5161F36E" w14:textId="30663DCD" w:rsidR="007E4AF6" w:rsidRDefault="00EC3BE6" w:rsidP="00EC3BE6">
      <w:pPr>
        <w:pStyle w:val="Caption"/>
        <w:ind w:firstLine="0"/>
        <w:rPr>
          <w:rFonts w:cs="Times New Roman"/>
          <w:szCs w:val="24"/>
        </w:rPr>
      </w:pPr>
      <w:bookmarkStart w:id="156" w:name="_Toc502662478"/>
      <w:r>
        <w:t xml:space="preserve">Figure </w:t>
      </w:r>
      <w:r w:rsidR="00120E33">
        <w:t>4</w:t>
      </w:r>
      <w:r w:rsidR="00B527F6">
        <w:t>.</w:t>
      </w:r>
      <w:r>
        <w:fldChar w:fldCharType="begin"/>
      </w:r>
      <w:r>
        <w:instrText xml:space="preserve"> SEQ Figure_4. \* ARABIC </w:instrText>
      </w:r>
      <w:r>
        <w:fldChar w:fldCharType="separate"/>
      </w:r>
      <w:r w:rsidR="00551ED9">
        <w:rPr>
          <w:noProof/>
        </w:rPr>
        <w:t>12</w:t>
      </w:r>
      <w:r>
        <w:fldChar w:fldCharType="end"/>
      </w:r>
      <w:r w:rsidR="007E4AF6" w:rsidRPr="001A5452">
        <w:rPr>
          <w:rFonts w:cs="Times New Roman"/>
          <w:b w:val="0"/>
          <w:szCs w:val="24"/>
        </w:rPr>
        <w:t>.</w:t>
      </w:r>
      <w:r w:rsidR="007E4AF6" w:rsidRPr="001A5452">
        <w:rPr>
          <w:rFonts w:cs="Times New Roman"/>
          <w:szCs w:val="24"/>
        </w:rPr>
        <w:t xml:space="preserve"> SEM images of UPR/rGO composites at high magnification (×8000): (a) 0.05 wt.% and (b) 1.0 wt.%.</w:t>
      </w:r>
      <w:bookmarkEnd w:id="156"/>
    </w:p>
    <w:p w14:paraId="6C4E4B65" w14:textId="77777777" w:rsidR="00E44870" w:rsidRPr="001A5452" w:rsidRDefault="00E44870" w:rsidP="007E4AF6">
      <w:pPr>
        <w:spacing w:after="0"/>
        <w:jc w:val="center"/>
        <w:rPr>
          <w:rFonts w:ascii="Times New Roman" w:hAnsi="Times New Roman" w:cs="Times New Roman"/>
          <w:sz w:val="24"/>
          <w:szCs w:val="24"/>
        </w:rPr>
      </w:pPr>
    </w:p>
    <w:p w14:paraId="35C4A126" w14:textId="12B9ABD9" w:rsidR="007E4AF6" w:rsidRDefault="007E4AF6" w:rsidP="007E4AF6">
      <w:pPr>
        <w:spacing w:after="0"/>
        <w:rPr>
          <w:rFonts w:ascii="Times New Roman" w:hAnsi="Times New Roman" w:cs="Times New Roman"/>
          <w:sz w:val="24"/>
          <w:szCs w:val="24"/>
        </w:rPr>
      </w:pPr>
    </w:p>
    <w:p w14:paraId="78026BE9" w14:textId="77777777" w:rsidR="001D0076" w:rsidRPr="001A5452" w:rsidRDefault="001D0076" w:rsidP="007E4AF6">
      <w:pPr>
        <w:spacing w:after="0"/>
        <w:rPr>
          <w:rFonts w:ascii="Times New Roman" w:hAnsi="Times New Roman" w:cs="Times New Roman"/>
          <w:sz w:val="24"/>
          <w:szCs w:val="24"/>
        </w:rPr>
      </w:pPr>
    </w:p>
    <w:p w14:paraId="7E4F699F" w14:textId="22CD292C" w:rsidR="007E4AF6" w:rsidRPr="001A5452" w:rsidRDefault="000D327D" w:rsidP="007E4AF6">
      <w:pPr>
        <w:pStyle w:val="Heading1"/>
        <w:spacing w:before="0"/>
        <w:rPr>
          <w:rFonts w:cs="Times New Roman"/>
          <w:szCs w:val="24"/>
        </w:rPr>
      </w:pPr>
      <w:bookmarkStart w:id="157" w:name="_Toc518823308"/>
      <w:r>
        <w:rPr>
          <w:rFonts w:cs="Times New Roman"/>
          <w:szCs w:val="24"/>
        </w:rPr>
        <w:t>4</w:t>
      </w:r>
      <w:r w:rsidR="004D0F8E">
        <w:rPr>
          <w:rFonts w:cs="Times New Roman"/>
          <w:szCs w:val="24"/>
        </w:rPr>
        <w:t>.</w:t>
      </w:r>
      <w:r w:rsidR="007E4AF6" w:rsidRPr="001A5452">
        <w:rPr>
          <w:rFonts w:cs="Times New Roman"/>
          <w:szCs w:val="24"/>
        </w:rPr>
        <w:t>4. Conclusion</w:t>
      </w:r>
      <w:bookmarkEnd w:id="157"/>
    </w:p>
    <w:p w14:paraId="6E4F1854" w14:textId="3C5CCEA3" w:rsidR="0029126D" w:rsidRDefault="007E4AF6" w:rsidP="0029126D">
      <w:pPr>
        <w:spacing w:after="0" w:line="480" w:lineRule="auto"/>
        <w:jc w:val="both"/>
        <w:rPr>
          <w:rFonts w:ascii="Times New Roman" w:hAnsi="Times New Roman" w:cs="Times New Roman"/>
          <w:sz w:val="24"/>
          <w:szCs w:val="24"/>
        </w:rPr>
      </w:pPr>
      <w:r w:rsidRPr="00583251">
        <w:rPr>
          <w:rFonts w:ascii="Times New Roman" w:hAnsi="Times New Roman" w:cs="Times New Roman"/>
          <w:sz w:val="24"/>
          <w:szCs w:val="24"/>
        </w:rPr>
        <w:t xml:space="preserve">In this chapter, GO was successfully reduced in an eco-friendly and cost effective method by vitamin C at 90 </w:t>
      </w:r>
      <w:r w:rsidRPr="00583251">
        <w:rPr>
          <w:rFonts w:ascii="Times New Roman" w:hAnsi="Times New Roman" w:cs="Times New Roman"/>
          <w:sz w:val="24"/>
          <w:szCs w:val="24"/>
          <w:vertAlign w:val="superscript"/>
        </w:rPr>
        <w:t>o</w:t>
      </w:r>
      <w:r w:rsidRPr="00583251">
        <w:rPr>
          <w:rFonts w:ascii="Times New Roman" w:hAnsi="Times New Roman" w:cs="Times New Roman"/>
          <w:sz w:val="24"/>
          <w:szCs w:val="24"/>
        </w:rPr>
        <w:t xml:space="preserve">C for 6 hours, with some functional groups remaining that is confirmed by FTIR and XPS.  As shown in SEM images, rGO is dispersed homogeneously when the concentration is no more than 0.5 wt.%. </w:t>
      </w:r>
      <w:r w:rsidR="0029126D">
        <w:rPr>
          <w:rFonts w:ascii="Times New Roman" w:hAnsi="Times New Roman" w:cs="Times New Roman"/>
          <w:sz w:val="24"/>
          <w:szCs w:val="24"/>
        </w:rPr>
        <w:t>However, significant aggregation is observed when GO content reaches to 1.0 wt.%. This</w:t>
      </w:r>
      <w:r w:rsidR="0029126D" w:rsidRPr="00583251">
        <w:rPr>
          <w:rFonts w:ascii="Times New Roman" w:hAnsi="Times New Roman" w:cs="Times New Roman"/>
          <w:sz w:val="24"/>
          <w:szCs w:val="24"/>
        </w:rPr>
        <w:t xml:space="preserve"> morphology of UPR/rGO composites and dispersion quality of rGO further explain</w:t>
      </w:r>
      <w:r w:rsidR="0029126D">
        <w:rPr>
          <w:rFonts w:ascii="Times New Roman" w:hAnsi="Times New Roman" w:cs="Times New Roman"/>
          <w:sz w:val="24"/>
          <w:szCs w:val="24"/>
        </w:rPr>
        <w:t>s</w:t>
      </w:r>
      <w:r w:rsidR="0029126D" w:rsidRPr="00583251">
        <w:rPr>
          <w:rFonts w:ascii="Times New Roman" w:hAnsi="Times New Roman" w:cs="Times New Roman"/>
          <w:sz w:val="24"/>
          <w:szCs w:val="24"/>
        </w:rPr>
        <w:t xml:space="preserve"> the results of mechanical properties, thermal properties, glass transition temperature, and thermal conductivity. </w:t>
      </w:r>
      <w:r w:rsidR="007A6877" w:rsidRPr="00120E33">
        <w:rPr>
          <w:rFonts w:ascii="Times New Roman" w:hAnsi="Times New Roman" w:cs="Times New Roman"/>
          <w:sz w:val="24"/>
          <w:szCs w:val="24"/>
        </w:rPr>
        <w:t>In this work, the electrical conductivity of UPR/rGO was observed , which is 1.3 x 10</w:t>
      </w:r>
      <w:r w:rsidR="007A6877" w:rsidRPr="00120E33">
        <w:rPr>
          <w:rFonts w:ascii="Times New Roman" w:hAnsi="Times New Roman" w:cs="Times New Roman"/>
          <w:sz w:val="24"/>
          <w:szCs w:val="24"/>
          <w:vertAlign w:val="superscript"/>
        </w:rPr>
        <w:t>-4</w:t>
      </w:r>
      <w:r w:rsidR="007A6877" w:rsidRPr="00120E33">
        <w:rPr>
          <w:rFonts w:ascii="Times New Roman" w:hAnsi="Times New Roman" w:cs="Times New Roman"/>
          <w:sz w:val="24"/>
          <w:szCs w:val="24"/>
        </w:rPr>
        <w:t xml:space="preserve"> S m</w:t>
      </w:r>
      <w:r w:rsidR="007A6877" w:rsidRPr="00120E33">
        <w:rPr>
          <w:rFonts w:ascii="Times New Roman" w:hAnsi="Times New Roman" w:cs="Times New Roman"/>
          <w:sz w:val="24"/>
          <w:szCs w:val="24"/>
          <w:vertAlign w:val="superscript"/>
        </w:rPr>
        <w:t>-1</w:t>
      </w:r>
      <w:r w:rsidR="007A6877" w:rsidRPr="00120E33">
        <w:rPr>
          <w:rFonts w:ascii="Times New Roman" w:hAnsi="Times New Roman" w:cs="Times New Roman"/>
          <w:sz w:val="24"/>
          <w:szCs w:val="24"/>
        </w:rPr>
        <w:t xml:space="preserve"> at 1.0 wt.%, and  3.08 S m</w:t>
      </w:r>
      <w:r w:rsidR="007A6877" w:rsidRPr="00120E33">
        <w:rPr>
          <w:rFonts w:ascii="Times New Roman" w:hAnsi="Times New Roman" w:cs="Times New Roman"/>
          <w:sz w:val="24"/>
          <w:szCs w:val="24"/>
          <w:vertAlign w:val="superscript"/>
        </w:rPr>
        <w:t>-1</w:t>
      </w:r>
      <w:r w:rsidR="007A6877" w:rsidRPr="00120E33">
        <w:rPr>
          <w:rFonts w:ascii="Times New Roman" w:hAnsi="Times New Roman" w:cs="Times New Roman"/>
          <w:sz w:val="24"/>
          <w:szCs w:val="24"/>
        </w:rPr>
        <w:t xml:space="preserve"> at 2.0 wt.%. </w:t>
      </w:r>
      <w:r w:rsidR="0076089E" w:rsidRPr="00120E33">
        <w:rPr>
          <w:rFonts w:ascii="Times New Roman" w:hAnsi="Times New Roman" w:cs="Times New Roman"/>
          <w:sz w:val="24"/>
          <w:szCs w:val="24"/>
        </w:rPr>
        <w:t>According to some electrical results from literature reviews, graphene/polystyrene composites exhibits 1 S m</w:t>
      </w:r>
      <w:r w:rsidR="0076089E" w:rsidRPr="00120E33">
        <w:rPr>
          <w:rFonts w:ascii="Times New Roman" w:hAnsi="Times New Roman" w:cs="Times New Roman"/>
          <w:sz w:val="24"/>
          <w:szCs w:val="24"/>
          <w:vertAlign w:val="superscript"/>
        </w:rPr>
        <w:t>-1</w:t>
      </w:r>
      <w:r w:rsidR="0076089E" w:rsidRPr="00120E33">
        <w:rPr>
          <w:rFonts w:ascii="Times New Roman" w:hAnsi="Times New Roman" w:cs="Times New Roman"/>
          <w:sz w:val="24"/>
          <w:szCs w:val="24"/>
        </w:rPr>
        <w:t xml:space="preserve"> at 2.5 vol.% </w:t>
      </w:r>
      <w:r w:rsidR="0076089E" w:rsidRPr="00120E33">
        <w:rPr>
          <w:rFonts w:ascii="Times New Roman" w:hAnsi="Times New Roman" w:cs="Times New Roman"/>
          <w:sz w:val="24"/>
          <w:szCs w:val="24"/>
        </w:rPr>
        <w:fldChar w:fldCharType="begin" w:fldLock="1"/>
      </w:r>
      <w:r w:rsidR="0076089E" w:rsidRPr="00120E33">
        <w:rPr>
          <w:rFonts w:ascii="Times New Roman" w:hAnsi="Times New Roman" w:cs="Times New Roman"/>
          <w:sz w:val="24"/>
          <w:szCs w:val="24"/>
        </w:rPr>
        <w:instrText>ADDIN CSL_CITATION { "citationItems" : [ { "id" : "ITEM-1", "itemData" : { "DOI" : "10.1038/nature04969", "ISBN" : "1476-4687 (Electronic)\\r0028-0836 (Linking)", "ISSN" : "0028-0836", "PMID" : "16855586", "abstract" : "Graphene sheets--one-atom-thick two-dimensional layers of sp2-bonded carbon--are predicted to have a range of unusual properties. Their thermal conductivity and mechanical stiffness may rival the remarkable in-plane values for graphite (approximately 3,000 W m(-1) K(-1) and 1,060 GPa, respectively); their fracture strength should be comparable to that of carbon nanotubes for similar types of defects; and recent studies have shown that individual graphene sheets have extraordinary electronic transport properties. One possible route to harnessing these properties for applications would be to incorporate graphene sheets in a composite material. The manufacturing of such composites requires not only that graphene sheets be produced on a sufficient scale but that they also be incorporated, and homogeneously distributed, into various matrices. Graphite, inexpensive and available in large quantity, unfortunately does not readily exfoliate to yield individual graphene sheets. Here we present a general approach for the preparation of graphene-polymer composites via complete exfoliation of graphite and molecular-level dispersion of individual, chemically modified graphene sheets within polymer hosts. A polystyrene-graphene composite formed by this route exhibits a percolation threshold of approximately 0.1 volume per cent for room-temperature electrical conductivity, the lowest reported value for any carbon-based composite except for those involving carbon nanotubes; at only 1 volume per cent, this composite has a conductivity of approximately 0.1 S m(-1), sufficient for many electrical applications. Our bottom-up chemical approach of tuning the graphene sheet properties provides a path to a broad new class of graphene-based materials and their use in a variety of applications.", "author" : [ { "dropping-particle" : "", "family" : "Stankovich", "given" : "Sasha", "non-dropping-particle" : "", "parse-names" : false, "suffix" : "" }, { "dropping-particle" : "", "family" : "Dikin", "given" : "Dmitriy A.", "non-dropping-particle" : "", "parse-names" : false, "suffix" : "" }, { "dropping-particle" : "", "family" : "Dommett", "given" : "Geoffrey H B", "non-dropping-particle" : "", "parse-names" : false, "suffix" : "" }, { "dropping-particle" : "", "family" : "Kohlhaas", "given" : "Kevin M.", "non-dropping-particle" : "", "parse-names" : false, "suffix" : "" }, { "dropping-particle" : "", "family" : "Zimney", "given" : "Eric J.", "non-dropping-particle" : "", "parse-names" : false, "suffix" : "" }, { "dropping-particle" : "", "family" : "Stach", "given" : "Eric A.", "non-dropping-particle" : "", "parse-names" : false, "suffix" : "" }, { "dropping-particle" : "", "family" : "Piner", "given" : "Richard D.", "non-dropping-particle" : "", "parse-names" : false, "suffix" : "" }, { "dropping-particle" : "", "family" : "Nguyen", "given" : "SonBinh Binh T", "non-dropping-particle" : "", "parse-names" : false, "suffix" : "" }, { "dropping-particle" : "", "family" : "Ruoff", "given" : "Rodney S.", "non-dropping-particle" : "", "parse-names" : false, "suffix" : "" } ], "container-title" : "Nature", "id" : "ITEM-1", "issued" : { "date-parts" : [ [ "2006" ] ] }, "page" : "282-286", "title" : "Graphene-based composite materials", "type" : "article-journal", "volume" : "442" }, "uris" : [ "http://www.mendeley.com/documents/?uuid=16f87648-7759-4a98-8832-e8964431e15c" ] } ], "mendeley" : { "formattedCitation" : "[151]", "plainTextFormattedCitation" : "[151]", "previouslyFormattedCitation" : "[151]" }, "properties" : {  }, "schema" : "https://github.com/citation-style-language/schema/raw/master/csl-citation.json" }</w:instrText>
      </w:r>
      <w:r w:rsidR="0076089E" w:rsidRPr="00120E33">
        <w:rPr>
          <w:rFonts w:ascii="Times New Roman" w:hAnsi="Times New Roman" w:cs="Times New Roman"/>
          <w:sz w:val="24"/>
          <w:szCs w:val="24"/>
        </w:rPr>
        <w:fldChar w:fldCharType="separate"/>
      </w:r>
      <w:r w:rsidR="0076089E" w:rsidRPr="00120E33">
        <w:rPr>
          <w:rFonts w:ascii="Times New Roman" w:hAnsi="Times New Roman" w:cs="Times New Roman"/>
          <w:noProof/>
          <w:sz w:val="24"/>
          <w:szCs w:val="24"/>
        </w:rPr>
        <w:t>[151]</w:t>
      </w:r>
      <w:r w:rsidR="0076089E" w:rsidRPr="00120E33">
        <w:rPr>
          <w:rFonts w:ascii="Times New Roman" w:hAnsi="Times New Roman" w:cs="Times New Roman"/>
          <w:sz w:val="24"/>
          <w:szCs w:val="24"/>
        </w:rPr>
        <w:fldChar w:fldCharType="end"/>
      </w:r>
      <w:r w:rsidR="0076089E" w:rsidRPr="00120E33">
        <w:rPr>
          <w:rFonts w:ascii="Times New Roman" w:hAnsi="Times New Roman" w:cs="Times New Roman"/>
          <w:sz w:val="24"/>
          <w:szCs w:val="24"/>
        </w:rPr>
        <w:t>,</w:t>
      </w:r>
      <w:r w:rsidR="00621DF7" w:rsidRPr="00120E33">
        <w:rPr>
          <w:rFonts w:ascii="Times New Roman" w:hAnsi="Times New Roman" w:cs="Times New Roman"/>
          <w:sz w:val="24"/>
          <w:szCs w:val="24"/>
        </w:rPr>
        <w:t xml:space="preserve"> </w:t>
      </w:r>
      <w:r w:rsidR="008F0DFC" w:rsidRPr="00120E33">
        <w:rPr>
          <w:rFonts w:ascii="Times New Roman" w:hAnsi="Times New Roman" w:cs="Times New Roman"/>
          <w:sz w:val="24"/>
          <w:szCs w:val="24"/>
        </w:rPr>
        <w:t>PMMA/NanoG film reached 10</w:t>
      </w:r>
      <w:r w:rsidR="008F0DFC" w:rsidRPr="00120E33">
        <w:rPr>
          <w:rFonts w:ascii="Times New Roman" w:hAnsi="Times New Roman" w:cs="Times New Roman"/>
          <w:sz w:val="24"/>
          <w:szCs w:val="24"/>
          <w:vertAlign w:val="superscript"/>
        </w:rPr>
        <w:t>-3</w:t>
      </w:r>
      <w:r w:rsidR="008F0DFC" w:rsidRPr="00120E33">
        <w:rPr>
          <w:rFonts w:ascii="Times New Roman" w:hAnsi="Times New Roman" w:cs="Times New Roman"/>
          <w:sz w:val="24"/>
          <w:szCs w:val="24"/>
        </w:rPr>
        <w:t xml:space="preserve"> S m </w:t>
      </w:r>
      <w:r w:rsidR="008F0DFC" w:rsidRPr="00120E33">
        <w:rPr>
          <w:rFonts w:ascii="Times New Roman" w:hAnsi="Times New Roman" w:cs="Times New Roman"/>
          <w:sz w:val="24"/>
          <w:szCs w:val="24"/>
          <w:vertAlign w:val="superscript"/>
        </w:rPr>
        <w:t>-1</w:t>
      </w:r>
      <w:r w:rsidR="008F0DFC" w:rsidRPr="00120E33">
        <w:rPr>
          <w:rFonts w:ascii="Times New Roman" w:hAnsi="Times New Roman" w:cs="Times New Roman"/>
          <w:sz w:val="24"/>
          <w:szCs w:val="24"/>
        </w:rPr>
        <w:t xml:space="preserve"> when the graphite content is at 2.0 wt.% </w:t>
      </w:r>
      <w:r w:rsidR="008F0DFC" w:rsidRPr="00120E33">
        <w:rPr>
          <w:rFonts w:ascii="Times New Roman" w:hAnsi="Times New Roman" w:cs="Times New Roman"/>
          <w:sz w:val="24"/>
          <w:szCs w:val="24"/>
        </w:rPr>
        <w:fldChar w:fldCharType="begin" w:fldLock="1"/>
      </w:r>
      <w:r w:rsidR="007D10CD" w:rsidRPr="00120E33">
        <w:rPr>
          <w:rFonts w:ascii="Times New Roman" w:hAnsi="Times New Roman" w:cs="Times New Roman"/>
          <w:sz w:val="24"/>
          <w:szCs w:val="24"/>
        </w:rPr>
        <w:instrText>ADDIN CSL_CITATION { "citationItems" : [ { "id" : "ITEM-1", "itemData" : { "DOI" : "10.1016/j.eurpolymj.2003.08.005", "ISBN" : "8659526929", "author" : [ { "dropping-particle" : "", "family" : "Chen", "given" : "Guohua", "non-dropping-particle" : "", "parse-names" : false, "suffix" : "" }, { "dropping-particle" : "", "family" : "Weng", "given" : "Wengui", "non-dropping-particle" : "", "parse-names" : false, "suffix" : "" }, { "dropping-particle" : "", "family" : "Wu", "given" : "Dajun", "non-dropping-particle" : "", "parse-names" : false, "suffix" : "" }, { "dropping-particle" : "", "family" : "Wu", "given" : "Cuiling", "non-dropping-particle" : "", "parse-names" : false, "suffix" : "" } ], "id" : "ITEM-1", "issued" : { "date-parts" : [ [ "2003" ] ] }, "page" : "2329-2335", "title" : "PMMA / graphite nanosheets composite and its conducting properties", "type" : "article-journal", "volume" : "39" }, "uris" : [ "http://www.mendeley.com/documents/?uuid=19d6104d-aadb-47f3-b24c-33dd388f9370" ] } ], "mendeley" : { "formattedCitation" : "[215]", "plainTextFormattedCitation" : "[215]", "previouslyFormattedCitation" : "[215]" }, "properties" : {  }, "schema" : "https://github.com/citation-style-language/schema/raw/master/csl-citation.json" }</w:instrText>
      </w:r>
      <w:r w:rsidR="008F0DFC" w:rsidRPr="00120E33">
        <w:rPr>
          <w:rFonts w:ascii="Times New Roman" w:hAnsi="Times New Roman" w:cs="Times New Roman"/>
          <w:sz w:val="24"/>
          <w:szCs w:val="24"/>
        </w:rPr>
        <w:fldChar w:fldCharType="separate"/>
      </w:r>
      <w:r w:rsidR="008F0DFC" w:rsidRPr="00120E33">
        <w:rPr>
          <w:rFonts w:ascii="Times New Roman" w:hAnsi="Times New Roman" w:cs="Times New Roman"/>
          <w:noProof/>
          <w:sz w:val="24"/>
          <w:szCs w:val="24"/>
        </w:rPr>
        <w:t>[215]</w:t>
      </w:r>
      <w:r w:rsidR="008F0DFC" w:rsidRPr="00120E33">
        <w:rPr>
          <w:rFonts w:ascii="Times New Roman" w:hAnsi="Times New Roman" w:cs="Times New Roman"/>
          <w:sz w:val="24"/>
          <w:szCs w:val="24"/>
        </w:rPr>
        <w:fldChar w:fldCharType="end"/>
      </w:r>
      <w:r w:rsidR="008F0DFC" w:rsidRPr="00120E33">
        <w:rPr>
          <w:rFonts w:ascii="Times New Roman" w:hAnsi="Times New Roman" w:cs="Times New Roman"/>
          <w:sz w:val="24"/>
          <w:szCs w:val="24"/>
        </w:rPr>
        <w:t xml:space="preserve">, </w:t>
      </w:r>
      <w:r w:rsidR="007D10CD" w:rsidRPr="00120E33">
        <w:rPr>
          <w:rFonts w:ascii="Times New Roman" w:hAnsi="Times New Roman" w:cs="Times New Roman"/>
          <w:sz w:val="24"/>
          <w:szCs w:val="24"/>
        </w:rPr>
        <w:t>GNS-PS composites displayed a conductivity of 2.9 x 10</w:t>
      </w:r>
      <w:r w:rsidR="007D10CD" w:rsidRPr="00120E33">
        <w:rPr>
          <w:rFonts w:ascii="Times New Roman" w:hAnsi="Times New Roman" w:cs="Times New Roman"/>
          <w:sz w:val="24"/>
          <w:szCs w:val="24"/>
          <w:vertAlign w:val="superscript"/>
        </w:rPr>
        <w:t>-2</w:t>
      </w:r>
      <w:r w:rsidR="007D10CD" w:rsidRPr="00120E33">
        <w:rPr>
          <w:rFonts w:ascii="Times New Roman" w:hAnsi="Times New Roman" w:cs="Times New Roman"/>
          <w:sz w:val="24"/>
          <w:szCs w:val="24"/>
        </w:rPr>
        <w:t xml:space="preserve"> S m</w:t>
      </w:r>
      <w:r w:rsidR="007D10CD" w:rsidRPr="00120E33">
        <w:rPr>
          <w:rFonts w:ascii="Times New Roman" w:hAnsi="Times New Roman" w:cs="Times New Roman"/>
          <w:sz w:val="24"/>
          <w:szCs w:val="24"/>
          <w:vertAlign w:val="superscript"/>
        </w:rPr>
        <w:t>-1</w:t>
      </w:r>
      <w:r w:rsidR="007D10CD" w:rsidRPr="00120E33">
        <w:rPr>
          <w:rFonts w:ascii="Times New Roman" w:hAnsi="Times New Roman" w:cs="Times New Roman"/>
          <w:sz w:val="24"/>
          <w:szCs w:val="24"/>
        </w:rPr>
        <w:t xml:space="preserve"> at 2 wt.% </w:t>
      </w:r>
      <w:r w:rsidR="007D10CD" w:rsidRPr="00120E33">
        <w:rPr>
          <w:rFonts w:ascii="Times New Roman" w:hAnsi="Times New Roman" w:cs="Times New Roman"/>
          <w:sz w:val="24"/>
          <w:szCs w:val="24"/>
        </w:rPr>
        <w:fldChar w:fldCharType="begin" w:fldLock="1"/>
      </w:r>
      <w:r w:rsidR="007D10CD" w:rsidRPr="00120E33">
        <w:rPr>
          <w:rFonts w:ascii="Times New Roman" w:hAnsi="Times New Roman" w:cs="Times New Roman"/>
          <w:sz w:val="24"/>
          <w:szCs w:val="24"/>
        </w:rPr>
        <w:instrText>ADDIN CSL_CITATION { "citationItems" : [ { "id" : "ITEM-1", "itemData" : { "DOI" : "10.1016/j.cplett.2009.11.024", "ISBN" : "0009-2614", "ISSN" : "00092614", "abstract" : "Graphene nanosheets-polystyrene nanocomposites were prepared by in situ emulsion polymerization and reduction of graphene oxide using hydrazine hydrate. PS microspheres covalently linked to the edges of graphene nanosheets. The polystyrene-absorbed graphene has been dispersed well in the solvents of toluene and chloroform. The nanocomposites display high electrical conductivity, and a considerable increase in glass-transition temperature and good thermal stability of PS are also achieved. The facile and environmental-friendly technique presented here is an effective and promising method of functionalization of graphene sheets by polymers or other compounds. ?? 2009 Elsevier B.V. All rights reserved.", "author" : [ { "dropping-particle" : "", "family" : "Hu", "given" : "Huating", "non-dropping-particle" : "", "parse-names" : false, "suffix" : "" }, { "dropping-particle" : "", "family" : "Wang", "given" : "Xianbao", "non-dropping-particle" : "", "parse-names" : false, "suffix" : "" }, { "dropping-particle" : "", "family" : "Wang", "given" : "Jingchao", "non-dropping-particle" : "", "parse-names" : false, "suffix" : "" }, { "dropping-particle" : "", "family" : "Wan", "given" : "Li", "non-dropping-particle" : "", "parse-names" : false, "suffix" : "" }, { "dropping-particle" : "", "family" : "Liu", "given" : "Fangming", "non-dropping-particle" : "", "parse-names" : false, "suffix" : "" }, { "dropping-particle" : "", "family" : "Zheng", "given" : "Han", "non-dropping-particle" : "", "parse-names" : false, "suffix" : "" }, { "dropping-particle" : "", "family" : "Chen", "given" : "Rong", "non-dropping-particle" : "", "parse-names" : false, "suffix" : "" }, { "dropping-particle" : "", "family" : "Xu", "given" : "Chunhui", "non-dropping-particle" : "", "parse-names" : false, "suffix" : "" } ], "container-title" : "Chemical Physics Letters", "id" : "ITEM-1", "issue" : "4-6", "issued" : { "date-parts" : [ [ "2010" ] ] }, "page" : "247-253", "publisher" : "Elsevier B.V.", "title" : "Preparation and properties of graphene nanosheets-polystyrene nanocomposites via in situ emulsion polymerization", "type" : "article-journal", "volume" : "484" }, "uris" : [ "http://www.mendeley.com/documents/?uuid=dce75d48-920c-44f1-9d2e-ced6b1e26c88" ] } ], "mendeley" : { "formattedCitation" : "[216]", "plainTextFormattedCitation" : "[216]" }, "properties" : {  }, "schema" : "https://github.com/citation-style-language/schema/raw/master/csl-citation.json" }</w:instrText>
      </w:r>
      <w:r w:rsidR="007D10CD" w:rsidRPr="00120E33">
        <w:rPr>
          <w:rFonts w:ascii="Times New Roman" w:hAnsi="Times New Roman" w:cs="Times New Roman"/>
          <w:sz w:val="24"/>
          <w:szCs w:val="24"/>
        </w:rPr>
        <w:fldChar w:fldCharType="separate"/>
      </w:r>
      <w:r w:rsidR="007D10CD" w:rsidRPr="00120E33">
        <w:rPr>
          <w:rFonts w:ascii="Times New Roman" w:hAnsi="Times New Roman" w:cs="Times New Roman"/>
          <w:noProof/>
          <w:sz w:val="24"/>
          <w:szCs w:val="24"/>
        </w:rPr>
        <w:t>[216]</w:t>
      </w:r>
      <w:r w:rsidR="007D10CD" w:rsidRPr="00120E33">
        <w:rPr>
          <w:rFonts w:ascii="Times New Roman" w:hAnsi="Times New Roman" w:cs="Times New Roman"/>
          <w:sz w:val="24"/>
          <w:szCs w:val="24"/>
        </w:rPr>
        <w:fldChar w:fldCharType="end"/>
      </w:r>
      <w:r w:rsidR="00A35ECE" w:rsidRPr="00120E33">
        <w:rPr>
          <w:rFonts w:ascii="Times New Roman" w:hAnsi="Times New Roman" w:cs="Times New Roman"/>
          <w:sz w:val="24"/>
          <w:szCs w:val="24"/>
        </w:rPr>
        <w:t>, UPR/RGO composites prepared in this method shows a great improvements</w:t>
      </w:r>
      <w:r w:rsidR="00AC412D" w:rsidRPr="00120E33">
        <w:rPr>
          <w:rFonts w:ascii="Times New Roman" w:hAnsi="Times New Roman" w:cs="Times New Roman"/>
          <w:sz w:val="24"/>
          <w:szCs w:val="24"/>
        </w:rPr>
        <w:t>. This indicated that the electrical properties of GO can be resto</w:t>
      </w:r>
      <w:r w:rsidR="00F365B1" w:rsidRPr="00120E33">
        <w:rPr>
          <w:rFonts w:ascii="Times New Roman" w:hAnsi="Times New Roman" w:cs="Times New Roman"/>
          <w:sz w:val="24"/>
          <w:szCs w:val="24"/>
        </w:rPr>
        <w:t xml:space="preserve">red by reducing with vitamin C, which can form a effective pathway for electrons transfer. Therefore, rGO reduced by vitamin C has the potential to </w:t>
      </w:r>
      <w:r w:rsidR="00C61836" w:rsidRPr="00120E33">
        <w:rPr>
          <w:rFonts w:ascii="Times New Roman" w:hAnsi="Times New Roman" w:cs="Times New Roman"/>
          <w:sz w:val="24"/>
          <w:szCs w:val="24"/>
        </w:rPr>
        <w:t>enable</w:t>
      </w:r>
      <w:r w:rsidR="00F365B1" w:rsidRPr="00120E33">
        <w:rPr>
          <w:rFonts w:ascii="Times New Roman" w:hAnsi="Times New Roman" w:cs="Times New Roman"/>
          <w:sz w:val="24"/>
          <w:szCs w:val="24"/>
        </w:rPr>
        <w:t xml:space="preserve"> insulator polymer to be electrically conductive for some specific applications such as electric devices. Besides, some improvement is also obser</w:t>
      </w:r>
      <w:r w:rsidR="00245B5C" w:rsidRPr="00120E33">
        <w:rPr>
          <w:rFonts w:ascii="Times New Roman" w:hAnsi="Times New Roman" w:cs="Times New Roman"/>
          <w:sz w:val="24"/>
          <w:szCs w:val="24"/>
        </w:rPr>
        <w:t>ved on the thermal conductivity</w:t>
      </w:r>
      <w:r w:rsidR="00245B5C">
        <w:rPr>
          <w:rFonts w:ascii="Times New Roman" w:hAnsi="Times New Roman" w:cs="Times New Roman"/>
          <w:sz w:val="24"/>
          <w:szCs w:val="24"/>
        </w:rPr>
        <w:t xml:space="preserve">, which increases with rGO content. The maximum thermal conductivity occurs at 0.5 wt.% composite, while 1.0 wt.% shows the lowest value. </w:t>
      </w:r>
      <w:r w:rsidR="0029126D" w:rsidRPr="00583251">
        <w:rPr>
          <w:rFonts w:ascii="Times New Roman" w:hAnsi="Times New Roman" w:cs="Times New Roman"/>
          <w:sz w:val="24"/>
          <w:szCs w:val="24"/>
        </w:rPr>
        <w:t xml:space="preserve">For tensile testing and compression testing, modulus, strength, energy at breaks were reduced with rGO content (&lt;0.5 </w:t>
      </w:r>
      <w:r w:rsidR="0029126D" w:rsidRPr="0029126D">
        <w:rPr>
          <w:rFonts w:ascii="Times New Roman" w:hAnsi="Times New Roman" w:cs="Times New Roman"/>
          <w:sz w:val="24"/>
          <w:szCs w:val="24"/>
        </w:rPr>
        <w:t xml:space="preserve">wt.%), with increased elongation at break. However, 1.0 wt.% UPR/rGO showed an increased modulus, strength, energy at break, with a reduced elongation at break. </w:t>
      </w:r>
      <w:r w:rsidR="0029126D">
        <w:rPr>
          <w:rFonts w:ascii="Times New Roman" w:hAnsi="Times New Roman" w:cs="Times New Roman"/>
          <w:sz w:val="24"/>
          <w:szCs w:val="24"/>
        </w:rPr>
        <w:t>Tg reduces gradually as the rGO content increase, expect 1.0 wt.% composite which exhibits a 5 °C increase over neat UPR.</w:t>
      </w:r>
      <w:r w:rsidR="00245B5C">
        <w:rPr>
          <w:rFonts w:ascii="Times New Roman" w:hAnsi="Times New Roman" w:cs="Times New Roman"/>
          <w:sz w:val="24"/>
          <w:szCs w:val="24"/>
        </w:rPr>
        <w:t xml:space="preserve"> All these results are contributed to the dispersion of rGO that is in turn related to crosslinking density. </w:t>
      </w:r>
      <w:r w:rsidR="00154030">
        <w:rPr>
          <w:rFonts w:ascii="Times New Roman" w:hAnsi="Times New Roman" w:cs="Times New Roman"/>
          <w:sz w:val="24"/>
          <w:szCs w:val="24"/>
        </w:rPr>
        <w:t>When rGO content is no more than 0.5 wt.%, more styrene monomers tends to be absorbed on rGO surface by п-п interaction, resulting in a low crosslinking density. In contrast, when the rGO content is 1.0 wt.%, less styrene monomers are absorbed on rGO surface due to the aggregation, resulting in a high crosslinking density.</w:t>
      </w:r>
      <w:r w:rsidR="00B165E0">
        <w:rPr>
          <w:rFonts w:ascii="Times New Roman" w:hAnsi="Times New Roman" w:cs="Times New Roman"/>
          <w:sz w:val="24"/>
          <w:szCs w:val="24"/>
        </w:rPr>
        <w:t xml:space="preserve"> </w:t>
      </w:r>
    </w:p>
    <w:p w14:paraId="1828F27C" w14:textId="77777777" w:rsidR="00154030" w:rsidRPr="0029126D" w:rsidRDefault="00154030" w:rsidP="0029126D">
      <w:pPr>
        <w:spacing w:after="0" w:line="480" w:lineRule="auto"/>
        <w:jc w:val="both"/>
        <w:rPr>
          <w:rFonts w:ascii="Times New Roman" w:hAnsi="Times New Roman" w:cs="Times New Roman"/>
          <w:sz w:val="24"/>
          <w:szCs w:val="24"/>
        </w:rPr>
      </w:pPr>
    </w:p>
    <w:p w14:paraId="6A7CBBC8" w14:textId="77777777" w:rsidR="0029126D" w:rsidRDefault="0029126D" w:rsidP="0029126D">
      <w:pPr>
        <w:spacing w:after="0" w:line="480" w:lineRule="auto"/>
        <w:jc w:val="both"/>
        <w:rPr>
          <w:rFonts w:ascii="Times New Roman" w:hAnsi="Times New Roman" w:cs="Times New Roman"/>
          <w:sz w:val="24"/>
          <w:szCs w:val="24"/>
          <w:highlight w:val="yellow"/>
        </w:rPr>
      </w:pPr>
    </w:p>
    <w:p w14:paraId="7C1C0296" w14:textId="77777777" w:rsidR="0029126D" w:rsidRDefault="0029126D" w:rsidP="0029126D">
      <w:pPr>
        <w:spacing w:after="0" w:line="480" w:lineRule="auto"/>
        <w:jc w:val="both"/>
        <w:rPr>
          <w:rFonts w:ascii="Times New Roman" w:hAnsi="Times New Roman" w:cs="Times New Roman"/>
          <w:sz w:val="24"/>
          <w:szCs w:val="24"/>
          <w:highlight w:val="yellow"/>
        </w:rPr>
      </w:pPr>
    </w:p>
    <w:p w14:paraId="11785C47" w14:textId="77777777" w:rsidR="007E4AF6" w:rsidRPr="001A5452" w:rsidRDefault="007E4AF6" w:rsidP="007E4AF6">
      <w:pPr>
        <w:spacing w:after="0" w:line="480" w:lineRule="auto"/>
        <w:jc w:val="both"/>
        <w:rPr>
          <w:rFonts w:ascii="Times New Roman" w:hAnsi="Times New Roman" w:cs="Times New Roman"/>
          <w:sz w:val="24"/>
          <w:szCs w:val="24"/>
        </w:rPr>
      </w:pPr>
    </w:p>
    <w:p w14:paraId="5178D061" w14:textId="77777777" w:rsidR="007E4AF6" w:rsidRPr="001A5452" w:rsidRDefault="007E4AF6" w:rsidP="007E4AF6">
      <w:pPr>
        <w:spacing w:after="0" w:line="480" w:lineRule="auto"/>
        <w:jc w:val="both"/>
        <w:rPr>
          <w:rFonts w:ascii="Times New Roman" w:hAnsi="Times New Roman" w:cs="Times New Roman"/>
          <w:sz w:val="24"/>
          <w:szCs w:val="24"/>
        </w:rPr>
      </w:pPr>
    </w:p>
    <w:p w14:paraId="22DF091C" w14:textId="77777777" w:rsidR="007E4AF6" w:rsidRPr="001A5452" w:rsidRDefault="007E4AF6" w:rsidP="007E4AF6">
      <w:pPr>
        <w:spacing w:after="0" w:line="480" w:lineRule="auto"/>
        <w:jc w:val="both"/>
        <w:rPr>
          <w:rFonts w:ascii="Times New Roman" w:hAnsi="Times New Roman" w:cs="Times New Roman"/>
          <w:sz w:val="24"/>
          <w:szCs w:val="24"/>
        </w:rPr>
      </w:pPr>
    </w:p>
    <w:p w14:paraId="616D31EA" w14:textId="77777777" w:rsidR="007E4AF6" w:rsidRPr="001A5452" w:rsidRDefault="007E4AF6" w:rsidP="007E4AF6">
      <w:pPr>
        <w:spacing w:after="0" w:line="480" w:lineRule="auto"/>
        <w:jc w:val="both"/>
        <w:rPr>
          <w:rFonts w:ascii="Times New Roman" w:hAnsi="Times New Roman" w:cs="Times New Roman"/>
          <w:sz w:val="24"/>
          <w:szCs w:val="24"/>
        </w:rPr>
      </w:pPr>
    </w:p>
    <w:p w14:paraId="663D79EE" w14:textId="77777777" w:rsidR="001465FD" w:rsidRDefault="001465FD">
      <w:pPr>
        <w:rPr>
          <w:rFonts w:ascii="Times New Roman" w:hAnsi="Times New Roman" w:cs="Times New Roman"/>
          <w:b/>
          <w:sz w:val="40"/>
          <w:szCs w:val="40"/>
        </w:rPr>
      </w:pPr>
      <w:r>
        <w:rPr>
          <w:rFonts w:ascii="Times New Roman" w:hAnsi="Times New Roman" w:cs="Times New Roman"/>
          <w:b/>
          <w:sz w:val="40"/>
          <w:szCs w:val="40"/>
        </w:rPr>
        <w:br w:type="page"/>
      </w:r>
    </w:p>
    <w:p w14:paraId="3520C76F" w14:textId="0C1EAC9F" w:rsidR="007E4AF6" w:rsidRPr="00E709EE" w:rsidRDefault="00AD7EFB" w:rsidP="00E709EE">
      <w:pPr>
        <w:pStyle w:val="Heading1"/>
        <w:rPr>
          <w:sz w:val="40"/>
          <w:szCs w:val="40"/>
        </w:rPr>
      </w:pPr>
      <w:bookmarkStart w:id="158" w:name="_Toc518823309"/>
      <w:r>
        <w:rPr>
          <w:sz w:val="40"/>
          <w:szCs w:val="40"/>
        </w:rPr>
        <w:t>Chapter 5</w:t>
      </w:r>
      <w:r w:rsidR="007E4AF6" w:rsidRPr="00E709EE">
        <w:rPr>
          <w:sz w:val="40"/>
          <w:szCs w:val="40"/>
        </w:rPr>
        <w:t>: Conductive unsaturated polyester composites incorporated with vitamin C-reduced graphene oxide in one pot method</w:t>
      </w:r>
      <w:bookmarkEnd w:id="158"/>
    </w:p>
    <w:p w14:paraId="458FB69B" w14:textId="77777777" w:rsidR="007E4AF6" w:rsidRPr="001A5452" w:rsidRDefault="007E4AF6" w:rsidP="007E4AF6">
      <w:pPr>
        <w:spacing w:after="0" w:line="480" w:lineRule="auto"/>
        <w:jc w:val="center"/>
        <w:rPr>
          <w:rFonts w:ascii="Times New Roman" w:hAnsi="Times New Roman" w:cs="Times New Roman"/>
          <w:b/>
          <w:szCs w:val="24"/>
        </w:rPr>
      </w:pPr>
    </w:p>
    <w:p w14:paraId="355D2483" w14:textId="77777777" w:rsidR="007E4AF6" w:rsidRPr="001A5452" w:rsidRDefault="007E4AF6" w:rsidP="007E4AF6">
      <w:pPr>
        <w:spacing w:after="0" w:line="480" w:lineRule="auto"/>
        <w:rPr>
          <w:rFonts w:ascii="Times New Roman" w:hAnsi="Times New Roman" w:cs="Times New Roman"/>
          <w:b/>
          <w:szCs w:val="24"/>
        </w:rPr>
      </w:pPr>
    </w:p>
    <w:p w14:paraId="514E8503" w14:textId="5A375EC7" w:rsidR="007E4AF6" w:rsidRPr="001A5452" w:rsidRDefault="00AD7EFB" w:rsidP="007E4AF6">
      <w:pPr>
        <w:pStyle w:val="Heading1"/>
        <w:spacing w:before="0"/>
        <w:rPr>
          <w:rFonts w:cs="Times New Roman"/>
          <w:szCs w:val="24"/>
        </w:rPr>
      </w:pPr>
      <w:bookmarkStart w:id="159" w:name="_Toc518823310"/>
      <w:r>
        <w:rPr>
          <w:rFonts w:cs="Times New Roman"/>
          <w:szCs w:val="24"/>
        </w:rPr>
        <w:t>5</w:t>
      </w:r>
      <w:r w:rsidR="004A17DD">
        <w:rPr>
          <w:rFonts w:cs="Times New Roman"/>
          <w:szCs w:val="24"/>
        </w:rPr>
        <w:t>.</w:t>
      </w:r>
      <w:r w:rsidR="007E4AF6" w:rsidRPr="0029749B">
        <w:rPr>
          <w:rFonts w:cs="Times New Roman"/>
          <w:szCs w:val="24"/>
        </w:rPr>
        <w:t>1. Introduction</w:t>
      </w:r>
      <w:bookmarkEnd w:id="159"/>
    </w:p>
    <w:p w14:paraId="17E66E4C" w14:textId="7645859C" w:rsidR="001057BA" w:rsidRDefault="0029749B" w:rsidP="00DA69B8">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In </w:t>
      </w:r>
      <w:r>
        <w:rPr>
          <w:rFonts w:ascii="Times New Roman" w:hAnsi="Times New Roman" w:cs="Times New Roman"/>
          <w:sz w:val="24"/>
          <w:szCs w:val="24"/>
        </w:rPr>
        <w:t>previous Chapter</w:t>
      </w:r>
      <w:r w:rsidRPr="001A5452">
        <w:rPr>
          <w:rFonts w:ascii="Times New Roman" w:hAnsi="Times New Roman" w:cs="Times New Roman"/>
          <w:sz w:val="24"/>
          <w:szCs w:val="24"/>
        </w:rPr>
        <w:t xml:space="preserve">, </w:t>
      </w:r>
      <w:r>
        <w:rPr>
          <w:rFonts w:ascii="Times New Roman" w:hAnsi="Times New Roman" w:cs="Times New Roman"/>
          <w:sz w:val="24"/>
          <w:szCs w:val="24"/>
        </w:rPr>
        <w:t xml:space="preserve">UPR/rGO composites were prepared by simply mixing UPR and rGO that was reduced prior to the synthesis of composites. </w:t>
      </w:r>
      <w:r w:rsidRPr="001A5452">
        <w:rPr>
          <w:rFonts w:ascii="Times New Roman" w:hAnsi="Times New Roman" w:cs="Times New Roman"/>
          <w:sz w:val="24"/>
          <w:szCs w:val="24"/>
        </w:rPr>
        <w:t xml:space="preserve">The UPR/rGO </w:t>
      </w:r>
      <w:r>
        <w:rPr>
          <w:rFonts w:ascii="Times New Roman" w:hAnsi="Times New Roman" w:cs="Times New Roman"/>
          <w:sz w:val="24"/>
          <w:szCs w:val="24"/>
        </w:rPr>
        <w:t>composites show</w:t>
      </w:r>
      <w:r w:rsidRPr="001A5452">
        <w:rPr>
          <w:rFonts w:ascii="Times New Roman" w:hAnsi="Times New Roman" w:cs="Times New Roman"/>
          <w:sz w:val="24"/>
          <w:szCs w:val="24"/>
        </w:rPr>
        <w:t xml:space="preserve"> an enhanced electrical conductivity and thermal conductivity. However, </w:t>
      </w:r>
      <w:r>
        <w:rPr>
          <w:rFonts w:ascii="Times New Roman" w:hAnsi="Times New Roman" w:cs="Times New Roman"/>
          <w:sz w:val="24"/>
          <w:szCs w:val="24"/>
        </w:rPr>
        <w:t xml:space="preserve">there is no significant influence with thermal stability. </w:t>
      </w:r>
      <w:r w:rsidRPr="0029749B">
        <w:rPr>
          <w:rFonts w:ascii="Times New Roman" w:hAnsi="Times New Roman" w:cs="Times New Roman"/>
          <w:i/>
          <w:sz w:val="24"/>
          <w:szCs w:val="24"/>
        </w:rPr>
        <w:t>T</w:t>
      </w:r>
      <w:r w:rsidRPr="0029749B">
        <w:rPr>
          <w:rFonts w:ascii="Times New Roman" w:hAnsi="Times New Roman" w:cs="Times New Roman"/>
          <w:i/>
          <w:sz w:val="24"/>
          <w:szCs w:val="24"/>
          <w:vertAlign w:val="subscript"/>
        </w:rPr>
        <w:t>g</w:t>
      </w:r>
      <w:r w:rsidRPr="0029749B">
        <w:rPr>
          <w:rFonts w:ascii="Times New Roman" w:hAnsi="Times New Roman" w:cs="Times New Roman"/>
          <w:i/>
          <w:sz w:val="24"/>
          <w:szCs w:val="24"/>
        </w:rPr>
        <w:t xml:space="preserve"> </w:t>
      </w:r>
      <w:r>
        <w:rPr>
          <w:rFonts w:ascii="Times New Roman" w:hAnsi="Times New Roman" w:cs="Times New Roman"/>
          <w:sz w:val="24"/>
          <w:szCs w:val="24"/>
        </w:rPr>
        <w:t xml:space="preserve">decreases as rGO content (≤ 0.5 wt.%) increases. Moreover, </w:t>
      </w:r>
      <w:r w:rsidRPr="001A5452">
        <w:rPr>
          <w:rFonts w:ascii="Times New Roman" w:hAnsi="Times New Roman" w:cs="Times New Roman"/>
          <w:sz w:val="24"/>
          <w:szCs w:val="24"/>
        </w:rPr>
        <w:t xml:space="preserve">the mechanical properties </w:t>
      </w:r>
      <w:r>
        <w:rPr>
          <w:rFonts w:ascii="Times New Roman" w:hAnsi="Times New Roman" w:cs="Times New Roman"/>
          <w:sz w:val="24"/>
          <w:szCs w:val="24"/>
        </w:rPr>
        <w:t>is</w:t>
      </w:r>
      <w:r w:rsidRPr="001A5452">
        <w:rPr>
          <w:rFonts w:ascii="Times New Roman" w:hAnsi="Times New Roman" w:cs="Times New Roman"/>
          <w:sz w:val="24"/>
          <w:szCs w:val="24"/>
        </w:rPr>
        <w:t xml:space="preserve"> reduced when the rGO content is </w:t>
      </w:r>
      <w:r>
        <w:rPr>
          <w:rFonts w:ascii="Times New Roman" w:hAnsi="Times New Roman" w:cs="Times New Roman"/>
          <w:sz w:val="24"/>
          <w:szCs w:val="24"/>
        </w:rPr>
        <w:t>below 0.5 wt.%.</w:t>
      </w:r>
      <w:r w:rsidRPr="001A5452">
        <w:rPr>
          <w:rFonts w:ascii="Times New Roman" w:hAnsi="Times New Roman" w:cs="Times New Roman"/>
          <w:sz w:val="24"/>
          <w:szCs w:val="24"/>
        </w:rPr>
        <w:t xml:space="preserve"> </w:t>
      </w:r>
      <w:r>
        <w:rPr>
          <w:rFonts w:ascii="Times New Roman" w:hAnsi="Times New Roman" w:cs="Times New Roman"/>
          <w:sz w:val="24"/>
          <w:szCs w:val="24"/>
        </w:rPr>
        <w:t xml:space="preserve">This is may be contributed to the weak interfacial interaction between rGO and UPR. </w:t>
      </w:r>
      <w:r w:rsidR="007E4AF6" w:rsidRPr="001A5452">
        <w:rPr>
          <w:rFonts w:ascii="Times New Roman" w:hAnsi="Times New Roman" w:cs="Times New Roman"/>
          <w:sz w:val="24"/>
          <w:szCs w:val="24"/>
        </w:rPr>
        <w:t xml:space="preserve">After reduction, most of the oxygen functional groups on GO basal plane have been </w:t>
      </w:r>
      <w:r w:rsidR="00932E24">
        <w:rPr>
          <w:rFonts w:ascii="Times New Roman" w:hAnsi="Times New Roman" w:cs="Times New Roman"/>
          <w:sz w:val="24"/>
          <w:szCs w:val="24"/>
        </w:rPr>
        <w:t>re</w:t>
      </w:r>
      <w:r w:rsidR="007E4AF6" w:rsidRPr="001A5452">
        <w:rPr>
          <w:rFonts w:ascii="Times New Roman" w:hAnsi="Times New Roman" w:cs="Times New Roman"/>
          <w:sz w:val="24"/>
          <w:szCs w:val="24"/>
        </w:rPr>
        <w:t xml:space="preserve">moved, which is </w:t>
      </w:r>
      <w:r w:rsidR="00363B52" w:rsidRPr="00363B52">
        <w:rPr>
          <w:rFonts w:ascii="Times New Roman" w:hAnsi="Times New Roman" w:cs="Times New Roman"/>
          <w:sz w:val="24"/>
          <w:szCs w:val="24"/>
        </w:rPr>
        <w:t xml:space="preserve">difficult </w:t>
      </w:r>
      <w:r w:rsidR="007E4AF6" w:rsidRPr="001A5452">
        <w:rPr>
          <w:rFonts w:ascii="Times New Roman" w:hAnsi="Times New Roman" w:cs="Times New Roman"/>
          <w:sz w:val="24"/>
          <w:szCs w:val="24"/>
        </w:rPr>
        <w:t xml:space="preserve">for the </w:t>
      </w:r>
      <w:r w:rsidR="00363B52">
        <w:rPr>
          <w:rFonts w:ascii="Times New Roman" w:hAnsi="Times New Roman" w:cs="Times New Roman"/>
          <w:sz w:val="24"/>
          <w:szCs w:val="24"/>
        </w:rPr>
        <w:t xml:space="preserve">formation of hydrogen bonding </w:t>
      </w:r>
      <w:r w:rsidR="007E4AF6" w:rsidRPr="001A5452">
        <w:rPr>
          <w:rFonts w:ascii="Times New Roman" w:hAnsi="Times New Roman" w:cs="Times New Roman"/>
          <w:sz w:val="24"/>
          <w:szCs w:val="24"/>
        </w:rPr>
        <w:t xml:space="preserve">between GO and polymer matrix. Moreover, the hydrophobic nature and Van der Waals forces cause rGO to agglomerate and restack in organic solvents and polymer matrix, resulting in poor dispersion and properties </w:t>
      </w:r>
      <w:r w:rsidR="007E4AF6" w:rsidRPr="001A5452">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"10.1016/j.jcis.2010.01.035", "ISBN" : "0021-9797", "ISSN" : "00219797", "PMID" : "20673907", "abstract" : "This paper reports a large scale production route for polystyrene (PS) nanoparticle-functionalized graphene sheets using water based in situ microemulsion polymerization. The higher surface area of the graphene basal plane and the better proximity of the reactant species in in situ microemulsion polymerization were used to functionalize the graphene sheets using PS nanoparticles. The thermal properties of the PS were improved with the incorporation of graphene in the composite. The modified graphene exhibited good compatibility and interactions with the host PS matrix to form conducting PS films. \u00a9 2010.", "author" : [ { "dropping-particle" : "", "family" : "Patole", "given" : "Archana S.", "non-dropping-particle" : "", "parse-names" : false, "suffix" : "" }, { "dropping-particle" : "", "family" : "Patole", "given" : "Shashikant P.", "non-dropping-particle" : "", "parse-names" : false, "suffix" : "" }, { "dropping-particle" : "", "family" : "Kang", "given" : "Hyuck", "non-dropping-particle" : "", "parse-names" : false, "suffix" : "" }, { "dropping-particle" : "", "family" : "Yoo", "given" : "Ji Beom", "non-dropping-particle" : "", "parse-names" : false, "suffix" : "" }, { "dropping-particle" : "", "family" : "Kim", "given" : "Tae Ho", "non-dropping-particle" : "", "parse-names" : false, "suffix" : "" }, { "dropping-particle" : "", "family" : "Ahn", "given" : "Jeong Ho", "non-dropping-particle" : "", "parse-names" : false, "suffix" : "" } ], "container-title" : "Journal of Colloid and Interface Science", "id" : "ITEM-1", "issue" : "2", "issued" : { "date-parts" : [ [ "2010" ] ] }, "page" : "530-537", "publisher" : "Elsevier Inc.", "title" : "A facile approach to the fabrication of graphene/polystyrene nanocomposite by in situ microemulsion polymerization", "type" : "article-journal", "volume" : "350" }, "uris" : [ "http://www.mendeley.com/documents/?uuid=a8624f18-d1ba-4199-8193-b2a3a89c98a1" ] } ], "mendeley" : { "formattedCitation" : "[217]", "plainTextFormattedCitation" : "[217]", "previouslyFormattedCitation" : "[216]" }, "properties" : {  }, "schema" : "https://github.com/citation-style-language/schema/raw/master/csl-citation.json" }</w:instrText>
      </w:r>
      <w:r w:rsidR="007E4AF6" w:rsidRPr="001A5452">
        <w:rPr>
          <w:rFonts w:ascii="Times New Roman" w:hAnsi="Times New Roman" w:cs="Times New Roman"/>
          <w:sz w:val="24"/>
          <w:szCs w:val="24"/>
        </w:rPr>
        <w:fldChar w:fldCharType="separate"/>
      </w:r>
      <w:r w:rsidR="007D10CD" w:rsidRPr="007D10CD">
        <w:rPr>
          <w:rFonts w:ascii="Times New Roman" w:hAnsi="Times New Roman" w:cs="Times New Roman"/>
          <w:noProof/>
          <w:sz w:val="24"/>
          <w:szCs w:val="24"/>
        </w:rPr>
        <w:t>[217]</w:t>
      </w:r>
      <w:r w:rsidR="007E4AF6" w:rsidRPr="001A5452">
        <w:rPr>
          <w:rFonts w:ascii="Times New Roman" w:hAnsi="Times New Roman" w:cs="Times New Roman"/>
          <w:sz w:val="24"/>
          <w:szCs w:val="24"/>
        </w:rPr>
        <w:fldChar w:fldCharType="end"/>
      </w:r>
      <w:r w:rsidR="007E4AF6" w:rsidRPr="001A5452">
        <w:rPr>
          <w:rFonts w:ascii="Times New Roman" w:hAnsi="Times New Roman" w:cs="Times New Roman"/>
          <w:sz w:val="24"/>
          <w:szCs w:val="24"/>
        </w:rPr>
        <w:t xml:space="preserve">. To </w:t>
      </w:r>
      <w:r>
        <w:rPr>
          <w:rFonts w:ascii="Times New Roman" w:hAnsi="Times New Roman" w:cs="Times New Roman"/>
          <w:sz w:val="24"/>
          <w:szCs w:val="24"/>
        </w:rPr>
        <w:t>address this issue</w:t>
      </w:r>
      <w:r w:rsidR="007E4AF6" w:rsidRPr="001A5452">
        <w:rPr>
          <w:rFonts w:ascii="Times New Roman" w:hAnsi="Times New Roman" w:cs="Times New Roman"/>
          <w:sz w:val="24"/>
          <w:szCs w:val="24"/>
        </w:rPr>
        <w:t xml:space="preserve">, </w:t>
      </w:r>
      <w:r w:rsidR="001057BA">
        <w:rPr>
          <w:rFonts w:ascii="Times New Roman" w:hAnsi="Times New Roman" w:cs="Times New Roman"/>
          <w:sz w:val="24"/>
          <w:szCs w:val="24"/>
        </w:rPr>
        <w:t>UPR/GO composites are prepared by in one pot method, in which the formation of GO with UPR and the reduction of GO are carried out simultaneously. In this method, GO possesses extensive oxygen functional groups before reduction, which allows GO to combine with UPR polymer chains.</w:t>
      </w:r>
      <w:r w:rsidR="00CA6C80">
        <w:rPr>
          <w:rFonts w:ascii="Times New Roman" w:hAnsi="Times New Roman" w:cs="Times New Roman"/>
          <w:sz w:val="24"/>
          <w:szCs w:val="24"/>
        </w:rPr>
        <w:t xml:space="preserve"> Moreover, polymer chains also act as a stabilizer to prevent aggregation of GO during reduction</w:t>
      </w:r>
      <w:r w:rsidR="00FF6A95">
        <w:rPr>
          <w:rFonts w:ascii="Times New Roman" w:hAnsi="Times New Roman" w:cs="Times New Roman"/>
          <w:sz w:val="24"/>
          <w:szCs w:val="24"/>
        </w:rPr>
        <w:t xml:space="preserve"> </w:t>
      </w:r>
      <w:r w:rsidR="00FF6A95" w:rsidRPr="001A5452">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"10.1016/j.cplett.2009.11.024", "ISBN" : "0009-2614", "ISSN" : "00092614", "abstract" : "Graphene nanosheets-polystyrene nanocomposites were prepared by in situ emulsion polymerization and reduction of graphene oxide using hydrazine hydrate. PS microspheres covalently linked to the edges of graphene nanosheets. The polystyrene-absorbed graphene has been dispersed well in the solvents of toluene and chloroform. The nanocomposites display high electrical conductivity, and a considerable increase in glass-transition temperature and good thermal stability of PS are also achieved. The facile and environmental-friendly technique presented here is an effective and promising method of functionalization of graphene sheets by polymers or other compounds. ?? 2009 Elsevier B.V. All rights reserved.", "author" : [ { "dropping-particle" : "", "family" : "Hu", "given" : "Huating", "non-dropping-particle" : "", "parse-names" : false, "suffix" : "" }, { "dropping-particle" : "", "family" : "Wang", "given" : "Xianbao", "non-dropping-particle" : "", "parse-names" : false, "suffix" : "" }, { "dropping-particle" : "", "family" : "Wang", "given" : "Jingchao", "non-dropping-particle" : "", "parse-names" : false, "suffix" : "" }, { "dropping-particle" : "", "family" : "Wan", "given" : "Li", "non-dropping-particle" : "", "parse-names" : false, "suffix" : "" }, { "dropping-particle" : "", "family" : "Liu", "given" : "Fangming", "non-dropping-particle" : "", "parse-names" : false, "suffix" : "" }, { "dropping-particle" : "", "family" : "Zheng", "given" : "Han", "non-dropping-particle" : "", "parse-names" : false, "suffix" : "" }, { "dropping-particle" : "", "family" : "Chen", "given" : "Rong", "non-dropping-particle" : "", "parse-names" : false, "suffix" : "" }, { "dropping-particle" : "", "family" : "Xu", "given" : "Chunhui", "non-dropping-particle" : "", "parse-names" : false, "suffix" : "" } ], "container-title" : "Chemical Physics Letters", "id" : "ITEM-1", "issue" : "4-6", "issued" : { "date-parts" : [ [ "2010" ] ] }, "page" : "247-253", "publisher" : "Elsevier B.V.", "title" : "Preparation and properties of graphene nanosheets-polystyrene nanocomposites via in situ emulsion polymerization", "type" : "article-journal", "volume" : "484" }, "uris" : [ "http://www.mendeley.com/documents/?uuid=dce75d48-920c-44f1-9d2e-ced6b1e26c88" ] }, { "id" : "ITEM-2", "itemData" : { "DOI" : "10.1021/cm100998e", "ISBN" : "0897-4756", "ISSN" : "08974756", "PMID" : "1047", "abstract" : "This paper reports the first example of preparation of polypropylene/graphene oxide (PP/GO) nanocomposites via in situ Ziegler-Natta polymerization. A Mg/Ti catalyst species was incorporated into GO via surface functional groups including -OH and -COOH, giving a supported catalyst system primarily structured by nanoscale, predominantly single GO sheet. Subsequent propylene polymerization led to the in situ formation of PP matrix, which was accompanied by the nanoscale exfoliation of GO, as well as its gradual dispersion. Morphological examination of the ultimate PP/GO nanocomposites by TEM and SEM techniques revealed effective dispersion in nanoscale of GO in PP matrix. High electrical conductivity was discovered with thus prepared PP/GO nanocomposites; for example, at a GO loading of 4.9 wt %, sigma(c) was measured at 0.3 S.m(-1).", "author" : [ { "dropping-particle" : "", "family" : "Huang", "given" : "Yingjuan", "non-dropping-particle" : "", "parse-names" : false, "suffix" : "" }, { "dropping-particle" : "", "family" : "Qin", "given" : "Yawei", "non-dropping-particle" : "", "parse-names" : false, "suffix" : "" }, { "dropping-particle" : "", "family" : "Zhou", "given" : "Yong", "non-dropping-particle" : "", "parse-names" : false, "suffix" : "" }, { "dropping-particle" : "", "family" : "Niu", "given" : "Hui", "non-dropping-particle" : "", "parse-names" : false, "suffix" : "" }, { "dropping-particle" : "", "family" : "Yu", "given" : "Zhong Zhen", "non-dropping-particle" : "", "parse-names" : false, "suffix" : "" }, { "dropping-particle" : "", "family" : "Dong", "given" : "Jin Yong", "non-dropping-particle" : "", "parse-names" : false, "suffix" : "" } ], "container-title" : "Chemistry of Materials", "id" : "ITEM-2", "issue" : "13", "issued" : { "date-parts" : [ [ "2010" ] ] }, "page" : "4096-4102", "title" : "Polypropylene/graphene oxide nanocomposites prepared by in situ ziegler-natta polymerization", "type" : "article-journal", "volume" : "22" }, "uris" : [ "http://www.mendeley.com/documents/?uuid=df01e647-edd2-4838-b2b8-71b29b750baf" ] }, { "id" : "ITEM-3", "itemData" : { "DOI" : "10.1039/c1jm10717h", "ISBN" : "0959-9428", "ISSN" : "0959-9428", "abstract" : "The introduction of graphene into a polymer matrix can markedly improve its mechanical properties and electrical conductivity. We report herein a novel strategy to fabricate polyester/reduced graphene oxide composites via simultaneous dispersion and thermo-reduction of graphene oxide (GO) during in situ melt polycondensation. The pristine graphite was first oxidized using a strong oxidant acid to prepare GO, and then GO sheets were dispersed into ethylene glycol (EG), where a homogeneous dispersion of GO in EG was obtained with ultrasonication. Finally polyester/reduced graphene oxide composites were prepared via in situpolymerization of terephthalic acid (PTA) and ethylene glycol containing well dispersed GO. Fourier transform infrared spectroscopy (FTIR), thermogravimetric analysis (TGA), X-ray photoelectron spectroscopy (XPS) and sedimentation experiments have been used to characterize the prepared composites. It is demonstrated that poly(ethylene terephthalate) (PET) chains may have been sucessfully grafted onto GO sheets during polymerization, accompanied by the thermo-reduction from GO to graphene. The TGA and XPS results showed that the content of grafted PET polymer was about to 60\u201380%, which indicates a homogeneous dispersion of GO sheets in the PET matrix, as demonstrated by SEM. Furthermore, a significant improvement in tensile strength and elongation at break of PET has been achieved. Therefore, our work provides a new way for the preparation of polyester/reduced graphene oxide composites and functionalization of graphene.", "author" : [ { "dropping-particle" : "", "family" : "Liu", "given" : "Kai", "non-dropping-particle" : "", "parse-names" : false, "suffix" : "" }, { "dropping-particle" : "", "family" : "Chen", "given" : "Li", "non-dropping-particle" : "", "parse-names" : false, "suffix" : "" }, { "dropping-particle" : "", "family" : "Chen", "given" : "Yao", "non-dropping-particle" : "", "parse-names" : false, "suffix" : "" }, { "dropping-particle" : "", "family" : "Wu", "given" : "Jieli", "non-dropping-particle" : "", "parse-names" : false, "suffix" : "" }, { "dropping-particle" : "", "family" : "Zhang", "given" : "Weiyi", "non-dropping-particle" : "", "parse-names" : false, "suffix" : "" }, { "dropping-particle" : "", "family" : "Chen", "given" : "Feng", "non-dropping-particle" : "", "parse-names" : false, "suffix" : "" }, { "dropping-particle" : "", "family" : "Fu", "given" : "Qiang", "non-dropping-particle" : "", "parse-names" : false, "suffix" : "" } ], "container-title" : "Journal of Materials Chemistry", "id" : "ITEM-3", "issue" : "24", "issued" : { "date-parts" : [ [ "2011" ] ] }, "page" : "8612-8617", "title" : "Preparation of polyester/reduced graphene oxide composites via in situ melt polycondensation and simultaneous thermo-reduction of graphene oxide", "type" : "article-journal", "volume" : "21" }, "uris" : [ "http://www.mendeley.com/documents/?uuid=70ed887e-d71f-4d3c-8925-5899ff7d23d3" ] }, { "id" : "ITEM-4", "itemData" : { "DOI" : "10.1007/s13204-016-0518-y", "ISSN" : "2190-5509", "abstract" : "Graphene has excellent mechanical, thermal, optical and electrical properties and this has made it a prime target for use as a filler material in the development of multifunctional polymeric composites. However, several challenges need to be overcome to take full advantage of the aforementioned properties of graphene. These include achieving good dispersion and interfacial properties between the graphene filler and the polymeric matrix. In the present work, we report the thermal and mechanical properties of reduced graphene oxide/epoxy composites prepared via a facile, scalable and commercially viable method. Electron micrographs of the composites demon-strate that the reduced graphene oxide (rGO) is well dis-persed throughout the composite. Although no improvements in glass transition temperature, tensile strength and thermal stability in air of the composites were observed, good improvements in thermal conductivity (about 36 %), tensile and storage moduli (more than 13 %) were recorded with the addition of 2 wt% of rGO.", "author" : [ { "dropping-particle" : "", "family" : "Olowojoba", "given" : "Ganiu B.", "non-dropping-particle" : "", "parse-names" : false, "suffix" : "" }, { "dropping-particle" : "", "family" : "Eslava", "given" : "Salvador", "non-dropping-particle" : "", "parse-names" : false, "suffix" : "" }, { "dropping-particle" : "", "family" : "Gutierrez", "given" : "Eduardo S.", "non-dropping-particle" : "", "parse-names" : false, "suffix" : "" }, { "dropping-particle" : "", "family" : "Kinloch", "given" : "Anthony J.", "non-dropping-particle" : "", "parse-names" : false, "suffix" : "" }, { "dropping-particle" : "", "family" : "Mattevi", "given" : "Cecilia", "non-dropping-particle" : "", "parse-names" : false, "suffix" : "" }, { "dropping-particle" : "", "family" : "Rocha", "given" : "Victoria G.", "non-dropping-particle" : "", "parse-names" : false, "suffix" : "" }, { "dropping-particle" : "", "family" : "Taylor", "given" : "Ambrose C.", "non-dropping-particle" : "", "parse-names" : false, "suffix" : "" } ], "container-title" : "Applied Nanoscience", "id" : "ITEM-4", "issue" : "7", "issued" : { "date-parts" : [ [ "2016" ] ] }, "page" : "1015-1022", "publisher" : "Springer Berlin Heidelberg", "title" : "In situ thermally reduced graphene oxide/epoxy composites: thermal and mechanical properties", "type" : "article-journal", "volume" : "6" }, "uris" : [ "http://www.mendeley.com/documents/?uuid=8bc5c14a-95ad-4c90-b08e-8a0994e6518d" ] }, { "id" : "ITEM-5", "itemData" : { "DOI" : "10.1016/j.jcis.2010.01.035", "ISBN" : "0021-9797", "ISSN" : "00219797", "PMID" : "20673907", "abstract" : "This paper reports a large scale production route for polystyrene (PS) nanoparticle-functionalized graphene sheets using water based in situ microemulsion polymerization. The higher surface area of the graphene basal plane and the better proximity of the reactant species in in situ microemulsion polymerization were used to functionalize the graphene sheets using PS nanoparticles. The thermal properties of the PS were improved with the incorporation of graphene in the composite. The modified graphene exhibited good compatibility and interactions with the host PS matrix to form conducting PS films. \u00a9 2010.", "author" : [ { "dropping-particle" : "", "family" : "Patole", "given" : "Archana S.", "non-dropping-particle" : "", "parse-names" : false, "suffix" : "" }, { "dropping-particle" : "", "family" : "Patole", "given" : "Shashikant P.", "non-dropping-particle" : "", "parse-names" : false, "suffix" : "" }, { "dropping-particle" : "", "family" : "Kang", "given" : "Hyuck", "non-dropping-particle" : "", "parse-names" : false, "suffix" : "" }, { "dropping-particle" : "", "family" : "Yoo", "given" : "Ji Beom", "non-dropping-particle" : "", "parse-names" : false, "suffix" : "" }, { "dropping-particle" : "", "family" : "Kim", "given" : "Tae Ho", "non-dropping-particle" : "", "parse-names" : false, "suffix" : "" }, { "dropping-particle" : "", "family" : "Ahn", "given" : "Jeong Ho", "non-dropping-particle" : "", "parse-names" : false, "suffix" : "" } ], "container-title" : "Journal of Colloid and Interface Science", "id" : "ITEM-5", "issue" : "2", "issued" : { "date-parts" : [ [ "2010" ] ] }, "page" : "530-537", "publisher" : "Elsevier Inc.", "title" : "A facile approach to the fabrication of graphene/polystyrene nanocomposite by in situ microemulsion polymerization", "type" : "article-journal", "volume" : "350" }, "uris" : [ "http://www.mendeley.com/documents/?uuid=a8624f18-d1ba-4199-8193-b2a3a89c98a1" ] }, { "id" : "ITEM-6", "itemData" : { "DOI" : "10.1021/ma1009337", "ISBN" : "0024-9297", "ISSN" : "00249297", "abstract" : "We reported an efficient method to prepare nylon-6 (PA6) graphene (NG) composites by in situ polymerization of caprolactam in the presence of graphene oxide (GO). During the polycondensation, GO was thermally reduced to graphene simultaneously. By adjusting the feed ratio of caprolactam to GO, various composites with 0.01-10 wt % content of graphene were obtained. The highly grafting nylon-6 arms on graphene sheets was confirmed by XPS, FTIR, TGA and AFM measurements, showing the grafting content up to 78 wt % and homogeneous 2D brush-like morphology from A FM observations. The efficient polymer-chain grafting makes the grapheme homogeneously dispersed in PA6 matrix and depresses the crystallization of PA6 chains. Furthermore, we prepared NG fibers by melt spinning process, and found that the tensile strength increased by 2.1 folds and Young's modulus increased by 2.4 folds with the graphene loading of 0.1 wt % only, revealing an excellent reinforcement to composites by graphene. The in situ condensation polymerization approach paves the way to prepare graphene-based nanocomposites of condensation polymers with high performances and novel functionalities.", "author" : [ { "dropping-particle" : "", "family" : "Xu", "given" : "Zhen", "non-dropping-particle" : "", "parse-names" : false, "suffix" : "" }, { "dropping-particle" : "", "family" : "Gao", "given" : "Chao", "non-dropping-particle" : "", "parse-names" : false, "suffix" : "" } ], "container-title" : "Macromolecules", "id" : "ITEM-6", "issue" : "16", "issued" : { "date-parts" : [ [ "2010" ] ] }, "page" : "6716-6723", "title" : "In situ polymerization approach to graphene-reinforced nylon-6 composites", "type" : "article-journal", "volume" : "43" }, "uris" : [ "http://www.mendeley.com/documents/?uuid=bb2004c3-579b-46e0-a7d5-dcced85b945b" ] } ], "mendeley" : { "formattedCitation" : "[217,216,218\u2013221]", "plainTextFormattedCitation" : "[217,216,218\u2013221]", "previouslyFormattedCitation" : "[216\u2013221]" }, "properties" : {  }, "schema" : "https://github.com/citation-style-language/schema/raw/master/csl-citation.json" }</w:instrText>
      </w:r>
      <w:r w:rsidR="00FF6A95" w:rsidRPr="001A5452">
        <w:rPr>
          <w:rFonts w:ascii="Times New Roman" w:hAnsi="Times New Roman" w:cs="Times New Roman"/>
          <w:sz w:val="24"/>
          <w:szCs w:val="24"/>
        </w:rPr>
        <w:fldChar w:fldCharType="separate"/>
      </w:r>
      <w:r w:rsidR="007D10CD" w:rsidRPr="007D10CD">
        <w:rPr>
          <w:rFonts w:ascii="Times New Roman" w:hAnsi="Times New Roman" w:cs="Times New Roman"/>
          <w:noProof/>
          <w:sz w:val="24"/>
          <w:szCs w:val="24"/>
        </w:rPr>
        <w:t>[217,216,218–221]</w:t>
      </w:r>
      <w:r w:rsidR="00FF6A95" w:rsidRPr="001A5452">
        <w:rPr>
          <w:rFonts w:ascii="Times New Roman" w:hAnsi="Times New Roman" w:cs="Times New Roman"/>
          <w:sz w:val="24"/>
          <w:szCs w:val="24"/>
        </w:rPr>
        <w:fldChar w:fldCharType="end"/>
      </w:r>
      <w:r w:rsidR="00CA6C80">
        <w:rPr>
          <w:rFonts w:ascii="Times New Roman" w:hAnsi="Times New Roman" w:cs="Times New Roman"/>
          <w:sz w:val="24"/>
          <w:szCs w:val="24"/>
        </w:rPr>
        <w:t xml:space="preserve">. </w:t>
      </w:r>
      <w:r w:rsidR="00FF6A95" w:rsidRPr="001A5452">
        <w:rPr>
          <w:rFonts w:ascii="Times New Roman" w:hAnsi="Times New Roman" w:cs="Times New Roman"/>
          <w:sz w:val="24"/>
          <w:szCs w:val="24"/>
        </w:rPr>
        <w:t>For example, Ganiu</w:t>
      </w:r>
      <w:r w:rsidR="00FF6A95">
        <w:rPr>
          <w:rFonts w:ascii="Times New Roman" w:hAnsi="Times New Roman" w:cs="Times New Roman"/>
          <w:sz w:val="24"/>
          <w:szCs w:val="24"/>
        </w:rPr>
        <w:t xml:space="preserve"> et al.</w:t>
      </w:r>
      <w:r w:rsidR="00FF6A95" w:rsidRPr="001A5452">
        <w:rPr>
          <w:rFonts w:ascii="Times New Roman" w:hAnsi="Times New Roman" w:cs="Times New Roman"/>
          <w:sz w:val="24"/>
          <w:szCs w:val="24"/>
        </w:rPr>
        <w:t xml:space="preserve"> prepared rGO/epoxy composites by dispersi</w:t>
      </w:r>
      <w:r w:rsidR="00FF6A95">
        <w:rPr>
          <w:rFonts w:ascii="Times New Roman" w:hAnsi="Times New Roman" w:cs="Times New Roman"/>
          <w:sz w:val="24"/>
          <w:szCs w:val="24"/>
        </w:rPr>
        <w:t>ng</w:t>
      </w:r>
      <w:r w:rsidR="00FF6A95" w:rsidRPr="001A5452">
        <w:rPr>
          <w:rFonts w:ascii="Times New Roman" w:hAnsi="Times New Roman" w:cs="Times New Roman"/>
          <w:sz w:val="24"/>
          <w:szCs w:val="24"/>
        </w:rPr>
        <w:t xml:space="preserve"> GO in epoxy resin, followed by thermal reduction of </w:t>
      </w:r>
      <w:r w:rsidR="00FF6A95">
        <w:rPr>
          <w:rFonts w:ascii="Times New Roman" w:hAnsi="Times New Roman" w:cs="Times New Roman"/>
          <w:sz w:val="24"/>
          <w:szCs w:val="24"/>
        </w:rPr>
        <w:t xml:space="preserve">GO </w:t>
      </w:r>
      <w:r w:rsidR="00FF6A95" w:rsidRPr="001A5452">
        <w:rPr>
          <w:rFonts w:ascii="Times New Roman" w:hAnsi="Times New Roman" w:cs="Times New Roman"/>
          <w:sz w:val="24"/>
          <w:szCs w:val="24"/>
        </w:rPr>
        <w:t xml:space="preserve">at </w:t>
      </w:r>
      <w:r w:rsidR="00FF6A95">
        <w:rPr>
          <w:rFonts w:ascii="Times New Roman" w:hAnsi="Times New Roman" w:cs="Times New Roman"/>
          <w:sz w:val="24"/>
          <w:szCs w:val="24"/>
        </w:rPr>
        <w:t xml:space="preserve">a </w:t>
      </w:r>
      <w:r w:rsidR="00FF6A95" w:rsidRPr="001A5452">
        <w:rPr>
          <w:rFonts w:ascii="Times New Roman" w:hAnsi="Times New Roman" w:cs="Times New Roman"/>
          <w:sz w:val="24"/>
          <w:szCs w:val="24"/>
        </w:rPr>
        <w:t xml:space="preserve">relatively high temperature prior to addition of hardener and catalyst </w:t>
      </w:r>
      <w:r w:rsidR="00FF6A95" w:rsidRPr="001A5452">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"10.1007/s13204-016-0518-y", "ISSN" : "2190-5509", "abstract" : "Graphene has excellent mechanical, thermal, optical and electrical properties and this has made it a prime target for use as a filler material in the development of multifunctional polymeric composites. However, several challenges need to be overcome to take full advantage of the aforementioned properties of graphene. These include achieving good dispersion and interfacial properties between the graphene filler and the polymeric matrix. In the present work, we report the thermal and mechanical properties of reduced graphene oxide/epoxy composites prepared via a facile, scalable and commercially viable method. Electron micrographs of the composites demon-strate that the reduced graphene oxide (rGO) is well dis-persed throughout the composite. Although no improvements in glass transition temperature, tensile strength and thermal stability in air of the composites were observed, good improvements in thermal conductivity (about 36 %), tensile and storage moduli (more than 13 %) were recorded with the addition of 2 wt% of rGO.", "author" : [ { "dropping-particle" : "", "family" : "Olowojoba", "given" : "Ganiu B.", "non-dropping-particle" : "", "parse-names" : false, "suffix" : "" }, { "dropping-particle" : "", "family" : "Eslava", "given" : "Salvador", "non-dropping-particle" : "", "parse-names" : false, "suffix" : "" }, { "dropping-particle" : "", "family" : "Gutierrez", "given" : "Eduardo S.", "non-dropping-particle" : "", "parse-names" : false, "suffix" : "" }, { "dropping-particle" : "", "family" : "Kinloch", "given" : "Anthony J.", "non-dropping-particle" : "", "parse-names" : false, "suffix" : "" }, { "dropping-particle" : "", "family" : "Mattevi", "given" : "Cecilia", "non-dropping-particle" : "", "parse-names" : false, "suffix" : "" }, { "dropping-particle" : "", "family" : "Rocha", "given" : "Victoria G.", "non-dropping-particle" : "", "parse-names" : false, "suffix" : "" }, { "dropping-particle" : "", "family" : "Taylor", "given" : "Ambrose C.", "non-dropping-particle" : "", "parse-names" : false, "suffix" : "" } ], "container-title" : "Applied Nanoscience", "id" : "ITEM-1", "issue" : "7", "issued" : { "date-parts" : [ [ "2016" ] ] }, "page" : "1015-1022", "publisher" : "Springer Berlin Heidelberg", "title" : "In situ thermally reduced graphene oxide/epoxy composites: thermal and mechanical properties", "type" : "article-journal", "volume" : "6" }, "uris" : [ "http://www.mendeley.com/documents/?uuid=8bc5c14a-95ad-4c90-b08e-8a0994e6518d" ] } ], "mendeley" : { "formattedCitation" : "[220]", "plainTextFormattedCitation" : "[220]", "previouslyFormattedCitation" : "[220]" }, "properties" : {  }, "schema" : "https://github.com/citation-style-language/schema/raw/master/csl-citation.json" }</w:instrText>
      </w:r>
      <w:r w:rsidR="00FF6A95" w:rsidRPr="001A5452">
        <w:rPr>
          <w:rFonts w:ascii="Times New Roman" w:hAnsi="Times New Roman" w:cs="Times New Roman"/>
          <w:sz w:val="24"/>
          <w:szCs w:val="24"/>
        </w:rPr>
        <w:fldChar w:fldCharType="separate"/>
      </w:r>
      <w:r w:rsidR="008F0DFC" w:rsidRPr="008F0DFC">
        <w:rPr>
          <w:rFonts w:ascii="Times New Roman" w:hAnsi="Times New Roman" w:cs="Times New Roman"/>
          <w:noProof/>
          <w:sz w:val="24"/>
          <w:szCs w:val="24"/>
        </w:rPr>
        <w:t>[220]</w:t>
      </w:r>
      <w:r w:rsidR="00FF6A95" w:rsidRPr="001A5452">
        <w:rPr>
          <w:rFonts w:ascii="Times New Roman" w:hAnsi="Times New Roman" w:cs="Times New Roman"/>
          <w:sz w:val="24"/>
          <w:szCs w:val="24"/>
        </w:rPr>
        <w:fldChar w:fldCharType="end"/>
      </w:r>
      <w:r w:rsidR="00FF6A95" w:rsidRPr="001A5452">
        <w:rPr>
          <w:rFonts w:ascii="Times New Roman" w:hAnsi="Times New Roman" w:cs="Times New Roman"/>
          <w:sz w:val="24"/>
          <w:szCs w:val="24"/>
        </w:rPr>
        <w:t xml:space="preserve">. Liu prepared polyester/rGO </w:t>
      </w:r>
      <w:r w:rsidR="00FF6A95">
        <w:rPr>
          <w:rFonts w:ascii="Times New Roman" w:hAnsi="Times New Roman" w:cs="Times New Roman"/>
          <w:sz w:val="24"/>
          <w:szCs w:val="24"/>
        </w:rPr>
        <w:t xml:space="preserve">nanocomposites </w:t>
      </w:r>
      <w:r w:rsidR="00FF6A95" w:rsidRPr="001A5452">
        <w:rPr>
          <w:rFonts w:ascii="Times New Roman" w:hAnsi="Times New Roman" w:cs="Times New Roman"/>
          <w:sz w:val="24"/>
          <w:szCs w:val="24"/>
        </w:rPr>
        <w:t xml:space="preserve">by mixing GO with monomers and the thermal reduction carried out at high temperature (280 °C) and low pressure (65 Pa) </w:t>
      </w:r>
      <w:r w:rsidR="00FF6A95" w:rsidRPr="001A5452">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"10.1039/c1jm10717h", "ISBN" : "0959-9428", "ISSN" : "0959-9428", "abstract" : "The introduction of graphene into a polymer matrix can markedly improve its mechanical properties and electrical conductivity. We report herein a novel strategy to fabricate polyester/reduced graphene oxide composites via simultaneous dispersion and thermo-reduction of graphene oxide (GO) during in situ melt polycondensation. The pristine graphite was first oxidized using a strong oxidant acid to prepare GO, and then GO sheets were dispersed into ethylene glycol (EG), where a homogeneous dispersion of GO in EG was obtained with ultrasonication. Finally polyester/reduced graphene oxide composites were prepared via in situpolymerization of terephthalic acid (PTA) and ethylene glycol containing well dispersed GO. Fourier transform infrared spectroscopy (FTIR), thermogravimetric analysis (TGA), X-ray photoelectron spectroscopy (XPS) and sedimentation experiments have been used to characterize the prepared composites. It is demonstrated that poly(ethylene terephthalate) (PET) chains may have been sucessfully grafted onto GO sheets during polymerization, accompanied by the thermo-reduction from GO to graphene. The TGA and XPS results showed that the content of grafted PET polymer was about to 60\u201380%, which indicates a homogeneous dispersion of GO sheets in the PET matrix, as demonstrated by SEM. Furthermore, a significant improvement in tensile strength and elongation at break of PET has been achieved. Therefore, our work provides a new way for the preparation of polyester/reduced graphene oxide composites and functionalization of graphene.", "author" : [ { "dropping-particle" : "", "family" : "Liu", "given" : "Kai", "non-dropping-particle" : "", "parse-names" : false, "suffix" : "" }, { "dropping-particle" : "", "family" : "Chen", "given" : "Li", "non-dropping-particle" : "", "parse-names" : false, "suffix" : "" }, { "dropping-particle" : "", "family" : "Chen", "given" : "Yao", "non-dropping-particle" : "", "parse-names" : false, "suffix" : "" }, { "dropping-particle" : "", "family" : "Wu", "given" : "Jieli", "non-dropping-particle" : "", "parse-names" : false, "suffix" : "" }, { "dropping-particle" : "", "family" : "Zhang", "given" : "Weiyi", "non-dropping-particle" : "", "parse-names" : false, "suffix" : "" }, { "dropping-particle" : "", "family" : "Chen", "given" : "Feng", "non-dropping-particle" : "", "parse-names" : false, "suffix" : "" }, { "dropping-particle" : "", "family" : "Fu", "given" : "Qiang", "non-dropping-particle" : "", "parse-names" : false, "suffix" : "" } ], "container-title" : "Journal of Materials Chemistry", "id" : "ITEM-1", "issue" : "24", "issued" : { "date-parts" : [ [ "2011" ] ] }, "page" : "8612-8617", "title" : "Preparation of polyester/reduced graphene oxide composites via in situ melt polycondensation and simultaneous thermo-reduction of graphene oxide", "type" : "article-journal", "volume" : "21" }, "uris" : [ "http://www.mendeley.com/documents/?uuid=70ed887e-d71f-4d3c-8925-5899ff7d23d3", "http://www.mendeley.com/documents/?uuid=b1560cd0-a769-494e-8d05-43231239fbff" ] } ], "mendeley" : { "formattedCitation" : "[219]", "plainTextFormattedCitation" : "[219]", "previouslyFormattedCitation" : "[219]" }, "properties" : {  }, "schema" : "https://github.com/citation-style-language/schema/raw/master/csl-citation.json" }</w:instrText>
      </w:r>
      <w:r w:rsidR="00FF6A95" w:rsidRPr="001A5452">
        <w:rPr>
          <w:rFonts w:ascii="Times New Roman" w:hAnsi="Times New Roman" w:cs="Times New Roman"/>
          <w:sz w:val="24"/>
          <w:szCs w:val="24"/>
        </w:rPr>
        <w:fldChar w:fldCharType="separate"/>
      </w:r>
      <w:r w:rsidR="008F0DFC" w:rsidRPr="008F0DFC">
        <w:rPr>
          <w:rFonts w:ascii="Times New Roman" w:hAnsi="Times New Roman" w:cs="Times New Roman"/>
          <w:noProof/>
          <w:sz w:val="24"/>
          <w:szCs w:val="24"/>
        </w:rPr>
        <w:t>[219]</w:t>
      </w:r>
      <w:r w:rsidR="00FF6A95" w:rsidRPr="001A5452">
        <w:rPr>
          <w:rFonts w:ascii="Times New Roman" w:hAnsi="Times New Roman" w:cs="Times New Roman"/>
          <w:sz w:val="24"/>
          <w:szCs w:val="24"/>
        </w:rPr>
        <w:fldChar w:fldCharType="end"/>
      </w:r>
      <w:r w:rsidR="00FF6A95" w:rsidRPr="001A5452">
        <w:rPr>
          <w:rFonts w:ascii="Times New Roman" w:hAnsi="Times New Roman" w:cs="Times New Roman"/>
          <w:sz w:val="24"/>
          <w:szCs w:val="24"/>
        </w:rPr>
        <w:t xml:space="preserve">. Hu synthesized graphene/polystyrene </w:t>
      </w:r>
      <w:r w:rsidR="00FF6A95">
        <w:rPr>
          <w:rFonts w:ascii="Times New Roman" w:hAnsi="Times New Roman" w:cs="Times New Roman"/>
          <w:sz w:val="24"/>
          <w:szCs w:val="24"/>
        </w:rPr>
        <w:t xml:space="preserve">xxx </w:t>
      </w:r>
      <w:r w:rsidR="00FF6A95" w:rsidRPr="001A5452">
        <w:rPr>
          <w:rFonts w:ascii="Times New Roman" w:hAnsi="Times New Roman" w:cs="Times New Roman"/>
          <w:sz w:val="24"/>
          <w:szCs w:val="24"/>
        </w:rPr>
        <w:t xml:space="preserve">by mixing GO with monomer and surfactant, followed by reduction by hydrazine at 100 °C </w:t>
      </w:r>
      <w:r w:rsidR="00FF6A95">
        <w:rPr>
          <w:rFonts w:ascii="Times New Roman" w:hAnsi="Times New Roman" w:cs="Times New Roman"/>
          <w:sz w:val="24"/>
          <w:szCs w:val="24"/>
        </w:rPr>
        <w:t xml:space="preserve">for </w:t>
      </w:r>
      <w:r w:rsidR="00FF6A95" w:rsidRPr="001A5452">
        <w:rPr>
          <w:rFonts w:ascii="Times New Roman" w:hAnsi="Times New Roman" w:cs="Times New Roman"/>
          <w:sz w:val="24"/>
          <w:szCs w:val="24"/>
        </w:rPr>
        <w:t>2</w:t>
      </w:r>
      <w:r w:rsidR="00FF6A95">
        <w:rPr>
          <w:rFonts w:ascii="Times New Roman" w:hAnsi="Times New Roman" w:cs="Times New Roman"/>
          <w:sz w:val="24"/>
          <w:szCs w:val="24"/>
        </w:rPr>
        <w:t xml:space="preserve"> </w:t>
      </w:r>
      <w:r w:rsidR="00FF6A95" w:rsidRPr="001A5452">
        <w:rPr>
          <w:rFonts w:ascii="Times New Roman" w:hAnsi="Times New Roman" w:cs="Times New Roman"/>
          <w:sz w:val="24"/>
          <w:szCs w:val="24"/>
        </w:rPr>
        <w:t xml:space="preserve">h </w:t>
      </w:r>
      <w:r w:rsidR="00FF6A95" w:rsidRPr="001A5452">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"10.1016/j.cplett.2009.11.024", "ISBN" : "0009-2614", "ISSN" : "00092614", "abstract" : "Graphene nanosheets-polystyrene nanocomposites were prepared by in situ emulsion polymerization and reduction of graphene oxide using hydrazine hydrate. PS microspheres covalently linked to the edges of graphene nanosheets. The polystyrene-absorbed graphene has been dispersed well in the solvents of toluene and chloroform. The nanocomposites display high electrical conductivity, and a considerable increase in glass-transition temperature and good thermal stability of PS are also achieved. The facile and environmental-friendly technique presented here is an effective and promising method of functionalization of graphene sheets by polymers or other compounds. ?? 2009 Elsevier B.V. All rights reserved.", "author" : [ { "dropping-particle" : "", "family" : "Hu", "given" : "Huating", "non-dropping-particle" : "", "parse-names" : false, "suffix" : "" }, { "dropping-particle" : "", "family" : "Wang", "given" : "Xianbao", "non-dropping-particle" : "", "parse-names" : false, "suffix" : "" }, { "dropping-particle" : "", "family" : "Wang", "given" : "Jingchao", "non-dropping-particle" : "", "parse-names" : false, "suffix" : "" }, { "dropping-particle" : "", "family" : "Wan", "given" : "Li", "non-dropping-particle" : "", "parse-names" : false, "suffix" : "" }, { "dropping-particle" : "", "family" : "Liu", "given" : "Fangming", "non-dropping-particle" : "", "parse-names" : false, "suffix" : "" }, { "dropping-particle" : "", "family" : "Zheng", "given" : "Han", "non-dropping-particle" : "", "parse-names" : false, "suffix" : "" }, { "dropping-particle" : "", "family" : "Chen", "given" : "Rong", "non-dropping-particle" : "", "parse-names" : false, "suffix" : "" }, { "dropping-particle" : "", "family" : "Xu", "given" : "Chunhui", "non-dropping-particle" : "", "parse-names" : false, "suffix" : "" } ], "container-title" : "Chemical Physics Letters", "id" : "ITEM-1", "issue" : "4-6", "issued" : { "date-parts" : [ [ "2010" ] ] }, "page" : "247-253", "publisher" : "Elsevier B.V.", "title" : "Preparation and properties of graphene nanosheets-polystyrene nanocomposites via in situ emulsion polymerization", "type" : "article-journal", "volume" : "484" }, "uris" : [ "http://www.mendeley.com/documents/?uuid=dce75d48-920c-44f1-9d2e-ced6b1e26c88" ] } ], "mendeley" : { "formattedCitation" : "[216]", "plainTextFormattedCitation" : "[216]", "previouslyFormattedCitation" : "[217]" }, "properties" : {  }, "schema" : "https://github.com/citation-style-language/schema/raw/master/csl-citation.json" }</w:instrText>
      </w:r>
      <w:r w:rsidR="00FF6A95" w:rsidRPr="001A5452">
        <w:rPr>
          <w:rFonts w:ascii="Times New Roman" w:hAnsi="Times New Roman" w:cs="Times New Roman"/>
          <w:sz w:val="24"/>
          <w:szCs w:val="24"/>
        </w:rPr>
        <w:fldChar w:fldCharType="separate"/>
      </w:r>
      <w:r w:rsidR="007D10CD" w:rsidRPr="007D10CD">
        <w:rPr>
          <w:rFonts w:ascii="Times New Roman" w:hAnsi="Times New Roman" w:cs="Times New Roman"/>
          <w:noProof/>
          <w:sz w:val="24"/>
          <w:szCs w:val="24"/>
        </w:rPr>
        <w:t>[216]</w:t>
      </w:r>
      <w:r w:rsidR="00FF6A95" w:rsidRPr="001A5452">
        <w:rPr>
          <w:rFonts w:ascii="Times New Roman" w:hAnsi="Times New Roman" w:cs="Times New Roman"/>
          <w:sz w:val="24"/>
          <w:szCs w:val="24"/>
        </w:rPr>
        <w:fldChar w:fldCharType="end"/>
      </w:r>
      <w:r w:rsidR="00FF6A95" w:rsidRPr="001A5452">
        <w:rPr>
          <w:rFonts w:ascii="Times New Roman" w:hAnsi="Times New Roman" w:cs="Times New Roman"/>
          <w:sz w:val="24"/>
          <w:szCs w:val="24"/>
        </w:rPr>
        <w:t xml:space="preserve">. </w:t>
      </w:r>
      <w:r w:rsidR="00FF6A95">
        <w:rPr>
          <w:rFonts w:ascii="Times New Roman" w:hAnsi="Times New Roman" w:cs="Times New Roman"/>
          <w:sz w:val="24"/>
          <w:szCs w:val="24"/>
        </w:rPr>
        <w:t xml:space="preserve"> In this chapter, UPR/rGO composites with given rGO content are prepared by in one pot method. To study the effects of the solution on the electrical properties, thermal stability and </w:t>
      </w:r>
      <w:r w:rsidR="00FF6A95" w:rsidRPr="00FF6A95">
        <w:rPr>
          <w:rFonts w:ascii="Times New Roman" w:hAnsi="Times New Roman" w:cs="Times New Roman"/>
          <w:i/>
          <w:sz w:val="24"/>
          <w:szCs w:val="24"/>
        </w:rPr>
        <w:t>T</w:t>
      </w:r>
      <w:r w:rsidR="00FF6A95" w:rsidRPr="00FF6A95">
        <w:rPr>
          <w:rFonts w:ascii="Times New Roman" w:hAnsi="Times New Roman" w:cs="Times New Roman"/>
          <w:i/>
          <w:sz w:val="24"/>
          <w:szCs w:val="24"/>
          <w:vertAlign w:val="subscript"/>
        </w:rPr>
        <w:t>g</w:t>
      </w:r>
      <w:r w:rsidR="00FF6A95" w:rsidRPr="00FF6A95">
        <w:rPr>
          <w:rFonts w:ascii="Times New Roman" w:hAnsi="Times New Roman" w:cs="Times New Roman"/>
          <w:i/>
          <w:sz w:val="24"/>
          <w:szCs w:val="24"/>
        </w:rPr>
        <w:t>,</w:t>
      </w:r>
      <w:r w:rsidR="00FF6A95">
        <w:rPr>
          <w:rFonts w:ascii="Times New Roman" w:hAnsi="Times New Roman" w:cs="Times New Roman"/>
          <w:sz w:val="24"/>
          <w:szCs w:val="24"/>
        </w:rPr>
        <w:t xml:space="preserve"> DMF and THF-DMF are used. </w:t>
      </w:r>
    </w:p>
    <w:p w14:paraId="340A6F06" w14:textId="77777777" w:rsidR="001057BA" w:rsidRDefault="001057BA" w:rsidP="0029749B">
      <w:pPr>
        <w:spacing w:after="0" w:line="480" w:lineRule="auto"/>
        <w:ind w:firstLine="360"/>
        <w:jc w:val="both"/>
        <w:rPr>
          <w:rFonts w:ascii="Times New Roman" w:hAnsi="Times New Roman" w:cs="Times New Roman"/>
          <w:sz w:val="24"/>
          <w:szCs w:val="24"/>
        </w:rPr>
      </w:pPr>
    </w:p>
    <w:p w14:paraId="7897B949" w14:textId="699F690A" w:rsidR="007E4AF6" w:rsidRPr="001A5452" w:rsidRDefault="00AD7EFB" w:rsidP="007E4AF6">
      <w:pPr>
        <w:pStyle w:val="Heading1"/>
        <w:spacing w:before="0"/>
        <w:rPr>
          <w:rFonts w:cs="Times New Roman"/>
          <w:szCs w:val="24"/>
        </w:rPr>
      </w:pPr>
      <w:bookmarkStart w:id="160" w:name="_Toc518823311"/>
      <w:r>
        <w:rPr>
          <w:rFonts w:cs="Times New Roman"/>
          <w:szCs w:val="24"/>
        </w:rPr>
        <w:t>5</w:t>
      </w:r>
      <w:r w:rsidR="004A17DD">
        <w:rPr>
          <w:rFonts w:cs="Times New Roman"/>
          <w:szCs w:val="24"/>
        </w:rPr>
        <w:t>.</w:t>
      </w:r>
      <w:r w:rsidR="007E4AF6" w:rsidRPr="001A5452">
        <w:rPr>
          <w:rFonts w:cs="Times New Roman"/>
          <w:szCs w:val="24"/>
        </w:rPr>
        <w:t>2. Experimental section</w:t>
      </w:r>
      <w:bookmarkEnd w:id="160"/>
    </w:p>
    <w:p w14:paraId="6FAC11B7" w14:textId="357F4C97" w:rsidR="007E4AF6" w:rsidRPr="001A5452" w:rsidRDefault="00AD7EFB" w:rsidP="007E4AF6">
      <w:pPr>
        <w:pStyle w:val="Heading2"/>
        <w:spacing w:before="0"/>
        <w:rPr>
          <w:rFonts w:cs="Times New Roman"/>
          <w:szCs w:val="24"/>
        </w:rPr>
      </w:pPr>
      <w:bookmarkStart w:id="161" w:name="_Toc518823312"/>
      <w:r>
        <w:rPr>
          <w:rFonts w:cs="Times New Roman"/>
          <w:szCs w:val="24"/>
        </w:rPr>
        <w:t>5</w:t>
      </w:r>
      <w:r w:rsidR="004A17DD">
        <w:rPr>
          <w:rFonts w:cs="Times New Roman"/>
          <w:szCs w:val="24"/>
        </w:rPr>
        <w:t>.</w:t>
      </w:r>
      <w:r w:rsidR="007E4AF6" w:rsidRPr="001A5452">
        <w:rPr>
          <w:rFonts w:cs="Times New Roman"/>
          <w:szCs w:val="24"/>
        </w:rPr>
        <w:t>2.1. Materials</w:t>
      </w:r>
      <w:bookmarkEnd w:id="161"/>
    </w:p>
    <w:p w14:paraId="37307E69" w14:textId="31A41EC5"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 The chemicals used in this work were same in chapter 2. Briefly, unsaturated polyester resin (UPR) used in this work was CRYSTIC D3061 (R 50054, Scott Bader). Vitamin C (L-ascorbic acid) was purchased from Sigma-Aldrich. Graphene oxide was prepared from graphite by Hummers method reported in previous work </w:t>
      </w:r>
      <w:r w:rsidRPr="001A5452">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"10.1021/nn1006368", "ISBN" : "1936-0851", "ISSN" : "1936-086X", "PMID" : "20731455", "abstract" : "An improved method for the preparation of graphene oxide (GO) is described. Currently, Hummers' method (KMnO(4), NaNO(3), H(2)SO(4)) is the most common method used for preparing graphene oxide. We have found that excluding the NaNO(3), increasing the amount of KMnO(4), and performing the reaction in a 9:1 mixture of H(2)SO(4)/H(3)PO(4) improves the efficiency of the oxidation process. This improved method provides a greater amount of hydrophilic oxidized graphene material as compared to Hummers' method or Hummers' method with additional KMnO(4). Moreover, even though the GO produced by our method is more oxidized than that prepared by Hummers' method, when both are reduced in the same chamber with hydrazine, chemically converted graphene (CCG) produced from this new method is equivalent in its electrical conductivity. In contrast to Hummers' method, the new method does not generate toxic gas and the temperature is easily controlled. This improved synthesis of GO may be important for large-scale production of GO as well as the construction of devices composed of the subsequent CCG.", "author" : [ { "dropping-particle" : "", "family" : "Daniela C. Marcano", "given" : "Dmitry V. Kosynkin", "non-dropping-particle" : "", "parse-names" : false, "suffix" : "" } ], "container-title" : "Acs Nano", "id" : "ITEM-1", "issue" : "8", "issued" : { "date-parts" : [ [ "2010" ] ] }, "page" : "4806-4814", "title" : "Improved Synthesis of Graphene Oxide", "type" : "article-journal", "volume" : "4" }, "uris" : [ "http://www.mendeley.com/documents/?uuid=db8b51aa-2cfb-4741-ae74-e57e62eda52e" ] } ], "mendeley" : { "formattedCitation" : "[187]", "plainTextFormattedCitation" : "[187]", "previouslyFormattedCitation" : "[187]" }, "properties" : {  }, "schema" : "https://github.com/citation-style-language/schema/raw/master/csl-citation.json" }</w:instrText>
      </w:r>
      <w:r w:rsidRPr="001A5452">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[187]</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Other chemicals used in the experiments were reagent grade, purchased from VWR international LTD. </w:t>
      </w:r>
    </w:p>
    <w:p w14:paraId="6EFA8577" w14:textId="77777777" w:rsidR="00932E24" w:rsidRPr="001A5452" w:rsidRDefault="00932E24" w:rsidP="007E4AF6">
      <w:pPr>
        <w:spacing w:after="0" w:line="480" w:lineRule="auto"/>
        <w:jc w:val="both"/>
        <w:rPr>
          <w:rFonts w:ascii="Times New Roman" w:hAnsi="Times New Roman" w:cs="Times New Roman"/>
          <w:sz w:val="24"/>
          <w:szCs w:val="24"/>
        </w:rPr>
      </w:pPr>
    </w:p>
    <w:p w14:paraId="5A6E4F65" w14:textId="54AB329D" w:rsidR="007E4AF6" w:rsidRPr="001A5452" w:rsidRDefault="00AD7EFB" w:rsidP="007E4AF6">
      <w:pPr>
        <w:pStyle w:val="Heading2"/>
        <w:spacing w:before="0"/>
        <w:rPr>
          <w:rFonts w:cs="Times New Roman"/>
          <w:szCs w:val="24"/>
        </w:rPr>
      </w:pPr>
      <w:bookmarkStart w:id="162" w:name="_Toc518823313"/>
      <w:r>
        <w:rPr>
          <w:rFonts w:cs="Times New Roman"/>
          <w:szCs w:val="24"/>
        </w:rPr>
        <w:t>5</w:t>
      </w:r>
      <w:r w:rsidR="004A17DD">
        <w:rPr>
          <w:rFonts w:cs="Times New Roman"/>
          <w:szCs w:val="24"/>
        </w:rPr>
        <w:t>.</w:t>
      </w:r>
      <w:r w:rsidR="007E4AF6" w:rsidRPr="001A5452">
        <w:rPr>
          <w:rFonts w:cs="Times New Roman"/>
          <w:szCs w:val="24"/>
        </w:rPr>
        <w:t>2.2. Low-temperature reduction of graphene oxide (GO) by L-ascorbic acid (vitamin C)</w:t>
      </w:r>
      <w:bookmarkEnd w:id="162"/>
      <w:r w:rsidR="007E4AF6" w:rsidRPr="001A5452">
        <w:rPr>
          <w:rFonts w:cs="Times New Roman"/>
          <w:szCs w:val="24"/>
        </w:rPr>
        <w:t xml:space="preserve"> </w:t>
      </w:r>
    </w:p>
    <w:p w14:paraId="54E8B9F2" w14:textId="3C38832B"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Clear GO aqueous suspension (1 mg ml</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was obtained by mild agitation and sonication. Vitamin C aqueous solution (1 mg ml</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was added into the GO suspension to make a mixture with a Vitamin C/GO weight ratio of 6/1. Then the mixture was stirred under 40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C for up to 4 days. The resultant reduced GO by Vitamin C was collected and washed for 4 times by centrifuge to remove the vitamin C, followed by freeze-drying.</w:t>
      </w:r>
    </w:p>
    <w:p w14:paraId="5F0CD280" w14:textId="77777777" w:rsidR="00F42B32" w:rsidRPr="001A5452" w:rsidRDefault="00F42B32" w:rsidP="007E4AF6">
      <w:pPr>
        <w:spacing w:after="0" w:line="480" w:lineRule="auto"/>
        <w:jc w:val="both"/>
        <w:rPr>
          <w:rFonts w:ascii="Times New Roman" w:hAnsi="Times New Roman" w:cs="Times New Roman"/>
          <w:sz w:val="24"/>
          <w:szCs w:val="24"/>
        </w:rPr>
      </w:pPr>
    </w:p>
    <w:p w14:paraId="7F325419" w14:textId="42D9B22C" w:rsidR="007E4AF6" w:rsidRPr="00F42B32" w:rsidRDefault="00AD7EFB" w:rsidP="007E4AF6">
      <w:pPr>
        <w:pStyle w:val="Heading2"/>
        <w:spacing w:before="0"/>
        <w:rPr>
          <w:rFonts w:cs="Times New Roman"/>
          <w:szCs w:val="24"/>
        </w:rPr>
      </w:pPr>
      <w:bookmarkStart w:id="163" w:name="_Toc518823314"/>
      <w:r>
        <w:rPr>
          <w:rFonts w:cs="Times New Roman"/>
          <w:szCs w:val="24"/>
        </w:rPr>
        <w:t>5</w:t>
      </w:r>
      <w:r w:rsidR="004A17DD">
        <w:rPr>
          <w:rFonts w:cs="Times New Roman"/>
          <w:szCs w:val="24"/>
        </w:rPr>
        <w:t>.</w:t>
      </w:r>
      <w:r w:rsidR="007E4AF6" w:rsidRPr="001E7B6A">
        <w:rPr>
          <w:rFonts w:cs="Times New Roman"/>
          <w:szCs w:val="24"/>
        </w:rPr>
        <w:t>2.3. Preparation of UPR/GO and UPR/rGO composites</w:t>
      </w:r>
      <w:bookmarkEnd w:id="163"/>
    </w:p>
    <w:p w14:paraId="48D14575" w14:textId="4E86818F" w:rsidR="007E4AF6" w:rsidRDefault="007E4AF6" w:rsidP="007E4AF6">
      <w:pPr>
        <w:spacing w:after="0" w:line="480" w:lineRule="auto"/>
        <w:jc w:val="both"/>
        <w:rPr>
          <w:rFonts w:ascii="Times New Roman" w:hAnsi="Times New Roman" w:cs="Times New Roman"/>
          <w:sz w:val="24"/>
          <w:szCs w:val="24"/>
        </w:rPr>
      </w:pPr>
      <w:r w:rsidRPr="001E7B6A">
        <w:rPr>
          <w:rFonts w:ascii="Times New Roman" w:hAnsi="Times New Roman" w:cs="Times New Roman"/>
          <w:sz w:val="24"/>
          <w:szCs w:val="24"/>
        </w:rPr>
        <w:t>To prepare UPR/rGO composites, GO organic solvent suspension at 1.0 mg ml</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was prepared by magnetic agitation for 30 min, followed by mild sonication for another 30 min. Vitamin C was dissolved in 1 ml DMF by mild sonication. Then the two dispersions and UPR resin were mixed under stirring at 40 °C for 4 days to reduce GO by vitamin C. Solvents were removed by evaporation. After adding the hardener and promoter under stirring, the mixture was molded and cured with the following heating procedure: ambient temperature for 4 days, 80 °C for 3 hours, 120 °C for 1 hour, and 200 °C for 3 hours. The products were denoted as UPR/rGO0.91, and UPR/rGO1.32, where the fractions indicated the weight percentage of GO in the formulation. The composite UPR/GO0.96 was also prepared without adding vitamin C for comparison. Two</w:t>
      </w:r>
      <w:r w:rsidRPr="00F42B32">
        <w:rPr>
          <w:rFonts w:ascii="Times New Roman" w:hAnsi="Times New Roman" w:cs="Times New Roman"/>
          <w:sz w:val="24"/>
          <w:szCs w:val="24"/>
        </w:rPr>
        <w:t xml:space="preserve"> </w:t>
      </w:r>
      <w:r w:rsidRPr="001E7B6A">
        <w:rPr>
          <w:rFonts w:ascii="Times New Roman" w:hAnsi="Times New Roman" w:cs="Times New Roman"/>
          <w:sz w:val="24"/>
          <w:szCs w:val="24"/>
        </w:rPr>
        <w:t xml:space="preserve">controlled neat UPR samples, denoted as UPR and UPR (THF/DMF), were prepared by the same curing procedure. UPR was directly prepared from UPR resin, while UPR (THF/DMF) was prepared from UPR resin solution (resin/THF/DMF: 10 g/100 ml/1 ml) following the same solvent-removing and curing procedure that for preparing UPR/rGO composites. Another sample UPR/rGO1.32 (DMF) was prepared by using DMF to replace THF for the dispersion of GO for comparison. The formulas for preparing UPR, UPR/rGO, UPR/GO composites are summarized in Table </w:t>
      </w:r>
      <w:r w:rsidR="00AD7EFB">
        <w:rPr>
          <w:rFonts w:ascii="Times New Roman" w:hAnsi="Times New Roman" w:cs="Times New Roman"/>
          <w:sz w:val="24"/>
          <w:szCs w:val="24"/>
        </w:rPr>
        <w:t>5</w:t>
      </w:r>
      <w:r w:rsidR="00BF19FB">
        <w:rPr>
          <w:rFonts w:ascii="Times New Roman" w:hAnsi="Times New Roman" w:cs="Times New Roman"/>
          <w:sz w:val="24"/>
          <w:szCs w:val="24"/>
        </w:rPr>
        <w:t>.</w:t>
      </w:r>
      <w:r w:rsidRPr="001E7B6A">
        <w:rPr>
          <w:rFonts w:ascii="Times New Roman" w:hAnsi="Times New Roman" w:cs="Times New Roman"/>
          <w:sz w:val="24"/>
          <w:szCs w:val="24"/>
        </w:rPr>
        <w:t>1.</w:t>
      </w:r>
    </w:p>
    <w:p w14:paraId="410CB431" w14:textId="2BB71834" w:rsidR="00F42B32" w:rsidRDefault="00F42B32" w:rsidP="007E4AF6">
      <w:pPr>
        <w:spacing w:after="0" w:line="480" w:lineRule="auto"/>
        <w:jc w:val="both"/>
        <w:rPr>
          <w:rFonts w:ascii="Times New Roman" w:hAnsi="Times New Roman" w:cs="Times New Roman"/>
          <w:sz w:val="24"/>
          <w:szCs w:val="24"/>
        </w:rPr>
      </w:pPr>
    </w:p>
    <w:p w14:paraId="2A285550" w14:textId="2BBD8292" w:rsidR="00D47B0A" w:rsidRDefault="00D47B0A" w:rsidP="007E4AF6">
      <w:pPr>
        <w:spacing w:after="0" w:line="480" w:lineRule="auto"/>
        <w:jc w:val="both"/>
        <w:rPr>
          <w:rFonts w:ascii="Times New Roman" w:hAnsi="Times New Roman" w:cs="Times New Roman"/>
          <w:sz w:val="24"/>
          <w:szCs w:val="24"/>
        </w:rPr>
      </w:pPr>
    </w:p>
    <w:p w14:paraId="2046DF87" w14:textId="514EAA54" w:rsidR="00D47B0A" w:rsidRDefault="00D47B0A" w:rsidP="007E4AF6">
      <w:pPr>
        <w:spacing w:after="0" w:line="480" w:lineRule="auto"/>
        <w:jc w:val="both"/>
        <w:rPr>
          <w:rFonts w:ascii="Times New Roman" w:hAnsi="Times New Roman" w:cs="Times New Roman"/>
          <w:sz w:val="24"/>
          <w:szCs w:val="24"/>
        </w:rPr>
      </w:pPr>
    </w:p>
    <w:p w14:paraId="51E93DF8" w14:textId="74139FB5" w:rsidR="00D47B0A" w:rsidRDefault="00D47B0A" w:rsidP="007E4AF6">
      <w:pPr>
        <w:spacing w:after="0" w:line="480" w:lineRule="auto"/>
        <w:jc w:val="both"/>
        <w:rPr>
          <w:rFonts w:ascii="Times New Roman" w:hAnsi="Times New Roman" w:cs="Times New Roman"/>
          <w:sz w:val="24"/>
          <w:szCs w:val="24"/>
        </w:rPr>
      </w:pPr>
    </w:p>
    <w:p w14:paraId="2FE2C79C" w14:textId="5DE1397A" w:rsidR="00D47B0A" w:rsidRDefault="00D47B0A" w:rsidP="007E4AF6">
      <w:pPr>
        <w:spacing w:after="0" w:line="480" w:lineRule="auto"/>
        <w:jc w:val="both"/>
        <w:rPr>
          <w:rFonts w:ascii="Times New Roman" w:hAnsi="Times New Roman" w:cs="Times New Roman"/>
          <w:sz w:val="24"/>
          <w:szCs w:val="24"/>
        </w:rPr>
      </w:pPr>
    </w:p>
    <w:p w14:paraId="2466D42A" w14:textId="77777777" w:rsidR="00D47B0A" w:rsidRPr="001E7B6A" w:rsidRDefault="00D47B0A" w:rsidP="007E4AF6">
      <w:pPr>
        <w:spacing w:after="0" w:line="480" w:lineRule="auto"/>
        <w:jc w:val="both"/>
        <w:rPr>
          <w:rFonts w:ascii="Times New Roman" w:hAnsi="Times New Roman" w:cs="Times New Roman"/>
          <w:sz w:val="24"/>
          <w:szCs w:val="24"/>
        </w:rPr>
      </w:pPr>
    </w:p>
    <w:p w14:paraId="1F627571" w14:textId="5BC334C8" w:rsidR="007E4AF6" w:rsidRPr="001A5452" w:rsidRDefault="00AD7EFB" w:rsidP="00EC12AF">
      <w:pPr>
        <w:pStyle w:val="Caption"/>
        <w:ind w:firstLine="0"/>
        <w:rPr>
          <w:rFonts w:cs="Times New Roman"/>
          <w:szCs w:val="24"/>
          <w:lang w:val="en-GB"/>
        </w:rPr>
      </w:pPr>
      <w:bookmarkStart w:id="164" w:name="_Toc518823481"/>
      <w:r>
        <w:t>Table 5</w:t>
      </w:r>
      <w:r w:rsidR="00373B10">
        <w:t>.</w:t>
      </w:r>
      <w:r w:rsidR="00EC12AF">
        <w:fldChar w:fldCharType="begin"/>
      </w:r>
      <w:r w:rsidR="00EC12AF">
        <w:instrText xml:space="preserve"> SEQ Table_5. \* ARABIC </w:instrText>
      </w:r>
      <w:r w:rsidR="00EC12AF">
        <w:fldChar w:fldCharType="separate"/>
      </w:r>
      <w:r w:rsidR="00551ED9">
        <w:rPr>
          <w:noProof/>
        </w:rPr>
        <w:t>1</w:t>
      </w:r>
      <w:r w:rsidR="00EC12AF">
        <w:fldChar w:fldCharType="end"/>
      </w:r>
      <w:r w:rsidR="007E4AF6" w:rsidRPr="001E7B6A">
        <w:rPr>
          <w:rFonts w:cs="Times New Roman"/>
          <w:b w:val="0"/>
          <w:szCs w:val="24"/>
        </w:rPr>
        <w:t>.</w:t>
      </w:r>
      <w:r w:rsidR="007E4AF6" w:rsidRPr="001E7B6A">
        <w:rPr>
          <w:rFonts w:cs="Times New Roman"/>
          <w:szCs w:val="24"/>
        </w:rPr>
        <w:t xml:space="preserve"> Formulas for synthesis UPR, UPR/GO, UPR/rGO composites.</w:t>
      </w:r>
      <w:bookmarkEnd w:id="164"/>
    </w:p>
    <w:tbl>
      <w:tblPr>
        <w:tblStyle w:val="GridTable1Light-Accent5"/>
        <w:tblW w:w="9355"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2278"/>
        <w:gridCol w:w="1407"/>
        <w:gridCol w:w="990"/>
        <w:gridCol w:w="900"/>
        <w:gridCol w:w="1170"/>
        <w:gridCol w:w="1260"/>
        <w:gridCol w:w="1350"/>
      </w:tblGrid>
      <w:tr w:rsidR="007E4AF6" w:rsidRPr="001A5452" w14:paraId="2A22C513" w14:textId="77777777" w:rsidTr="003144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8" w:type="dxa"/>
            <w:tcBorders>
              <w:top w:val="single" w:sz="4" w:space="0" w:color="auto"/>
              <w:left w:val="nil"/>
              <w:bottom w:val="single" w:sz="4" w:space="0" w:color="auto"/>
            </w:tcBorders>
            <w:vAlign w:val="center"/>
          </w:tcPr>
          <w:p w14:paraId="1F404506" w14:textId="77777777" w:rsidR="007E4AF6" w:rsidRPr="001A5452" w:rsidRDefault="007E4AF6" w:rsidP="00EC12AF">
            <w:pPr>
              <w:spacing w:line="360" w:lineRule="auto"/>
              <w:jc w:val="center"/>
              <w:rPr>
                <w:rFonts w:ascii="Times New Roman" w:hAnsi="Times New Roman" w:cs="Times New Roman"/>
                <w:b w:val="0"/>
                <w:sz w:val="24"/>
                <w:szCs w:val="24"/>
              </w:rPr>
            </w:pPr>
          </w:p>
        </w:tc>
        <w:tc>
          <w:tcPr>
            <w:tcW w:w="1407" w:type="dxa"/>
            <w:tcBorders>
              <w:top w:val="single" w:sz="4" w:space="0" w:color="auto"/>
              <w:bottom w:val="single" w:sz="4" w:space="0" w:color="auto"/>
            </w:tcBorders>
            <w:vAlign w:val="center"/>
          </w:tcPr>
          <w:p w14:paraId="7FA4A9E7"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Fill content / %</w:t>
            </w:r>
          </w:p>
        </w:tc>
        <w:tc>
          <w:tcPr>
            <w:tcW w:w="990" w:type="dxa"/>
            <w:tcBorders>
              <w:top w:val="single" w:sz="4" w:space="0" w:color="auto"/>
              <w:bottom w:val="single" w:sz="4" w:space="0" w:color="auto"/>
            </w:tcBorders>
            <w:vAlign w:val="center"/>
          </w:tcPr>
          <w:p w14:paraId="6B1701FE"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UPR</w:t>
            </w:r>
          </w:p>
          <w:p w14:paraId="6CB46FDF"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 xml:space="preserve"> / g</w:t>
            </w:r>
          </w:p>
        </w:tc>
        <w:tc>
          <w:tcPr>
            <w:tcW w:w="900" w:type="dxa"/>
            <w:tcBorders>
              <w:top w:val="single" w:sz="4" w:space="0" w:color="auto"/>
              <w:bottom w:val="single" w:sz="4" w:space="0" w:color="auto"/>
            </w:tcBorders>
            <w:vAlign w:val="center"/>
          </w:tcPr>
          <w:p w14:paraId="6134AEED"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 xml:space="preserve">GO  </w:t>
            </w:r>
          </w:p>
          <w:p w14:paraId="3D27B01C"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 g</w:t>
            </w:r>
          </w:p>
        </w:tc>
        <w:tc>
          <w:tcPr>
            <w:tcW w:w="1170" w:type="dxa"/>
            <w:tcBorders>
              <w:top w:val="single" w:sz="4" w:space="0" w:color="auto"/>
              <w:bottom w:val="single" w:sz="4" w:space="0" w:color="auto"/>
            </w:tcBorders>
            <w:vAlign w:val="center"/>
          </w:tcPr>
          <w:p w14:paraId="369BFF3C"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vitamin C</w:t>
            </w:r>
          </w:p>
          <w:p w14:paraId="199B6B34"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 xml:space="preserve"> / g</w:t>
            </w:r>
          </w:p>
        </w:tc>
        <w:tc>
          <w:tcPr>
            <w:tcW w:w="1260" w:type="dxa"/>
            <w:tcBorders>
              <w:top w:val="single" w:sz="4" w:space="0" w:color="auto"/>
              <w:bottom w:val="single" w:sz="4" w:space="0" w:color="auto"/>
            </w:tcBorders>
            <w:vAlign w:val="center"/>
          </w:tcPr>
          <w:p w14:paraId="7A6C6B86"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Hardener</w:t>
            </w:r>
          </w:p>
          <w:p w14:paraId="2C65F861"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 xml:space="preserve">  / g</w:t>
            </w:r>
          </w:p>
        </w:tc>
        <w:tc>
          <w:tcPr>
            <w:tcW w:w="1350" w:type="dxa"/>
            <w:tcBorders>
              <w:top w:val="single" w:sz="4" w:space="0" w:color="auto"/>
              <w:bottom w:val="single" w:sz="4" w:space="0" w:color="auto"/>
              <w:right w:val="nil"/>
            </w:tcBorders>
            <w:vAlign w:val="center"/>
          </w:tcPr>
          <w:p w14:paraId="5EF66F16"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Promoter</w:t>
            </w:r>
          </w:p>
          <w:p w14:paraId="2F1094A2" w14:textId="77777777" w:rsidR="007E4AF6" w:rsidRPr="001A5452" w:rsidRDefault="007E4AF6" w:rsidP="00EC12AF">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A5452">
              <w:rPr>
                <w:rFonts w:ascii="Times New Roman" w:hAnsi="Times New Roman" w:cs="Times New Roman"/>
                <w:b w:val="0"/>
                <w:sz w:val="24"/>
                <w:szCs w:val="24"/>
              </w:rPr>
              <w:t xml:space="preserve"> / g</w:t>
            </w:r>
          </w:p>
        </w:tc>
      </w:tr>
      <w:tr w:rsidR="007E4AF6" w:rsidRPr="001A5452" w14:paraId="3399CFCC" w14:textId="77777777" w:rsidTr="00314423">
        <w:tc>
          <w:tcPr>
            <w:cnfStyle w:val="001000000000" w:firstRow="0" w:lastRow="0" w:firstColumn="1" w:lastColumn="0" w:oddVBand="0" w:evenVBand="0" w:oddHBand="0" w:evenHBand="0" w:firstRowFirstColumn="0" w:firstRowLastColumn="0" w:lastRowFirstColumn="0" w:lastRowLastColumn="0"/>
            <w:tcW w:w="2278" w:type="dxa"/>
            <w:tcBorders>
              <w:top w:val="single" w:sz="4" w:space="0" w:color="auto"/>
              <w:left w:val="nil"/>
            </w:tcBorders>
            <w:vAlign w:val="center"/>
          </w:tcPr>
          <w:p w14:paraId="12EF228D" w14:textId="77777777" w:rsidR="007E4AF6" w:rsidRPr="001A5452" w:rsidRDefault="007E4AF6" w:rsidP="00EC12AF">
            <w:pPr>
              <w:spacing w:line="360" w:lineRule="auto"/>
              <w:jc w:val="center"/>
              <w:rPr>
                <w:rFonts w:ascii="Times New Roman" w:hAnsi="Times New Roman" w:cs="Times New Roman"/>
                <w:b w:val="0"/>
                <w:sz w:val="24"/>
                <w:szCs w:val="24"/>
              </w:rPr>
            </w:pPr>
            <w:r w:rsidRPr="001A5452">
              <w:rPr>
                <w:rFonts w:ascii="Times New Roman" w:hAnsi="Times New Roman" w:cs="Times New Roman"/>
                <w:b w:val="0"/>
                <w:sz w:val="24"/>
                <w:szCs w:val="24"/>
              </w:rPr>
              <w:t>UPR</w:t>
            </w:r>
          </w:p>
        </w:tc>
        <w:tc>
          <w:tcPr>
            <w:tcW w:w="1407" w:type="dxa"/>
            <w:tcBorders>
              <w:top w:val="single" w:sz="4" w:space="0" w:color="auto"/>
            </w:tcBorders>
            <w:vAlign w:val="center"/>
          </w:tcPr>
          <w:p w14:paraId="7B0D3AFC"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w:t>
            </w:r>
          </w:p>
        </w:tc>
        <w:tc>
          <w:tcPr>
            <w:tcW w:w="990" w:type="dxa"/>
            <w:tcBorders>
              <w:top w:val="single" w:sz="4" w:space="0" w:color="auto"/>
            </w:tcBorders>
            <w:vAlign w:val="center"/>
          </w:tcPr>
          <w:p w14:paraId="459CC57D"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10</w:t>
            </w:r>
          </w:p>
        </w:tc>
        <w:tc>
          <w:tcPr>
            <w:tcW w:w="900" w:type="dxa"/>
            <w:tcBorders>
              <w:top w:val="single" w:sz="4" w:space="0" w:color="auto"/>
            </w:tcBorders>
            <w:vAlign w:val="center"/>
          </w:tcPr>
          <w:p w14:paraId="2A5134A3"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w:t>
            </w:r>
          </w:p>
        </w:tc>
        <w:tc>
          <w:tcPr>
            <w:tcW w:w="1170" w:type="dxa"/>
            <w:tcBorders>
              <w:top w:val="single" w:sz="4" w:space="0" w:color="auto"/>
            </w:tcBorders>
            <w:vAlign w:val="center"/>
          </w:tcPr>
          <w:p w14:paraId="085D1E18"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w:t>
            </w:r>
          </w:p>
        </w:tc>
        <w:tc>
          <w:tcPr>
            <w:tcW w:w="1260" w:type="dxa"/>
            <w:tcBorders>
              <w:top w:val="single" w:sz="4" w:space="0" w:color="auto"/>
            </w:tcBorders>
            <w:vAlign w:val="center"/>
          </w:tcPr>
          <w:p w14:paraId="77584021"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0.2</w:t>
            </w:r>
          </w:p>
        </w:tc>
        <w:tc>
          <w:tcPr>
            <w:tcW w:w="1350" w:type="dxa"/>
            <w:tcBorders>
              <w:top w:val="single" w:sz="4" w:space="0" w:color="auto"/>
              <w:right w:val="nil"/>
            </w:tcBorders>
            <w:vAlign w:val="center"/>
          </w:tcPr>
          <w:p w14:paraId="0FA121C9"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w:t>
            </w:r>
          </w:p>
        </w:tc>
      </w:tr>
      <w:tr w:rsidR="007E4AF6" w:rsidRPr="001A5452" w14:paraId="0E741021" w14:textId="77777777" w:rsidTr="00314423">
        <w:tc>
          <w:tcPr>
            <w:cnfStyle w:val="001000000000" w:firstRow="0" w:lastRow="0" w:firstColumn="1" w:lastColumn="0" w:oddVBand="0" w:evenVBand="0" w:oddHBand="0" w:evenHBand="0" w:firstRowFirstColumn="0" w:firstRowLastColumn="0" w:lastRowFirstColumn="0" w:lastRowLastColumn="0"/>
            <w:tcW w:w="2278" w:type="dxa"/>
            <w:tcBorders>
              <w:left w:val="nil"/>
            </w:tcBorders>
            <w:vAlign w:val="center"/>
          </w:tcPr>
          <w:p w14:paraId="2EC58C4B" w14:textId="77777777" w:rsidR="007E4AF6" w:rsidRPr="001A5452" w:rsidRDefault="007E4AF6" w:rsidP="00EC12AF">
            <w:pPr>
              <w:spacing w:line="360" w:lineRule="auto"/>
              <w:jc w:val="center"/>
              <w:rPr>
                <w:rFonts w:ascii="Times New Roman" w:hAnsi="Times New Roman" w:cs="Times New Roman"/>
                <w:b w:val="0"/>
                <w:sz w:val="24"/>
                <w:szCs w:val="24"/>
              </w:rPr>
            </w:pPr>
            <w:r w:rsidRPr="001A5452">
              <w:rPr>
                <w:rFonts w:ascii="Times New Roman" w:hAnsi="Times New Roman" w:cs="Times New Roman"/>
                <w:b w:val="0"/>
                <w:sz w:val="24"/>
                <w:szCs w:val="24"/>
              </w:rPr>
              <w:t>UPR/(THF/DMF)</w:t>
            </w:r>
          </w:p>
        </w:tc>
        <w:tc>
          <w:tcPr>
            <w:tcW w:w="1407" w:type="dxa"/>
            <w:vAlign w:val="center"/>
          </w:tcPr>
          <w:p w14:paraId="6BA3E226"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w:t>
            </w:r>
          </w:p>
        </w:tc>
        <w:tc>
          <w:tcPr>
            <w:tcW w:w="990" w:type="dxa"/>
            <w:vAlign w:val="center"/>
          </w:tcPr>
          <w:p w14:paraId="0927C1E5"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10</w:t>
            </w:r>
          </w:p>
        </w:tc>
        <w:tc>
          <w:tcPr>
            <w:tcW w:w="900" w:type="dxa"/>
            <w:vAlign w:val="center"/>
          </w:tcPr>
          <w:p w14:paraId="55462BDB"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w:t>
            </w:r>
          </w:p>
        </w:tc>
        <w:tc>
          <w:tcPr>
            <w:tcW w:w="1170" w:type="dxa"/>
            <w:vAlign w:val="center"/>
          </w:tcPr>
          <w:p w14:paraId="000D5D35"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w:t>
            </w:r>
          </w:p>
        </w:tc>
        <w:tc>
          <w:tcPr>
            <w:tcW w:w="1260" w:type="dxa"/>
            <w:vAlign w:val="center"/>
          </w:tcPr>
          <w:p w14:paraId="1BBD7C45"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0.2</w:t>
            </w:r>
          </w:p>
        </w:tc>
        <w:tc>
          <w:tcPr>
            <w:tcW w:w="1350" w:type="dxa"/>
            <w:tcBorders>
              <w:right w:val="nil"/>
            </w:tcBorders>
            <w:vAlign w:val="center"/>
          </w:tcPr>
          <w:p w14:paraId="4F551784"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w:t>
            </w:r>
          </w:p>
        </w:tc>
      </w:tr>
      <w:tr w:rsidR="007E4AF6" w:rsidRPr="001A5452" w14:paraId="6AC6F035" w14:textId="77777777" w:rsidTr="00314423">
        <w:tc>
          <w:tcPr>
            <w:cnfStyle w:val="001000000000" w:firstRow="0" w:lastRow="0" w:firstColumn="1" w:lastColumn="0" w:oddVBand="0" w:evenVBand="0" w:oddHBand="0" w:evenHBand="0" w:firstRowFirstColumn="0" w:firstRowLastColumn="0" w:lastRowFirstColumn="0" w:lastRowLastColumn="0"/>
            <w:tcW w:w="2278" w:type="dxa"/>
            <w:tcBorders>
              <w:left w:val="nil"/>
            </w:tcBorders>
            <w:vAlign w:val="center"/>
          </w:tcPr>
          <w:p w14:paraId="159B680E" w14:textId="77777777" w:rsidR="007E4AF6" w:rsidRPr="001A5452" w:rsidRDefault="007E4AF6" w:rsidP="00EC12AF">
            <w:pPr>
              <w:spacing w:line="360" w:lineRule="auto"/>
              <w:jc w:val="center"/>
              <w:rPr>
                <w:rFonts w:ascii="Times New Roman" w:hAnsi="Times New Roman" w:cs="Times New Roman"/>
                <w:b w:val="0"/>
                <w:sz w:val="24"/>
                <w:szCs w:val="24"/>
              </w:rPr>
            </w:pPr>
            <w:r w:rsidRPr="001A5452">
              <w:rPr>
                <w:rFonts w:ascii="Times New Roman" w:hAnsi="Times New Roman" w:cs="Times New Roman"/>
                <w:b w:val="0"/>
                <w:sz w:val="24"/>
                <w:szCs w:val="24"/>
              </w:rPr>
              <w:t>UPR/GO0.96</w:t>
            </w:r>
          </w:p>
        </w:tc>
        <w:tc>
          <w:tcPr>
            <w:tcW w:w="1407" w:type="dxa"/>
            <w:vAlign w:val="center"/>
          </w:tcPr>
          <w:p w14:paraId="05F39F0E"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0.96</w:t>
            </w:r>
          </w:p>
        </w:tc>
        <w:tc>
          <w:tcPr>
            <w:tcW w:w="990" w:type="dxa"/>
            <w:vAlign w:val="center"/>
          </w:tcPr>
          <w:p w14:paraId="6E2997E0"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10</w:t>
            </w:r>
          </w:p>
        </w:tc>
        <w:tc>
          <w:tcPr>
            <w:tcW w:w="900" w:type="dxa"/>
            <w:vAlign w:val="center"/>
          </w:tcPr>
          <w:p w14:paraId="4CB46AA1"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w:t>
            </w:r>
          </w:p>
        </w:tc>
        <w:tc>
          <w:tcPr>
            <w:tcW w:w="1170" w:type="dxa"/>
            <w:vAlign w:val="center"/>
          </w:tcPr>
          <w:p w14:paraId="406B7EE0"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w:t>
            </w:r>
          </w:p>
        </w:tc>
        <w:tc>
          <w:tcPr>
            <w:tcW w:w="1260" w:type="dxa"/>
            <w:vAlign w:val="center"/>
          </w:tcPr>
          <w:p w14:paraId="76EF2FCA"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0.2</w:t>
            </w:r>
          </w:p>
        </w:tc>
        <w:tc>
          <w:tcPr>
            <w:tcW w:w="1350" w:type="dxa"/>
            <w:tcBorders>
              <w:right w:val="nil"/>
            </w:tcBorders>
            <w:vAlign w:val="center"/>
          </w:tcPr>
          <w:p w14:paraId="51093F1C"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w:t>
            </w:r>
          </w:p>
        </w:tc>
      </w:tr>
      <w:tr w:rsidR="007E4AF6" w:rsidRPr="001A5452" w14:paraId="283AC8CB" w14:textId="77777777" w:rsidTr="00314423">
        <w:tc>
          <w:tcPr>
            <w:cnfStyle w:val="001000000000" w:firstRow="0" w:lastRow="0" w:firstColumn="1" w:lastColumn="0" w:oddVBand="0" w:evenVBand="0" w:oddHBand="0" w:evenHBand="0" w:firstRowFirstColumn="0" w:firstRowLastColumn="0" w:lastRowFirstColumn="0" w:lastRowLastColumn="0"/>
            <w:tcW w:w="2278" w:type="dxa"/>
            <w:tcBorders>
              <w:left w:val="nil"/>
            </w:tcBorders>
            <w:vAlign w:val="center"/>
          </w:tcPr>
          <w:p w14:paraId="6CFA15B1" w14:textId="77777777" w:rsidR="007E4AF6" w:rsidRPr="001A5452" w:rsidRDefault="007E4AF6" w:rsidP="00EC12AF">
            <w:pPr>
              <w:spacing w:line="360" w:lineRule="auto"/>
              <w:jc w:val="center"/>
              <w:rPr>
                <w:rFonts w:ascii="Times New Roman" w:hAnsi="Times New Roman" w:cs="Times New Roman"/>
                <w:b w:val="0"/>
                <w:sz w:val="24"/>
                <w:szCs w:val="24"/>
              </w:rPr>
            </w:pPr>
            <w:r w:rsidRPr="001A5452">
              <w:rPr>
                <w:rFonts w:ascii="Times New Roman" w:hAnsi="Times New Roman" w:cs="Times New Roman"/>
                <w:b w:val="0"/>
                <w:sz w:val="24"/>
                <w:szCs w:val="24"/>
              </w:rPr>
              <w:t>UPR/rGO0.91</w:t>
            </w:r>
          </w:p>
        </w:tc>
        <w:tc>
          <w:tcPr>
            <w:tcW w:w="1407" w:type="dxa"/>
            <w:vAlign w:val="center"/>
          </w:tcPr>
          <w:p w14:paraId="511F0BA1"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0.91</w:t>
            </w:r>
          </w:p>
        </w:tc>
        <w:tc>
          <w:tcPr>
            <w:tcW w:w="990" w:type="dxa"/>
            <w:vAlign w:val="center"/>
          </w:tcPr>
          <w:p w14:paraId="2F0E01B8"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10</w:t>
            </w:r>
          </w:p>
        </w:tc>
        <w:tc>
          <w:tcPr>
            <w:tcW w:w="900" w:type="dxa"/>
            <w:vAlign w:val="center"/>
          </w:tcPr>
          <w:p w14:paraId="4764CEB4"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w:t>
            </w:r>
          </w:p>
        </w:tc>
        <w:tc>
          <w:tcPr>
            <w:tcW w:w="1170" w:type="dxa"/>
            <w:vAlign w:val="center"/>
          </w:tcPr>
          <w:p w14:paraId="015AA796"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0.6</w:t>
            </w:r>
          </w:p>
        </w:tc>
        <w:tc>
          <w:tcPr>
            <w:tcW w:w="1260" w:type="dxa"/>
            <w:vAlign w:val="center"/>
          </w:tcPr>
          <w:p w14:paraId="0DDBD0F4"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0.2</w:t>
            </w:r>
          </w:p>
        </w:tc>
        <w:tc>
          <w:tcPr>
            <w:tcW w:w="1350" w:type="dxa"/>
            <w:tcBorders>
              <w:right w:val="nil"/>
            </w:tcBorders>
            <w:vAlign w:val="center"/>
          </w:tcPr>
          <w:p w14:paraId="44EBE19B"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w:t>
            </w:r>
          </w:p>
        </w:tc>
      </w:tr>
      <w:tr w:rsidR="007E4AF6" w:rsidRPr="001A5452" w14:paraId="721EB34F" w14:textId="77777777" w:rsidTr="00314423">
        <w:trPr>
          <w:trHeight w:val="122"/>
        </w:trPr>
        <w:tc>
          <w:tcPr>
            <w:cnfStyle w:val="001000000000" w:firstRow="0" w:lastRow="0" w:firstColumn="1" w:lastColumn="0" w:oddVBand="0" w:evenVBand="0" w:oddHBand="0" w:evenHBand="0" w:firstRowFirstColumn="0" w:firstRowLastColumn="0" w:lastRowFirstColumn="0" w:lastRowLastColumn="0"/>
            <w:tcW w:w="2278" w:type="dxa"/>
            <w:tcBorders>
              <w:left w:val="nil"/>
            </w:tcBorders>
            <w:vAlign w:val="center"/>
          </w:tcPr>
          <w:p w14:paraId="7235EEDB" w14:textId="77777777" w:rsidR="007E4AF6" w:rsidRPr="001A5452" w:rsidRDefault="007E4AF6" w:rsidP="00EC12AF">
            <w:pPr>
              <w:spacing w:line="360" w:lineRule="auto"/>
              <w:jc w:val="center"/>
              <w:rPr>
                <w:rFonts w:ascii="Times New Roman" w:hAnsi="Times New Roman" w:cs="Times New Roman"/>
                <w:b w:val="0"/>
                <w:sz w:val="24"/>
                <w:szCs w:val="24"/>
              </w:rPr>
            </w:pPr>
            <w:r w:rsidRPr="001A5452">
              <w:rPr>
                <w:rFonts w:ascii="Times New Roman" w:hAnsi="Times New Roman" w:cs="Times New Roman"/>
                <w:b w:val="0"/>
                <w:sz w:val="24"/>
                <w:szCs w:val="24"/>
              </w:rPr>
              <w:t>UPR/rGO1.32</w:t>
            </w:r>
          </w:p>
        </w:tc>
        <w:tc>
          <w:tcPr>
            <w:tcW w:w="1407" w:type="dxa"/>
            <w:vAlign w:val="center"/>
          </w:tcPr>
          <w:p w14:paraId="1A1942F8"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1.32</w:t>
            </w:r>
          </w:p>
        </w:tc>
        <w:tc>
          <w:tcPr>
            <w:tcW w:w="990" w:type="dxa"/>
            <w:vAlign w:val="center"/>
          </w:tcPr>
          <w:p w14:paraId="562ADDDD"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10</w:t>
            </w:r>
          </w:p>
        </w:tc>
        <w:tc>
          <w:tcPr>
            <w:tcW w:w="900" w:type="dxa"/>
            <w:vAlign w:val="center"/>
          </w:tcPr>
          <w:p w14:paraId="458E42D9"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0.15</w:t>
            </w:r>
          </w:p>
        </w:tc>
        <w:tc>
          <w:tcPr>
            <w:tcW w:w="1170" w:type="dxa"/>
            <w:vAlign w:val="center"/>
          </w:tcPr>
          <w:p w14:paraId="7DA75752"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0.9</w:t>
            </w:r>
          </w:p>
        </w:tc>
        <w:tc>
          <w:tcPr>
            <w:tcW w:w="1260" w:type="dxa"/>
            <w:vAlign w:val="center"/>
          </w:tcPr>
          <w:p w14:paraId="17CDD27D"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0.2</w:t>
            </w:r>
          </w:p>
        </w:tc>
        <w:tc>
          <w:tcPr>
            <w:tcW w:w="1350" w:type="dxa"/>
            <w:tcBorders>
              <w:right w:val="nil"/>
            </w:tcBorders>
            <w:vAlign w:val="center"/>
          </w:tcPr>
          <w:p w14:paraId="4E10B5E3"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w:t>
            </w:r>
          </w:p>
        </w:tc>
      </w:tr>
      <w:tr w:rsidR="007E4AF6" w:rsidRPr="001A5452" w14:paraId="41CD30A8" w14:textId="77777777" w:rsidTr="00314423">
        <w:trPr>
          <w:trHeight w:val="150"/>
        </w:trPr>
        <w:tc>
          <w:tcPr>
            <w:cnfStyle w:val="001000000000" w:firstRow="0" w:lastRow="0" w:firstColumn="1" w:lastColumn="0" w:oddVBand="0" w:evenVBand="0" w:oddHBand="0" w:evenHBand="0" w:firstRowFirstColumn="0" w:firstRowLastColumn="0" w:lastRowFirstColumn="0" w:lastRowLastColumn="0"/>
            <w:tcW w:w="2278" w:type="dxa"/>
            <w:tcBorders>
              <w:left w:val="nil"/>
              <w:bottom w:val="single" w:sz="4" w:space="0" w:color="auto"/>
            </w:tcBorders>
            <w:vAlign w:val="center"/>
          </w:tcPr>
          <w:p w14:paraId="1ED1C27B" w14:textId="77777777" w:rsidR="007E4AF6" w:rsidRPr="001A5452" w:rsidRDefault="007E4AF6" w:rsidP="00EC12AF">
            <w:pPr>
              <w:spacing w:line="360" w:lineRule="auto"/>
              <w:jc w:val="center"/>
              <w:rPr>
                <w:rFonts w:ascii="Times New Roman" w:hAnsi="Times New Roman" w:cs="Times New Roman"/>
                <w:b w:val="0"/>
                <w:sz w:val="24"/>
                <w:szCs w:val="24"/>
              </w:rPr>
            </w:pPr>
            <w:r w:rsidRPr="001A5452">
              <w:rPr>
                <w:rFonts w:ascii="Times New Roman" w:hAnsi="Times New Roman" w:cs="Times New Roman"/>
                <w:b w:val="0"/>
                <w:sz w:val="24"/>
                <w:szCs w:val="24"/>
              </w:rPr>
              <w:t>UPR/rGO1.32(DMF)</w:t>
            </w:r>
          </w:p>
        </w:tc>
        <w:tc>
          <w:tcPr>
            <w:tcW w:w="1407" w:type="dxa"/>
            <w:vAlign w:val="center"/>
          </w:tcPr>
          <w:p w14:paraId="701EA7FF"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1.32</w:t>
            </w:r>
          </w:p>
        </w:tc>
        <w:tc>
          <w:tcPr>
            <w:tcW w:w="990" w:type="dxa"/>
            <w:vAlign w:val="center"/>
          </w:tcPr>
          <w:p w14:paraId="631FCE22"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10</w:t>
            </w:r>
          </w:p>
        </w:tc>
        <w:tc>
          <w:tcPr>
            <w:tcW w:w="900" w:type="dxa"/>
            <w:vAlign w:val="center"/>
          </w:tcPr>
          <w:p w14:paraId="5633C8CA"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0.15</w:t>
            </w:r>
          </w:p>
        </w:tc>
        <w:tc>
          <w:tcPr>
            <w:tcW w:w="1170" w:type="dxa"/>
            <w:vAlign w:val="center"/>
          </w:tcPr>
          <w:p w14:paraId="1BAAD071"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0.9</w:t>
            </w:r>
          </w:p>
        </w:tc>
        <w:tc>
          <w:tcPr>
            <w:tcW w:w="1260" w:type="dxa"/>
            <w:vAlign w:val="center"/>
          </w:tcPr>
          <w:p w14:paraId="030B377A"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0.2</w:t>
            </w:r>
          </w:p>
        </w:tc>
        <w:tc>
          <w:tcPr>
            <w:tcW w:w="1350" w:type="dxa"/>
            <w:tcBorders>
              <w:bottom w:val="single" w:sz="4" w:space="0" w:color="auto"/>
              <w:right w:val="nil"/>
            </w:tcBorders>
            <w:vAlign w:val="center"/>
          </w:tcPr>
          <w:p w14:paraId="605BEE2D" w14:textId="77777777" w:rsidR="007E4AF6" w:rsidRPr="001A5452" w:rsidRDefault="007E4AF6" w:rsidP="00EC12AF">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A5452">
              <w:rPr>
                <w:rFonts w:ascii="Times New Roman" w:hAnsi="Times New Roman" w:cs="Times New Roman"/>
                <w:sz w:val="24"/>
                <w:szCs w:val="24"/>
              </w:rPr>
              <w:t>0.1</w:t>
            </w:r>
          </w:p>
        </w:tc>
      </w:tr>
    </w:tbl>
    <w:p w14:paraId="77D0749F" w14:textId="77777777" w:rsidR="007E4AF6" w:rsidRPr="001A5452" w:rsidRDefault="007E4AF6" w:rsidP="007E4AF6">
      <w:pPr>
        <w:spacing w:after="0" w:line="480" w:lineRule="auto"/>
        <w:jc w:val="both"/>
        <w:rPr>
          <w:rFonts w:ascii="Times New Roman" w:hAnsi="Times New Roman" w:cs="Times New Roman"/>
          <w:sz w:val="24"/>
          <w:szCs w:val="24"/>
        </w:rPr>
      </w:pPr>
    </w:p>
    <w:p w14:paraId="1316DE91" w14:textId="710A3078" w:rsidR="007E4AF6" w:rsidRPr="001A5452" w:rsidRDefault="00AD7EFB" w:rsidP="007E4AF6">
      <w:pPr>
        <w:pStyle w:val="Heading2"/>
        <w:spacing w:before="0"/>
        <w:rPr>
          <w:rFonts w:cs="Times New Roman"/>
          <w:szCs w:val="24"/>
        </w:rPr>
      </w:pPr>
      <w:bookmarkStart w:id="165" w:name="_Toc518823315"/>
      <w:r>
        <w:rPr>
          <w:rFonts w:cs="Times New Roman"/>
          <w:szCs w:val="24"/>
        </w:rPr>
        <w:t>5</w:t>
      </w:r>
      <w:r w:rsidR="004A17DD">
        <w:rPr>
          <w:rFonts w:cs="Times New Roman"/>
          <w:szCs w:val="24"/>
        </w:rPr>
        <w:t>.</w:t>
      </w:r>
      <w:r w:rsidR="007E4AF6" w:rsidRPr="001A5452">
        <w:rPr>
          <w:rFonts w:cs="Times New Roman"/>
          <w:szCs w:val="24"/>
        </w:rPr>
        <w:t>2.4. Characterization</w:t>
      </w:r>
      <w:bookmarkEnd w:id="165"/>
      <w:r w:rsidR="00F42B32">
        <w:rPr>
          <w:rFonts w:cs="Times New Roman"/>
          <w:szCs w:val="24"/>
        </w:rPr>
        <w:t xml:space="preserve"> </w:t>
      </w:r>
    </w:p>
    <w:p w14:paraId="6F651C3E" w14:textId="15AAF1B1" w:rsidR="007E4AF6" w:rsidRPr="001A5452" w:rsidRDefault="00AD7EFB" w:rsidP="000C127D">
      <w:pPr>
        <w:pStyle w:val="Heading3"/>
      </w:pPr>
      <w:bookmarkStart w:id="166" w:name="_Toc518823316"/>
      <w:r>
        <w:t>5</w:t>
      </w:r>
      <w:r w:rsidR="004A17DD">
        <w:t>.</w:t>
      </w:r>
      <w:r w:rsidR="000C127D">
        <w:t xml:space="preserve">2.4.1. </w:t>
      </w:r>
      <w:r w:rsidR="007E4AF6" w:rsidRPr="001A5452">
        <w:t>Fourier transform infrared spectroscopy (FTIR)</w:t>
      </w:r>
      <w:bookmarkEnd w:id="166"/>
    </w:p>
    <w:p w14:paraId="14F95FE0" w14:textId="7B027D83"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FTIR spectroscopy of GO, rGO and UPR/rGO composites were carried out on a Spectrum 100 with  ATR (Perkin Elmer, USA) in the wavenumber range of 4000–500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with a resolution of 4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w:t>
      </w:r>
    </w:p>
    <w:p w14:paraId="2995F690" w14:textId="77777777" w:rsidR="00F42B32" w:rsidRPr="001A5452" w:rsidRDefault="00F42B32" w:rsidP="007E4AF6">
      <w:pPr>
        <w:spacing w:after="0" w:line="480" w:lineRule="auto"/>
        <w:jc w:val="both"/>
        <w:rPr>
          <w:rFonts w:ascii="Times New Roman" w:hAnsi="Times New Roman" w:cs="Times New Roman"/>
          <w:sz w:val="24"/>
          <w:szCs w:val="24"/>
        </w:rPr>
      </w:pPr>
    </w:p>
    <w:p w14:paraId="3DDFD6D6" w14:textId="0D11C5A2" w:rsidR="007E4AF6" w:rsidRPr="001A5452" w:rsidRDefault="00AD7EFB" w:rsidP="000C127D">
      <w:pPr>
        <w:pStyle w:val="Heading3"/>
      </w:pPr>
      <w:bookmarkStart w:id="167" w:name="_Toc518823317"/>
      <w:r>
        <w:t>5</w:t>
      </w:r>
      <w:r w:rsidR="004A17DD">
        <w:t>.</w:t>
      </w:r>
      <w:r w:rsidR="000C127D">
        <w:t xml:space="preserve">2.4.2. </w:t>
      </w:r>
      <w:r w:rsidR="007E4AF6" w:rsidRPr="001A5452">
        <w:t>Thermogravimetric analysis (TGA)</w:t>
      </w:r>
      <w:bookmarkEnd w:id="167"/>
    </w:p>
    <w:p w14:paraId="4F41AE00" w14:textId="0A7F6CA9"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TGA were performed by using a Thermogravimetric Analyzer Pyris 1 (Perkin Elmer, USA), with a temperature range from 25 °C to 800 °C, a heating rate of 10 °C min</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under a nitrogen flow of 20 ml min</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t>
      </w:r>
    </w:p>
    <w:p w14:paraId="55785138" w14:textId="77777777" w:rsidR="00F42B32" w:rsidRPr="001A5452" w:rsidRDefault="00F42B32" w:rsidP="007E4AF6">
      <w:pPr>
        <w:spacing w:after="0" w:line="480" w:lineRule="auto"/>
        <w:jc w:val="both"/>
        <w:rPr>
          <w:rFonts w:ascii="Times New Roman" w:hAnsi="Times New Roman" w:cs="Times New Roman"/>
          <w:sz w:val="24"/>
          <w:szCs w:val="24"/>
        </w:rPr>
      </w:pPr>
    </w:p>
    <w:p w14:paraId="25BD232C" w14:textId="569D70EA" w:rsidR="007E4AF6" w:rsidRPr="001A5452" w:rsidRDefault="00AD7EFB" w:rsidP="000C127D">
      <w:pPr>
        <w:pStyle w:val="Heading3"/>
      </w:pPr>
      <w:bookmarkStart w:id="168" w:name="_Toc518823318"/>
      <w:r>
        <w:t>5</w:t>
      </w:r>
      <w:r w:rsidR="004A17DD">
        <w:t>.</w:t>
      </w:r>
      <w:r w:rsidR="000C127D">
        <w:t xml:space="preserve">2.4.3. </w:t>
      </w:r>
      <w:r w:rsidR="007E4AF6" w:rsidRPr="001A5452">
        <w:t>Dynamic mechanical analysis (DMA)</w:t>
      </w:r>
      <w:bookmarkEnd w:id="168"/>
    </w:p>
    <w:p w14:paraId="5160D307" w14:textId="5CDB947B" w:rsidR="00F42B32"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DMA was carried out on a DMA 8000 instrument (Perkin Elmer, USA) equipped with single cantilever geometry mode. Measurements were performed from -80 °C to 180 °C at a heating rate of 2 °C min</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with a frequency of 1 Hz. </w:t>
      </w:r>
    </w:p>
    <w:p w14:paraId="6EDC0B3F" w14:textId="77777777" w:rsidR="00DA69B8" w:rsidRPr="001A5452" w:rsidRDefault="00DA69B8" w:rsidP="007E4AF6">
      <w:pPr>
        <w:spacing w:after="0" w:line="480" w:lineRule="auto"/>
        <w:jc w:val="both"/>
        <w:rPr>
          <w:rFonts w:ascii="Times New Roman" w:hAnsi="Times New Roman" w:cs="Times New Roman"/>
          <w:sz w:val="24"/>
          <w:szCs w:val="24"/>
        </w:rPr>
      </w:pPr>
    </w:p>
    <w:p w14:paraId="33576F7A" w14:textId="17983410" w:rsidR="007E4AF6" w:rsidRPr="001A5452" w:rsidRDefault="00AD7EFB" w:rsidP="000C127D">
      <w:pPr>
        <w:pStyle w:val="Heading3"/>
      </w:pPr>
      <w:bookmarkStart w:id="169" w:name="_Toc518823319"/>
      <w:r>
        <w:t>5</w:t>
      </w:r>
      <w:r w:rsidR="004A17DD">
        <w:t>.</w:t>
      </w:r>
      <w:r w:rsidR="000C127D">
        <w:t xml:space="preserve">2.4.4. </w:t>
      </w:r>
      <w:r w:rsidR="007E4AF6" w:rsidRPr="001A5452">
        <w:t>Scanning electron microscope (SEM)</w:t>
      </w:r>
      <w:bookmarkEnd w:id="169"/>
    </w:p>
    <w:p w14:paraId="3C5C571D" w14:textId="58F3272D"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SEM analysis was carried out on a FEI Inspect F scanning electron microscope, with a voltage of 10 kV. Prior to the SEM observation, samples were sputter–coated in gold by using </w:t>
      </w:r>
      <w:r w:rsidR="00F42B32">
        <w:rPr>
          <w:rFonts w:ascii="Times New Roman" w:hAnsi="Times New Roman" w:cs="Times New Roman"/>
          <w:sz w:val="24"/>
          <w:szCs w:val="24"/>
        </w:rPr>
        <w:t xml:space="preserve">an </w:t>
      </w:r>
      <w:r w:rsidRPr="001A5452">
        <w:rPr>
          <w:rFonts w:ascii="Times New Roman" w:hAnsi="Times New Roman" w:cs="Times New Roman"/>
          <w:sz w:val="24"/>
          <w:szCs w:val="24"/>
        </w:rPr>
        <w:t xml:space="preserve">SPI sputter-coater for enhanced conductivity. </w:t>
      </w:r>
    </w:p>
    <w:p w14:paraId="0332C571" w14:textId="77777777" w:rsidR="00DA69B8" w:rsidRPr="001A5452" w:rsidRDefault="00DA69B8" w:rsidP="007E4AF6">
      <w:pPr>
        <w:spacing w:after="0" w:line="480" w:lineRule="auto"/>
        <w:jc w:val="both"/>
        <w:rPr>
          <w:rFonts w:ascii="Times New Roman" w:hAnsi="Times New Roman" w:cs="Times New Roman"/>
          <w:sz w:val="24"/>
          <w:szCs w:val="24"/>
        </w:rPr>
      </w:pPr>
    </w:p>
    <w:p w14:paraId="3D86CB6D" w14:textId="7A18DACC" w:rsidR="007E4AF6" w:rsidRPr="001A5452" w:rsidRDefault="00AD7EFB" w:rsidP="000C127D">
      <w:pPr>
        <w:pStyle w:val="Heading3"/>
      </w:pPr>
      <w:bookmarkStart w:id="170" w:name="_Toc518823320"/>
      <w:r>
        <w:t>5</w:t>
      </w:r>
      <w:r w:rsidR="004A17DD">
        <w:t>.</w:t>
      </w:r>
      <w:r w:rsidR="000C127D">
        <w:t xml:space="preserve">2.4.5. </w:t>
      </w:r>
      <w:r w:rsidR="007E4AF6" w:rsidRPr="001A5452">
        <w:t>Electrical conductivity</w:t>
      </w:r>
      <w:bookmarkEnd w:id="170"/>
    </w:p>
    <w:p w14:paraId="7736F0E8" w14:textId="33BC98CA" w:rsidR="007E4AF6"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The electrical conductivity of UPR, UPR/rGO, and UPR/GO composites was measured by using a FLUKE 287 digital multimeter with two probes. Silver paint was applied to the ends of test samples (n=3) to form contact points. </w:t>
      </w:r>
    </w:p>
    <w:p w14:paraId="653E44CA" w14:textId="77777777" w:rsidR="00F42B32" w:rsidRPr="001A5452" w:rsidRDefault="00F42B32" w:rsidP="007E4AF6">
      <w:pPr>
        <w:spacing w:after="0" w:line="480" w:lineRule="auto"/>
        <w:jc w:val="both"/>
        <w:rPr>
          <w:rFonts w:ascii="Times New Roman" w:hAnsi="Times New Roman" w:cs="Times New Roman"/>
          <w:sz w:val="24"/>
          <w:szCs w:val="24"/>
        </w:rPr>
      </w:pPr>
    </w:p>
    <w:p w14:paraId="11C4EC18" w14:textId="47DF379F" w:rsidR="007E4AF6" w:rsidRPr="001A5452" w:rsidRDefault="00AD7EFB" w:rsidP="007E4AF6">
      <w:pPr>
        <w:pStyle w:val="Heading1"/>
        <w:spacing w:before="0"/>
        <w:rPr>
          <w:rFonts w:cs="Times New Roman"/>
          <w:szCs w:val="24"/>
        </w:rPr>
      </w:pPr>
      <w:bookmarkStart w:id="171" w:name="_Toc518823321"/>
      <w:r>
        <w:rPr>
          <w:rFonts w:cs="Times New Roman"/>
          <w:szCs w:val="24"/>
        </w:rPr>
        <w:t>5</w:t>
      </w:r>
      <w:r w:rsidR="004A17DD">
        <w:rPr>
          <w:rFonts w:cs="Times New Roman"/>
          <w:szCs w:val="24"/>
        </w:rPr>
        <w:t>.</w:t>
      </w:r>
      <w:r w:rsidR="007E4AF6" w:rsidRPr="001A5452">
        <w:rPr>
          <w:rFonts w:cs="Times New Roman"/>
          <w:szCs w:val="24"/>
        </w:rPr>
        <w:t>3. Results and Discussion</w:t>
      </w:r>
      <w:bookmarkEnd w:id="171"/>
    </w:p>
    <w:p w14:paraId="4AA21947" w14:textId="1C04FA2A" w:rsidR="007E4AF6" w:rsidRPr="001A5452" w:rsidRDefault="00AD7EFB" w:rsidP="007E4AF6">
      <w:pPr>
        <w:pStyle w:val="Heading2"/>
        <w:spacing w:before="0"/>
        <w:rPr>
          <w:rFonts w:cs="Times New Roman"/>
          <w:szCs w:val="24"/>
        </w:rPr>
      </w:pPr>
      <w:bookmarkStart w:id="172" w:name="_Toc518823322"/>
      <w:r>
        <w:rPr>
          <w:rFonts w:cs="Times New Roman"/>
          <w:szCs w:val="24"/>
        </w:rPr>
        <w:t>5</w:t>
      </w:r>
      <w:r w:rsidR="004A17DD">
        <w:rPr>
          <w:rFonts w:cs="Times New Roman"/>
          <w:szCs w:val="24"/>
        </w:rPr>
        <w:t>.</w:t>
      </w:r>
      <w:r w:rsidR="007E4AF6" w:rsidRPr="001A5452">
        <w:rPr>
          <w:rFonts w:cs="Times New Roman"/>
          <w:szCs w:val="24"/>
        </w:rPr>
        <w:t>3.1. Low-temperature reduction of GO by L-ascorbic acid (vitamin C)</w:t>
      </w:r>
      <w:bookmarkEnd w:id="172"/>
    </w:p>
    <w:p w14:paraId="47B09A59" w14:textId="753D302E" w:rsidR="007E4AF6" w:rsidRPr="001A5452" w:rsidRDefault="00376544" w:rsidP="007E4AF6">
      <w:pPr>
        <w:pStyle w:val="Heading3"/>
        <w:spacing w:before="0"/>
        <w:rPr>
          <w:rFonts w:cs="Times New Roman"/>
        </w:rPr>
      </w:pPr>
      <w:bookmarkStart w:id="173" w:name="_Toc518823323"/>
      <w:r>
        <w:rPr>
          <w:rFonts w:cs="Times New Roman"/>
        </w:rPr>
        <w:t>5</w:t>
      </w:r>
      <w:r w:rsidR="004A17DD">
        <w:rPr>
          <w:rFonts w:cs="Times New Roman"/>
        </w:rPr>
        <w:t>.</w:t>
      </w:r>
      <w:r w:rsidR="007E4AF6" w:rsidRPr="001A5452">
        <w:rPr>
          <w:rFonts w:cs="Times New Roman"/>
        </w:rPr>
        <w:t>3.1.1. FTIR analysis</w:t>
      </w:r>
      <w:bookmarkEnd w:id="173"/>
    </w:p>
    <w:p w14:paraId="5D1E3534" w14:textId="79285525" w:rsidR="007E4AF6" w:rsidRPr="001A5452"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 xml:space="preserve">The reduction of GO by vitamin C at 40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 xml:space="preserve">C up to 4 days are investigated by FTIR, as shown in Figure </w:t>
      </w:r>
      <w:r w:rsidR="00376544">
        <w:rPr>
          <w:rFonts w:ascii="Times New Roman" w:hAnsi="Times New Roman" w:cs="Times New Roman"/>
          <w:sz w:val="24"/>
          <w:szCs w:val="24"/>
        </w:rPr>
        <w:t>5</w:t>
      </w:r>
      <w:r w:rsidR="00BF19FB">
        <w:rPr>
          <w:rFonts w:ascii="Times New Roman" w:hAnsi="Times New Roman" w:cs="Times New Roman"/>
          <w:sz w:val="24"/>
          <w:szCs w:val="24"/>
        </w:rPr>
        <w:t>.</w:t>
      </w:r>
      <w:r w:rsidRPr="001A5452">
        <w:rPr>
          <w:rFonts w:ascii="Times New Roman" w:hAnsi="Times New Roman" w:cs="Times New Roman"/>
          <w:sz w:val="24"/>
          <w:szCs w:val="24"/>
        </w:rPr>
        <w:t>1. A wide hump around 3000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–3500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is observed, which is attributed to the O-H stretching vibrations of the hydrogen groups and water </w:t>
      </w:r>
      <w:r w:rsidRPr="001A5452">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"http://dx.doi.org/10.1016/j.tsf.2015.02.038", "ISBN" : "0040-6090", "ISSN" : "0040-6090", "abstract" : "Abstract Graphene has been used to enhance conversion efficiency in dye-sensitized solar cell (DSSC) through increased electronic transportation. Introduction of graphene into DSSC is realized through reduction of graphene oxide (GO) to reduced graphene or RGO in TiO2 nanoparticles in solution. Chemical and hydrothermal reactions are two commonly used avenues. In the chemical route, toxic hydrazine and its derivatives are the typical reducing agent. Hydrothermal process is not toxic but requires prolonged heating. In this study, we mix flakes of GO with TiO2 nanoparticles and use vitamin C to realize the reduction at room temperature. The RGO\u2013TiO2 composite films are then used as photoanode in DSSC. A conversion efficiency of 30% increase (to 7.89%) is obtained as compared to that of the pure TiO2 photoanode.", "author" : [ { "dropping-particle" : "", "family" : "Ding", "given" : "Hui", "non-dropping-particle" : "", "parse-names" : false, "suffix" : "" }, { "dropping-particle" : "", "family" : "Zhang", "given" : "Sam", "non-dropping-particle" : "", "parse-names" : false, "suffix" : "" }, { "dropping-particle" : "", "family" : "Chen", "given" : "Ji-Tao", "non-dropping-particle" : "", "parse-names" : false, "suffix" : "" }, { "dropping-particle" : "", "family" : "Hu", "given" : "Xiao-Ping", "non-dropping-particle" : "", "parse-names" : false, "suffix" : "" }, { "dropping-particle" : "", "family" : "Du", "given" : "Zhao-Fu", "non-dropping-particle" : "", "parse-names" : false, "suffix" : "" }, { "dropping-particle" : "", "family" : "Qiu", "given" : "Yue-Xiu", "non-dropping-particle" : "", "parse-names" : false, "suffix" : "" }, { "dropping-particle" : "", "family" : "Zhao", "given" : "Dong-Liang", "non-dropping-particle" : "", "parse-names" : false, "suffix" : "" } ], "container-title" : "Thin Solid Films", "id" : "ITEM-1", "issued" : { "date-parts" : [ [ "2015" ] ] }, "page" : "29-36", "publisher" : "Elsevier B.V.", "title" : "Reduction of graphene oxide at room temperature with vitamin C for RGO\u2013TiO2 photoanodes in dye-sensitized solar cell", "type" : "article-journal", "volume" : "584" }, "uris" : [ "http://www.mendeley.com/documents/?uuid=696cde52-9659-409b-a1ac-8a77c10296ea" ] } ], "mendeley" : { "formattedCitation" : "[39]", "plainTextFormattedCitation" : "[39]", "previouslyFormattedCitation" : "[39]" }, "properties" : {  }, "schema" : "https://github.com/citation-style-language/schema/raw/master/csl-citation.json" }</w:instrText>
      </w:r>
      <w:r w:rsidRPr="001A5452">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[39]</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GO peaks at 1723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1567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1203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1024 cm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are related to the C=O, aromatic C=C stretching, and C-O-C stretching </w:t>
      </w:r>
      <w:r w:rsidRPr="001A5452">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"10.1039/B917705A", "ISBN" : "1359-7345", "ISSN" : "1359-7345", "PMID" : "20126730", "abstract" : "We demonstrated that the individual graphene oxide sheets can be readily reduced under a mild condition using L-ascorbic acid (L-AA). This simple approach should find practical applications in large scale production of water soluble graphene.", "author" : [ { "dropping-particle" : "", "family" : "Zhang", "given" : "Jiali", "non-dropping-particle" : "", "parse-names" : false, "suffix" : "" }, { "dropping-particle" : "", "family" : "Yang", "given" : "Haijun", "non-dropping-particle" : "", "parse-names" : false, "suffix" : "" }, { "dropping-particle" : "", "family" : "Shen", "given" : "Guangxia", "non-dropping-particle" : "", "parse-names" : false, "suffix" : "" }, { "dropping-particle" : "", "family" : "Cheng", "given" : "Ping", "non-dropping-particle" : "", "parse-names" : false, "suffix" : "" }, { "dropping-particle" : "", "family" : "Zhang", "given" : "Jingyan", "non-dropping-particle" : "", "parse-names" : false, "suffix" : "" }, { "dropping-particle" : "", "family" : "Guo", "given" : "Shouwu", "non-dropping-particle" : "", "parse-names" : false, "suffix" : "" } ], "container-title" : "Chem. Commun.", "id" : "ITEM-1", "issue" : "7", "issued" : { "date-parts" : [ [ "2010" ] ] }, "page" : "1112-1114", "title" : "Reduction of graphene oxide via L-ascorbic acid", "type" : "article-journal", "volume" : "46" }, "uris" : [ "http://www.mendeley.com/documents/?uuid=46ce7657-968a-4856-850a-440d99696828" ] }, { "id" : "ITEM-2", "itemData" : { "DOI" : "http://dx.doi.org/10.1016/j.tsf.2015.02.038", "ISBN" : "0040-6090", "ISSN" : "0040-6090", "abstract" : "Abstract Graphene has been used to enhance conversion efficiency in dye-sensitized solar cell (DSSC) through increased electronic transportation. Introduction of graphene into DSSC is realized through reduction of graphene oxide (GO) to reduced graphene or RGO in TiO2 nanoparticles in solution. Chemical and hydrothermal reactions are two commonly used avenues. In the chemical route, toxic hydrazine and its derivatives are the typical reducing agent. Hydrothermal process is not toxic but requires prolonged heating. In this study, we mix flakes of GO with TiO2 nanoparticles and use vitamin C to realize the reduction at room temperature. The RGO\u2013TiO2 composite films are then used as photoanode in DSSC. A conversion efficiency of 30% increase (to 7.89%) is obtained as compared to that of the pure TiO2 photoanode.", "author" : [ { "dropping-particle" : "", "family" : "Ding", "given" : "Hui", "non-dropping-particle" : "", "parse-names" : false, "suffix" : "" }, { "dropping-particle" : "", "family" : "Zhang", "given" : "Sam", "non-dropping-particle" : "", "parse-names" : false, "suffix" : "" }, { "dropping-particle" : "", "family" : "Chen", "given" : "Ji-Tao", "non-dropping-particle" : "", "parse-names" : false, "suffix" : "" }, { "dropping-particle" : "", "family" : "Hu", "given" : "Xiao-Ping", "non-dropping-particle" : "", "parse-names" : false, "suffix" : "" }, { "dropping-particle" : "", "family" : "Du", "given" : "Zhao-Fu", "non-dropping-particle" : "", "parse-names" : false, "suffix" : "" }, { "dropping-particle" : "", "family" : "Qiu", "given" : "Yue-Xiu", "non-dropping-particle" : "", "parse-names" : false, "suffix" : "" }, { "dropping-particle" : "", "family" : "Zhao", "given" : "Dong-Liang", "non-dropping-particle" : "", "parse-names" : false, "suffix" : "" } ], "container-title" : "Thin Solid Films", "id" : "ITEM-2", "issued" : { "date-parts" : [ [ "2015" ] ] }, "page" : "29-36", "publisher" : "Elsevier B.V.", "title" : "Reduction of graphene oxide at room temperature with vitamin C for RGO\u2013TiO2 photoanodes in dye-sensitized solar cell", "type" : "article-journal", "volume" : "584" }, "uris" : [ "http://www.mendeley.com/documents/?uuid=696cde52-9659-409b-a1ac-8a77c10296ea" ] } ], "mendeley" : { "formattedCitation" : "[39,222]", "plainTextFormattedCitation" : "[39,222]", "previouslyFormattedCitation" : "[39,222]" }, "properties" : {  }, "schema" : "https://github.com/citation-style-language/schema/raw/master/csl-citation.json" }</w:instrText>
      </w:r>
      <w:r w:rsidRPr="001A5452">
        <w:rPr>
          <w:rFonts w:ascii="Times New Roman" w:hAnsi="Times New Roman" w:cs="Times New Roman"/>
          <w:sz w:val="24"/>
          <w:szCs w:val="24"/>
        </w:rPr>
        <w:fldChar w:fldCharType="separate"/>
      </w:r>
      <w:r w:rsidR="008F0DFC" w:rsidRPr="008F0DFC">
        <w:rPr>
          <w:rFonts w:ascii="Times New Roman" w:hAnsi="Times New Roman" w:cs="Times New Roman"/>
          <w:noProof/>
          <w:sz w:val="24"/>
          <w:szCs w:val="24"/>
        </w:rPr>
        <w:t>[39,222]</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xml:space="preserve">. Compared to the four FTIR spectra curves, the carboxyl groups (C=O), ester groups (C-O-C) were gradually diminished with the reaction time, implying that the oxygen groups started to  be reduced by vitamin C under mild temperature from </w:t>
      </w:r>
      <w:r w:rsidR="00EB4EC1">
        <w:rPr>
          <w:rFonts w:ascii="Times New Roman" w:hAnsi="Times New Roman" w:cs="Times New Roman"/>
          <w:sz w:val="24"/>
          <w:szCs w:val="24"/>
        </w:rPr>
        <w:t xml:space="preserve">the </w:t>
      </w:r>
      <w:r w:rsidRPr="001A5452">
        <w:rPr>
          <w:rFonts w:ascii="Times New Roman" w:hAnsi="Times New Roman" w:cs="Times New Roman"/>
          <w:sz w:val="24"/>
          <w:szCs w:val="24"/>
        </w:rPr>
        <w:t>2</w:t>
      </w:r>
      <w:r w:rsidRPr="001A5452">
        <w:rPr>
          <w:rFonts w:ascii="Times New Roman" w:hAnsi="Times New Roman" w:cs="Times New Roman"/>
          <w:sz w:val="24"/>
          <w:szCs w:val="24"/>
          <w:vertAlign w:val="superscript"/>
        </w:rPr>
        <w:t>nd</w:t>
      </w:r>
      <w:r w:rsidRPr="001A5452">
        <w:rPr>
          <w:rFonts w:ascii="Times New Roman" w:hAnsi="Times New Roman" w:cs="Times New Roman"/>
          <w:sz w:val="24"/>
          <w:szCs w:val="24"/>
        </w:rPr>
        <w:t xml:space="preserve"> day and effectively reduced for 4 days. </w:t>
      </w:r>
    </w:p>
    <w:p w14:paraId="6AEBE2CE" w14:textId="77777777" w:rsidR="007E4AF6" w:rsidRPr="001A5452" w:rsidRDefault="007E4AF6" w:rsidP="007E4AF6">
      <w:pPr>
        <w:spacing w:after="0" w:line="480" w:lineRule="auto"/>
        <w:ind w:firstLine="540"/>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554562E8" wp14:editId="61F04289">
            <wp:extent cx="5175105" cy="36126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7639" cy="3614386"/>
                    </a:xfrm>
                    <a:prstGeom prst="rect">
                      <a:avLst/>
                    </a:prstGeom>
                    <a:noFill/>
                  </pic:spPr>
                </pic:pic>
              </a:graphicData>
            </a:graphic>
          </wp:inline>
        </w:drawing>
      </w:r>
    </w:p>
    <w:p w14:paraId="7668EDA5" w14:textId="48686BF6" w:rsidR="007E4AF6" w:rsidRPr="001A5452" w:rsidRDefault="00376544" w:rsidP="00EC12AF">
      <w:pPr>
        <w:pStyle w:val="Caption"/>
        <w:ind w:firstLine="0"/>
        <w:rPr>
          <w:rFonts w:cs="Times New Roman"/>
          <w:szCs w:val="24"/>
        </w:rPr>
      </w:pPr>
      <w:bookmarkStart w:id="174" w:name="_Toc518823438"/>
      <w:r>
        <w:t>Figure 5</w:t>
      </w:r>
      <w:r w:rsidR="00373B10">
        <w:t>.</w:t>
      </w:r>
      <w:r w:rsidR="00EC12AF">
        <w:fldChar w:fldCharType="begin"/>
      </w:r>
      <w:r w:rsidR="00EC12AF">
        <w:instrText xml:space="preserve"> SEQ Figure_5. \* ARABIC </w:instrText>
      </w:r>
      <w:r w:rsidR="00EC12AF">
        <w:fldChar w:fldCharType="separate"/>
      </w:r>
      <w:r w:rsidR="00551ED9">
        <w:rPr>
          <w:noProof/>
        </w:rPr>
        <w:t>1</w:t>
      </w:r>
      <w:r w:rsidR="00EC12AF">
        <w:fldChar w:fldCharType="end"/>
      </w:r>
      <w:r w:rsidR="007E4AF6" w:rsidRPr="001A5452">
        <w:rPr>
          <w:rFonts w:cs="Times New Roman"/>
          <w:b w:val="0"/>
          <w:szCs w:val="24"/>
        </w:rPr>
        <w:t>.</w:t>
      </w:r>
      <w:r w:rsidR="007E4AF6" w:rsidRPr="001A5452">
        <w:rPr>
          <w:rFonts w:cs="Times New Roman"/>
          <w:szCs w:val="24"/>
        </w:rPr>
        <w:t xml:space="preserve"> The evolution of FTIR spectrum of GO reduced by vitamin C at 40 °C over 4 days.</w:t>
      </w:r>
      <w:bookmarkEnd w:id="174"/>
    </w:p>
    <w:p w14:paraId="3271DA0A" w14:textId="77777777" w:rsidR="007E4AF6" w:rsidRPr="001A5452" w:rsidRDefault="007E4AF6" w:rsidP="007E4AF6">
      <w:pPr>
        <w:spacing w:after="0" w:line="480" w:lineRule="auto"/>
        <w:ind w:firstLine="270"/>
        <w:jc w:val="center"/>
        <w:rPr>
          <w:rFonts w:ascii="Times New Roman" w:hAnsi="Times New Roman" w:cs="Times New Roman"/>
          <w:sz w:val="24"/>
          <w:szCs w:val="24"/>
        </w:rPr>
      </w:pPr>
    </w:p>
    <w:p w14:paraId="54C6784A" w14:textId="52289584" w:rsidR="007E4AF6" w:rsidRPr="00137A4C" w:rsidRDefault="00376544" w:rsidP="007E4AF6">
      <w:pPr>
        <w:pStyle w:val="Heading3"/>
        <w:spacing w:before="0"/>
        <w:rPr>
          <w:rFonts w:cs="Times New Roman"/>
        </w:rPr>
      </w:pPr>
      <w:bookmarkStart w:id="175" w:name="_Toc518823324"/>
      <w:r>
        <w:rPr>
          <w:rFonts w:cs="Times New Roman"/>
        </w:rPr>
        <w:t>5</w:t>
      </w:r>
      <w:r w:rsidR="004A17DD">
        <w:rPr>
          <w:rFonts w:cs="Times New Roman"/>
        </w:rPr>
        <w:t>.</w:t>
      </w:r>
      <w:r w:rsidR="007E4AF6" w:rsidRPr="00EB4EC1">
        <w:rPr>
          <w:rFonts w:cs="Times New Roman"/>
        </w:rPr>
        <w:t xml:space="preserve">3.1.2. </w:t>
      </w:r>
      <w:r w:rsidR="007E4AF6" w:rsidRPr="00137A4C">
        <w:rPr>
          <w:rFonts w:cs="Times New Roman"/>
        </w:rPr>
        <w:t>Thermogravimetric analysis (TGA)</w:t>
      </w:r>
      <w:bookmarkEnd w:id="175"/>
      <w:r w:rsidR="007E4AF6" w:rsidRPr="00137A4C">
        <w:rPr>
          <w:rFonts w:cs="Times New Roman"/>
        </w:rPr>
        <w:t xml:space="preserve"> </w:t>
      </w:r>
    </w:p>
    <w:p w14:paraId="5D0193BC" w14:textId="3CCAE3A0" w:rsidR="007E4AF6" w:rsidRPr="001A5452" w:rsidRDefault="007E4AF6" w:rsidP="007E4AF6">
      <w:pPr>
        <w:spacing w:after="0" w:line="480" w:lineRule="auto"/>
        <w:jc w:val="both"/>
        <w:rPr>
          <w:rFonts w:ascii="Times New Roman" w:hAnsi="Times New Roman" w:cs="Times New Roman"/>
          <w:sz w:val="24"/>
          <w:szCs w:val="24"/>
        </w:rPr>
      </w:pPr>
      <w:r w:rsidRPr="00137A4C">
        <w:rPr>
          <w:rFonts w:ascii="Times New Roman" w:hAnsi="Times New Roman" w:cs="Times New Roman"/>
          <w:sz w:val="24"/>
          <w:szCs w:val="24"/>
        </w:rPr>
        <w:t xml:space="preserve">The reduction of GO by vitamin C at low temperature (40 °C) for various days are investigated by TGA analysis (Figure </w:t>
      </w:r>
      <w:r w:rsidR="00376544">
        <w:rPr>
          <w:rFonts w:ascii="Times New Roman" w:hAnsi="Times New Roman" w:cs="Times New Roman"/>
          <w:sz w:val="24"/>
          <w:szCs w:val="24"/>
        </w:rPr>
        <w:t>5</w:t>
      </w:r>
      <w:r w:rsidR="00BF19FB">
        <w:rPr>
          <w:rFonts w:ascii="Times New Roman" w:hAnsi="Times New Roman" w:cs="Times New Roman"/>
          <w:sz w:val="24"/>
          <w:szCs w:val="24"/>
        </w:rPr>
        <w:t>.</w:t>
      </w:r>
      <w:r w:rsidRPr="00137A4C">
        <w:rPr>
          <w:rFonts w:ascii="Times New Roman" w:hAnsi="Times New Roman" w:cs="Times New Roman"/>
          <w:sz w:val="24"/>
          <w:szCs w:val="24"/>
        </w:rPr>
        <w:t xml:space="preserve">2). The first step around 100 °C relates to the moisture, which are 12.0% for GO, 9.7% for rGO (day1), 8.3 % for rGO (day2), 5.9 % for rGO (day3), and 1.3 % for rGO (day4), respectively. This implies a comparatively less amount of moisture </w:t>
      </w:r>
      <w:r w:rsidR="00EB4EC1">
        <w:rPr>
          <w:rFonts w:ascii="Times New Roman" w:hAnsi="Times New Roman" w:cs="Times New Roman"/>
          <w:sz w:val="24"/>
          <w:szCs w:val="24"/>
        </w:rPr>
        <w:t>is</w:t>
      </w:r>
      <w:r w:rsidR="00EB4EC1" w:rsidRPr="00137A4C">
        <w:rPr>
          <w:rFonts w:ascii="Times New Roman" w:hAnsi="Times New Roman" w:cs="Times New Roman"/>
          <w:sz w:val="24"/>
          <w:szCs w:val="24"/>
        </w:rPr>
        <w:t xml:space="preserve"> </w:t>
      </w:r>
      <w:r w:rsidRPr="00137A4C">
        <w:rPr>
          <w:rFonts w:ascii="Times New Roman" w:hAnsi="Times New Roman" w:cs="Times New Roman"/>
          <w:sz w:val="24"/>
          <w:szCs w:val="24"/>
        </w:rPr>
        <w:t xml:space="preserve">trapped in rGO with reduction time </w:t>
      </w:r>
      <w:r w:rsidRPr="00137A4C">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"10.1016/j.carbon.2011.02.071", "ISBN" : "0008-6223", "ISSN" : "00086223", "abstract" : "We prepared hydrazine-reduced materials from both graphite oxide (GO) particles, which were not exfoliated, and completely exfoliated individual graphene oxide platelets, and then analyzed their chemical and structural properties by elemental analysis, XPS, TGA, XRD, and SEM. Both reduced materials showed distinctly different chemical and structural properties from one another. While hydrazine reduction of graphene oxide platelets produced agglomerates of exfoliated platelets, the reduction of GO particles produced particles that were not exfoliated. The degree of chemical reduction of reduced GO particles was lower than that of reduced graphene oxide and the BET surface area of reduced GO was much lower than that of reduced graphene oxide. ?? 2011 Elsevier Ltd. All rights reserved.", "author" : [ { "dropping-particle" : "", "family" : "Park", "given" : "Sungjin", "non-dropping-particle" : "", "parse-names" : false, "suffix" : "" }, { "dropping-particle" : "", "family" : "An", "given" : "Jinho", "non-dropping-particle" : "", "parse-names" : false, "suffix" : "" }, { "dropping-particle" : "", "family" : "Potts", "given" : "Jeffrey R.", "non-dropping-particle" : "", "parse-names" : false, "suffix" : "" }, { "dropping-particle" : "", "family" : "Velamakanni", "given" : "Aruna", "non-dropping-particle" : "", "parse-names" : false, "suffix" : "" }, { "dropping-particle" : "", "family" : "Murali", "given" : "Shanthi", "non-dropping-particle" : "", "parse-names" : false, "suffix" : "" }, { "dropping-particle" : "", "family" : "Ruoff", "given" : "Rodney S.", "non-dropping-particle" : "", "parse-names" : false, "suffix" : "" } ], "container-title" : "Carbon", "id" : "ITEM-1", "issue" : "9", "issued" : { "date-parts" : [ [ "2011" ] ] }, "page" : "3019-3023", "publisher" : "Elsevier Ltd", "title" : "Hydrazine-reduction of graphite and graphene oxide", "type" : "article-journal", "volume" : "49" }, "uris" : [ "http://www.mendeley.com/documents/?uuid=f30a1589-a61e-47a4-9fd6-4c6f13dc8dcd" ] } ], "mendeley" : { "formattedCitation" : "[32]", "plainTextFormattedCitation" : "[32]", "previouslyFormattedCitation" : "[32]" }, "properties" : {  }, "schema" : "https://github.com/citation-style-language/schema/raw/master/csl-citation.json" }</w:instrText>
      </w:r>
      <w:r w:rsidRPr="00137A4C">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[32]</w:t>
      </w:r>
      <w:r w:rsidRPr="00137A4C">
        <w:rPr>
          <w:rFonts w:ascii="Times New Roman" w:hAnsi="Times New Roman" w:cs="Times New Roman"/>
          <w:sz w:val="24"/>
          <w:szCs w:val="24"/>
        </w:rPr>
        <w:fldChar w:fldCharType="end"/>
      </w:r>
      <w:r w:rsidRPr="00137A4C">
        <w:rPr>
          <w:rFonts w:ascii="Times New Roman" w:hAnsi="Times New Roman" w:cs="Times New Roman"/>
          <w:sz w:val="24"/>
          <w:szCs w:val="24"/>
        </w:rPr>
        <w:t>. The major weight loss around 200 °C relates to the loss of oxygen functional groups, which are 36.3% for GO, 33.9% rGO (day1), 33.3% for rGO (day2), 33.3% for rGO (day3), 15.9% for rGO (day4) from 100 °C to 300 °C, respectively. This is due to the pyrolysis of the</w:t>
      </w:r>
      <w:r w:rsidRPr="00EB4EC1">
        <w:rPr>
          <w:rFonts w:ascii="Times New Roman" w:hAnsi="Times New Roman" w:cs="Times New Roman"/>
          <w:sz w:val="24"/>
          <w:szCs w:val="24"/>
        </w:rPr>
        <w:t xml:space="preserve"> </w:t>
      </w:r>
      <w:r w:rsidRPr="00137A4C">
        <w:rPr>
          <w:rFonts w:ascii="Times New Roman" w:hAnsi="Times New Roman" w:cs="Times New Roman"/>
          <w:sz w:val="24"/>
          <w:szCs w:val="24"/>
        </w:rPr>
        <w:t>oxygen-containing functional groups, yielding CO, CO</w:t>
      </w:r>
      <w:r w:rsidRPr="00FE5125">
        <w:rPr>
          <w:rFonts w:ascii="Times New Roman" w:hAnsi="Times New Roman" w:cs="Times New Roman"/>
          <w:sz w:val="24"/>
          <w:szCs w:val="24"/>
          <w:vertAlign w:val="subscript"/>
        </w:rPr>
        <w:t>2</w:t>
      </w:r>
      <w:r w:rsidRPr="00137A4C">
        <w:rPr>
          <w:rFonts w:ascii="Times New Roman" w:hAnsi="Times New Roman" w:cs="Times New Roman"/>
          <w:sz w:val="24"/>
          <w:szCs w:val="24"/>
        </w:rPr>
        <w:t xml:space="preserve">, and steam </w:t>
      </w:r>
      <w:r w:rsidRPr="00137A4C">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"DOI" : "10.1016/j.carbon.2011.02.071", "ISBN" : "0008-6223", "ISSN" : "00086223", "abstract" : "We prepared hydrazine-reduced materials from both graphite oxide (GO) particles, which were not exfoliated, and completely exfoliated individual graphene oxide platelets, and then analyzed their chemical and structural properties by elemental analysis, XPS, TGA, XRD, and SEM. Both reduced materials showed distinctly different chemical and structural properties from one another. While hydrazine reduction of graphene oxide platelets produced agglomerates of exfoliated platelets, the reduction of GO particles produced particles that were not exfoliated. The degree of chemical reduction of reduced GO particles was lower than that of reduced graphene oxide and the BET surface area of reduced GO was much lower than that of reduced graphene oxide. ?? 2011 Elsevier Ltd. All rights reserved.", "author" : [ { "dropping-particle" : "", "family" : "Park", "given" : "Sungjin", "non-dropping-particle" : "", "parse-names" : false, "suffix" : "" }, { "dropping-particle" : "", "family" : "An", "given" : "Jinho", "non-dropping-particle" : "", "parse-names" : false, "suffix" : "" }, { "dropping-particle" : "", "family" : "Potts", "given" : "Jeffrey R.", "non-dropping-particle" : "", "parse-names" : false, "suffix" : "" }, { "dropping-particle" : "", "family" : "Velamakanni", "given" : "Aruna", "non-dropping-particle" : "", "parse-names" : false, "suffix" : "" }, { "dropping-particle" : "", "family" : "Murali", "given" : "Shanthi", "non-dropping-particle" : "", "parse-names" : false, "suffix" : "" }, { "dropping-particle" : "", "family" : "Ruoff", "given" : "Rodney S.", "non-dropping-particle" : "", "parse-names" : false, "suffix" : "" } ], "container-title" : "Carbon", "id" : "ITEM-1", "issue" : "9", "issued" : { "date-parts" : [ [ "2011" ] ] }, "page" : "3019-3023", "publisher" : "Elsevier Ltd", "title" : "Hydrazine-reduction of graphite and graphene oxide", "type" : "article-journal", "volume" : "49" }, "uris" : [ "http://www.mendeley.com/documents/?uuid=f30a1589-a61e-47a4-9fd6-4c6f13dc8dcd" ] }, { "id" : "ITEM-2",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"ITEM-2", "issue" : "7", "issued" : { "date-parts" : [ [ "2007" ] ] }, "page" : "1558-1565", "title" : "Synthesis of graphene-based nanosheets via chemical reduction of exfoliated graphite oxide", "type" : "article-journal", "volume" : "45" }, "uris" : [ "http://www.mendeley.com/documents/?uuid=7d96f1a7-d047-463c-8a60-e43142ea0559" ] } ], "mendeley" : { "formattedCitation" : "[32,34]", "plainTextFormattedCitation" : "[32,34]", "previouslyFormattedCitation" : "[32,34]" }, "properties" : {  }, "schema" : "https://github.com/citation-style-language/schema/raw/master/csl-citation.json" }</w:instrText>
      </w:r>
      <w:r w:rsidRPr="00137A4C">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[32,34]</w:t>
      </w:r>
      <w:r w:rsidRPr="00137A4C">
        <w:rPr>
          <w:rFonts w:ascii="Times New Roman" w:hAnsi="Times New Roman" w:cs="Times New Roman"/>
          <w:sz w:val="24"/>
          <w:szCs w:val="24"/>
        </w:rPr>
        <w:fldChar w:fldCharType="end"/>
      </w:r>
      <w:r w:rsidRPr="00137A4C">
        <w:rPr>
          <w:rFonts w:ascii="Times New Roman" w:hAnsi="Times New Roman" w:cs="Times New Roman"/>
          <w:sz w:val="24"/>
          <w:szCs w:val="24"/>
        </w:rPr>
        <w:t xml:space="preserve">. The weight remaining at 800 °C are 49.0% for GO, 52.6% for rGO (day1), 52.8% for rGO (day2), 54.1% for rGO (day3), and 70.15 % for rGO (day4), respectively. This indicates an enhanced thermal stability of rGO. </w:t>
      </w:r>
      <w:r w:rsidRPr="001E7B6A">
        <w:rPr>
          <w:rFonts w:ascii="Times New Roman" w:hAnsi="Times New Roman" w:cs="Times New Roman"/>
          <w:sz w:val="24"/>
          <w:szCs w:val="24"/>
        </w:rPr>
        <w:t>All these TGA results confirmed that GO has been effectively reduced by vitamin C at a low temperature</w:t>
      </w:r>
      <w:r w:rsidRPr="001E7B6A" w:rsidDel="00E3680F">
        <w:rPr>
          <w:rFonts w:ascii="Times New Roman" w:hAnsi="Times New Roman" w:cs="Times New Roman"/>
          <w:sz w:val="24"/>
          <w:szCs w:val="24"/>
        </w:rPr>
        <w:t xml:space="preserve"> </w:t>
      </w:r>
      <w:r w:rsidRPr="001E7B6A">
        <w:rPr>
          <w:rFonts w:ascii="Times New Roman" w:hAnsi="Times New Roman" w:cs="Times New Roman"/>
          <w:sz w:val="24"/>
          <w:szCs w:val="24"/>
        </w:rPr>
        <w:t xml:space="preserve">as 40 </w:t>
      </w:r>
      <w:r w:rsidRPr="001E7B6A">
        <w:rPr>
          <w:rFonts w:ascii="Times New Roman" w:hAnsi="Times New Roman" w:cs="Times New Roman"/>
          <w:sz w:val="24"/>
          <w:szCs w:val="24"/>
          <w:vertAlign w:val="superscript"/>
        </w:rPr>
        <w:t>o</w:t>
      </w:r>
      <w:r w:rsidRPr="001E7B6A">
        <w:rPr>
          <w:rFonts w:ascii="Times New Roman" w:hAnsi="Times New Roman" w:cs="Times New Roman"/>
          <w:sz w:val="24"/>
          <w:szCs w:val="24"/>
        </w:rPr>
        <w:t xml:space="preserve">C for relatively longer reaction time, with an optimum reduction time of 4 </w:t>
      </w:r>
      <w:r w:rsidRPr="00237210">
        <w:rPr>
          <w:rFonts w:ascii="Times New Roman" w:hAnsi="Times New Roman" w:cs="Times New Roman"/>
          <w:sz w:val="24"/>
          <w:szCs w:val="24"/>
        </w:rPr>
        <w:t>days.</w:t>
      </w:r>
      <w:r w:rsidRPr="001A5452">
        <w:rPr>
          <w:rFonts w:ascii="Times New Roman" w:hAnsi="Times New Roman" w:cs="Times New Roman"/>
          <w:sz w:val="24"/>
          <w:szCs w:val="24"/>
        </w:rPr>
        <w:t xml:space="preserve"> </w:t>
      </w:r>
    </w:p>
    <w:p w14:paraId="208D7FDF" w14:textId="77777777" w:rsidR="007E4AF6" w:rsidRPr="001A5452" w:rsidRDefault="007E4AF6" w:rsidP="007E4AF6">
      <w:pPr>
        <w:spacing w:after="0" w:line="480" w:lineRule="auto"/>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59355CF5" wp14:editId="6F3BFF03">
            <wp:extent cx="4385674" cy="306489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04902" cy="3078329"/>
                    </a:xfrm>
                    <a:prstGeom prst="rect">
                      <a:avLst/>
                    </a:prstGeom>
                    <a:noFill/>
                  </pic:spPr>
                </pic:pic>
              </a:graphicData>
            </a:graphic>
          </wp:inline>
        </w:drawing>
      </w:r>
    </w:p>
    <w:p w14:paraId="6F6F490D" w14:textId="4E88226E" w:rsidR="007E4AF6" w:rsidRPr="001A5452" w:rsidRDefault="00376544" w:rsidP="00EC12AF">
      <w:pPr>
        <w:pStyle w:val="Caption"/>
        <w:ind w:firstLine="0"/>
        <w:rPr>
          <w:rFonts w:cs="Times New Roman"/>
          <w:szCs w:val="24"/>
        </w:rPr>
      </w:pPr>
      <w:bookmarkStart w:id="176" w:name="_Toc518823439"/>
      <w:r>
        <w:t>Figure 5</w:t>
      </w:r>
      <w:r w:rsidR="00373B10">
        <w:t>.</w:t>
      </w:r>
      <w:r w:rsidR="00EC12AF">
        <w:fldChar w:fldCharType="begin"/>
      </w:r>
      <w:r w:rsidR="00EC12AF">
        <w:instrText xml:space="preserve"> SEQ Figure_5. \* ARABIC </w:instrText>
      </w:r>
      <w:r w:rsidR="00EC12AF">
        <w:fldChar w:fldCharType="separate"/>
      </w:r>
      <w:r w:rsidR="00551ED9">
        <w:rPr>
          <w:noProof/>
        </w:rPr>
        <w:t>2</w:t>
      </w:r>
      <w:r w:rsidR="00EC12AF">
        <w:fldChar w:fldCharType="end"/>
      </w:r>
      <w:r w:rsidR="007E4AF6" w:rsidRPr="001A5452">
        <w:rPr>
          <w:rFonts w:cs="Times New Roman"/>
          <w:b w:val="0"/>
          <w:szCs w:val="24"/>
        </w:rPr>
        <w:t>.</w:t>
      </w:r>
      <w:r w:rsidR="007E4AF6" w:rsidRPr="001A5452">
        <w:rPr>
          <w:rFonts w:cs="Times New Roman"/>
          <w:szCs w:val="24"/>
        </w:rPr>
        <w:t xml:space="preserve"> TGA of GO and rGO reduced by vitamin C at low temperature up to 4 days.</w:t>
      </w:r>
      <w:bookmarkEnd w:id="176"/>
    </w:p>
    <w:p w14:paraId="1B527D06" w14:textId="77777777" w:rsidR="007E4AF6" w:rsidRPr="001A5452" w:rsidRDefault="007E4AF6" w:rsidP="007E4AF6">
      <w:pPr>
        <w:spacing w:after="0" w:line="480" w:lineRule="auto"/>
        <w:jc w:val="center"/>
        <w:rPr>
          <w:rFonts w:ascii="Times New Roman" w:hAnsi="Times New Roman" w:cs="Times New Roman"/>
          <w:sz w:val="24"/>
          <w:szCs w:val="24"/>
        </w:rPr>
      </w:pPr>
    </w:p>
    <w:p w14:paraId="4693080D" w14:textId="27278D76" w:rsidR="007E4AF6" w:rsidRPr="001E7B6A" w:rsidRDefault="00FE5125" w:rsidP="007E4AF6">
      <w:pPr>
        <w:pStyle w:val="Heading2"/>
        <w:spacing w:before="0"/>
        <w:rPr>
          <w:rFonts w:cs="Times New Roman"/>
          <w:szCs w:val="24"/>
        </w:rPr>
      </w:pPr>
      <w:bookmarkStart w:id="177" w:name="_Toc518823325"/>
      <w:r>
        <w:rPr>
          <w:rFonts w:cs="Times New Roman"/>
          <w:szCs w:val="24"/>
        </w:rPr>
        <w:t>5</w:t>
      </w:r>
      <w:r w:rsidR="004A17DD">
        <w:rPr>
          <w:rFonts w:cs="Times New Roman"/>
          <w:szCs w:val="24"/>
        </w:rPr>
        <w:t>.</w:t>
      </w:r>
      <w:r w:rsidR="007E4AF6" w:rsidRPr="001A5452">
        <w:rPr>
          <w:rFonts w:cs="Times New Roman"/>
          <w:szCs w:val="24"/>
        </w:rPr>
        <w:t xml:space="preserve">3.2. </w:t>
      </w:r>
      <w:r w:rsidR="007E4AF6" w:rsidRPr="001E7B6A">
        <w:rPr>
          <w:rFonts w:cs="Times New Roman"/>
          <w:szCs w:val="24"/>
        </w:rPr>
        <w:t>Chemical structures of UPR, UPR/rGO, and UPR/GO composites</w:t>
      </w:r>
      <w:bookmarkEnd w:id="177"/>
    </w:p>
    <w:p w14:paraId="11A8AF65" w14:textId="761DAD17" w:rsidR="007E4AF6" w:rsidRPr="001A5452" w:rsidRDefault="007E4AF6" w:rsidP="007E4AF6">
      <w:pPr>
        <w:tabs>
          <w:tab w:val="left" w:pos="180"/>
        </w:tabs>
        <w:spacing w:after="0" w:line="480" w:lineRule="auto"/>
        <w:jc w:val="both"/>
        <w:rPr>
          <w:rFonts w:ascii="Times New Roman" w:hAnsi="Times New Roman" w:cs="Times New Roman"/>
          <w:sz w:val="24"/>
          <w:szCs w:val="24"/>
        </w:rPr>
      </w:pPr>
      <w:r w:rsidRPr="001E7B6A">
        <w:rPr>
          <w:rFonts w:ascii="Times New Roman" w:hAnsi="Times New Roman" w:cs="Times New Roman"/>
          <w:sz w:val="24"/>
          <w:szCs w:val="24"/>
        </w:rPr>
        <w:t>The chemical structures of UPR and its composites are investigated by FTIR. According to Figure</w:t>
      </w:r>
      <w:r w:rsidR="00FE5125">
        <w:rPr>
          <w:rFonts w:ascii="Times New Roman" w:hAnsi="Times New Roman" w:cs="Times New Roman"/>
          <w:sz w:val="24"/>
          <w:szCs w:val="24"/>
        </w:rPr>
        <w:t xml:space="preserve"> 5</w:t>
      </w:r>
      <w:r w:rsidR="00373B10">
        <w:rPr>
          <w:rFonts w:ascii="Times New Roman" w:hAnsi="Times New Roman" w:cs="Times New Roman"/>
          <w:sz w:val="24"/>
          <w:szCs w:val="24"/>
        </w:rPr>
        <w:t>.3</w:t>
      </w:r>
      <w:r w:rsidRPr="001E7B6A">
        <w:rPr>
          <w:rFonts w:ascii="Times New Roman" w:hAnsi="Times New Roman" w:cs="Times New Roman"/>
          <w:sz w:val="24"/>
          <w:szCs w:val="24"/>
        </w:rPr>
        <w:t>, FTIR peaks of vitamin C at 3524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3404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3308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are attributed to O-H stretch. Peaks at 3008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1752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1650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w:t>
      </w:r>
      <w:r w:rsidR="008E6C51" w:rsidRPr="001E7B6A">
        <w:rPr>
          <w:rFonts w:ascii="Times New Roman" w:hAnsi="Times New Roman" w:cs="Times New Roman"/>
          <w:sz w:val="24"/>
          <w:szCs w:val="24"/>
        </w:rPr>
        <w:t xml:space="preserve"> and</w:t>
      </w:r>
      <w:r w:rsidRPr="001E7B6A">
        <w:rPr>
          <w:rFonts w:ascii="Times New Roman" w:hAnsi="Times New Roman" w:cs="Times New Roman"/>
          <w:sz w:val="24"/>
          <w:szCs w:val="24"/>
        </w:rPr>
        <w:t xml:space="preserve"> 1272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are assigned to =C-H stretch, C=O stretch, C=C stretch, C-O stretch from COOH groups, respectively. There are several weak peaks from 1498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to 1314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which is due to the C-H bend. Peaks at 1112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w:t>
      </w:r>
      <w:r w:rsidR="008E6C51">
        <w:rPr>
          <w:rFonts w:ascii="Times New Roman" w:hAnsi="Times New Roman" w:cs="Times New Roman"/>
          <w:sz w:val="24"/>
          <w:szCs w:val="24"/>
        </w:rPr>
        <w:t xml:space="preserve"> and</w:t>
      </w:r>
      <w:r w:rsidRPr="001E7B6A">
        <w:rPr>
          <w:rFonts w:ascii="Times New Roman" w:hAnsi="Times New Roman" w:cs="Times New Roman"/>
          <w:sz w:val="24"/>
          <w:szCs w:val="24"/>
        </w:rPr>
        <w:t xml:space="preserve"> 1022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are due to C-O-C stretch. Peaks at 986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w:t>
      </w:r>
      <w:r w:rsidR="008E6C51">
        <w:rPr>
          <w:rFonts w:ascii="Times New Roman" w:hAnsi="Times New Roman" w:cs="Times New Roman"/>
          <w:sz w:val="24"/>
          <w:szCs w:val="24"/>
        </w:rPr>
        <w:t xml:space="preserve">and </w:t>
      </w:r>
      <w:r w:rsidRPr="001E7B6A">
        <w:rPr>
          <w:rFonts w:ascii="Times New Roman" w:hAnsi="Times New Roman" w:cs="Times New Roman"/>
          <w:sz w:val="24"/>
          <w:szCs w:val="24"/>
        </w:rPr>
        <w:t>968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are related to the =C-H bend. These are in great</w:t>
      </w:r>
      <w:r w:rsidRPr="008E6C51">
        <w:rPr>
          <w:rFonts w:ascii="Times New Roman" w:hAnsi="Times New Roman" w:cs="Times New Roman"/>
          <w:sz w:val="24"/>
          <w:szCs w:val="24"/>
        </w:rPr>
        <w:t xml:space="preserve"> </w:t>
      </w:r>
      <w:r w:rsidRPr="001E7B6A">
        <w:rPr>
          <w:rFonts w:ascii="Times New Roman" w:hAnsi="Times New Roman" w:cs="Times New Roman"/>
          <w:sz w:val="24"/>
          <w:szCs w:val="24"/>
        </w:rPr>
        <w:t xml:space="preserve">agreement with Yang’s work </w:t>
      </w:r>
      <w:r w:rsidRPr="001E7B6A">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"10.1211/002235702320402099", "ISBN" : "0022-3573 (Print)\\r0022-3573 (Linking)", "ISSN" : "0022-3573", "PMID" : "12356279", "abstract" : "Rapid spectroscopic determination of vitamin C in food and pharmaceutical products using infrared and Raman techniques was proposed. In this study, near-infrared (NIR), Fourier transform near-infrared (FT-NIR), Fourier transform infrared-attenuated total reflectance (FTIR-ATR), diffuse reflectance (DRIFTS), Fourier transform infrared-photoacoustic (FTIR-PAS) and FT-Raman spectroscopy were used in conjunction with partial least squares (PLS) regression to quantify vitamin C in powdered mixtures and solutions. Results indicate that the methods adopted have high prediction correlation. R2 values were 0.999 for FTIR-ATR, 0.976 for DRIFTS, 0.966 for FTIR-PAS, 0.988 for NIR, 0.992 for FT-NIR and 0.95 for FT-Raman, with an overall prediction error of 0.2-3.0%. The time required to complete an experiment ranged from 5 s (NIR) to 3 min (FT-Raman). The FTIR and FT-Raman techniques can be complementary tools for qualitative and quantitative characterization of the samples. Infrared and Raman techniques can be used to quantify vitamin C in foods and pharmaceutical products.", "author" : [ { "dropping-particle" : "", "family" : "Yang", "given" : "Hong", "non-dropping-particle" : "", "parse-names" : false, "suffix" : "" }, { "dropping-particle" : "", "family" : "Irudayaraj", "given" : "Joseph", "non-dropping-particle" : "", "parse-names" : false, "suffix" : "" } ], "container-title" : "The Journal of pharmacy and pharmacology", "id" : "ITEM-1", "issued" : { "date-parts" : [ [ "2002" ] ] }, "page" : "1247-1255", "title" : "Rapid determination of vitamin C by NIR, MIR and FT-Raman techniques", "type" : "article-journal", "volume" : "54" }, "uris" : [ "http://www.mendeley.com/documents/?uuid=bda6267a-ae90-46de-8f2e-6f3714e118f2" ] } ], "mendeley" : { "formattedCitation" : "[223]", "plainTextFormattedCitation" : "[223]", "previouslyFormattedCitation" : "[223]" }, "properties" : {  }, "schema" : "https://github.com/citation-style-language/schema/raw/master/csl-citation.json" }</w:instrText>
      </w:r>
      <w:r w:rsidRPr="001E7B6A">
        <w:rPr>
          <w:rFonts w:ascii="Times New Roman" w:hAnsi="Times New Roman" w:cs="Times New Roman"/>
          <w:sz w:val="24"/>
          <w:szCs w:val="24"/>
        </w:rPr>
        <w:fldChar w:fldCharType="separate"/>
      </w:r>
      <w:r w:rsidR="008F0DFC" w:rsidRPr="008F0DFC">
        <w:rPr>
          <w:rFonts w:ascii="Times New Roman" w:hAnsi="Times New Roman" w:cs="Times New Roman"/>
          <w:noProof/>
          <w:sz w:val="24"/>
          <w:szCs w:val="24"/>
        </w:rPr>
        <w:t>[223]</w:t>
      </w:r>
      <w:r w:rsidRPr="001E7B6A">
        <w:rPr>
          <w:rFonts w:ascii="Times New Roman" w:hAnsi="Times New Roman" w:cs="Times New Roman"/>
          <w:sz w:val="24"/>
          <w:szCs w:val="24"/>
        </w:rPr>
        <w:fldChar w:fldCharType="end"/>
      </w:r>
      <w:r w:rsidRPr="001E7B6A">
        <w:rPr>
          <w:rFonts w:ascii="Times New Roman" w:hAnsi="Times New Roman" w:cs="Times New Roman"/>
          <w:sz w:val="24"/>
          <w:szCs w:val="24"/>
        </w:rPr>
        <w:t>. As discussed before, the typical peaks of GO at 1723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1567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1203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w:t>
      </w:r>
      <w:r w:rsidR="008E6C51">
        <w:rPr>
          <w:rFonts w:ascii="Times New Roman" w:hAnsi="Times New Roman" w:cs="Times New Roman"/>
          <w:sz w:val="24"/>
          <w:szCs w:val="24"/>
        </w:rPr>
        <w:t xml:space="preserve">and </w:t>
      </w:r>
      <w:r w:rsidRPr="001E7B6A">
        <w:rPr>
          <w:rFonts w:ascii="Times New Roman" w:hAnsi="Times New Roman" w:cs="Times New Roman"/>
          <w:sz w:val="24"/>
          <w:szCs w:val="24"/>
        </w:rPr>
        <w:t>1024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are related to the C=O, aromatic C=C stretching, and C-O-C stretching </w:t>
      </w:r>
      <w:r w:rsidRPr="001E7B6A">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"10.1039/B917705A", "ISBN" : "1359-7345", "ISSN" : "1359-7345", "PMID" : "20126730", "abstract" : "We demonstrated that the individual graphene oxide sheets can be readily reduced under a mild condition using L-ascorbic acid (L-AA). This simple approach should find practical applications in large scale production of water soluble graphene.", "author" : [ { "dropping-particle" : "", "family" : "Zhang", "given" : "Jiali", "non-dropping-particle" : "", "parse-names" : false, "suffix" : "" }, { "dropping-particle" : "", "family" : "Yang", "given" : "Haijun", "non-dropping-particle" : "", "parse-names" : false, "suffix" : "" }, { "dropping-particle" : "", "family" : "Shen", "given" : "Guangxia", "non-dropping-particle" : "", "parse-names" : false, "suffix" : "" }, { "dropping-particle" : "", "family" : "Cheng", "given" : "Ping", "non-dropping-particle" : "", "parse-names" : false, "suffix" : "" }, { "dropping-particle" : "", "family" : "Zhang", "given" : "Jingyan", "non-dropping-particle" : "", "parse-names" : false, "suffix" : "" }, { "dropping-particle" : "", "family" : "Guo", "given" : "Shouwu", "non-dropping-particle" : "", "parse-names" : false, "suffix" : "" } ], "container-title" : "Chem. Commun.", "id" : "ITEM-1", "issue" : "7", "issued" : { "date-parts" : [ [ "2010" ] ] }, "page" : "1112-1114", "title" : "Reduction of graphene oxide via L-ascorbic acid", "type" : "article-journal", "volume" : "46" }, "uris" : [ "http://www.mendeley.com/documents/?uuid=46ce7657-968a-4856-850a-440d99696828" ] }, { "id" : "ITEM-2", "itemData" : { "DOI" : "http://dx.doi.org/10.1016/j.tsf.2015.02.038", "ISBN" : "0040-6090", "ISSN" : "0040-6090", "abstract" : "Abstract Graphene has been used to enhance conversion efficiency in dye-sensitized solar cell (DSSC) through increased electronic transportation. Introduction of graphene into DSSC is realized through reduction of graphene oxide (GO) to reduced graphene or RGO in TiO2 nanoparticles in solution. Chemical and hydrothermal reactions are two commonly used avenues. In the chemical route, toxic hydrazine and its derivatives are the typical reducing agent. Hydrothermal process is not toxic but requires prolonged heating. In this study, we mix flakes of GO with TiO2 nanoparticles and use vitamin C to realize the reduction at room temperature. The RGO\u2013TiO2 composite films are then used as photoanode in DSSC. A conversion efficiency of 30% increase (to 7.89%) is obtained as compared to that of the pure TiO2 photoanode.", "author" : [ { "dropping-particle" : "", "family" : "Ding", "given" : "Hui", "non-dropping-particle" : "", "parse-names" : false, "suffix" : "" }, { "dropping-particle" : "", "family" : "Zhang", "given" : "Sam", "non-dropping-particle" : "", "parse-names" : false, "suffix" : "" }, { "dropping-particle" : "", "family" : "Chen", "given" : "Ji-Tao", "non-dropping-particle" : "", "parse-names" : false, "suffix" : "" }, { "dropping-particle" : "", "family" : "Hu", "given" : "Xiao-Ping", "non-dropping-particle" : "", "parse-names" : false, "suffix" : "" }, { "dropping-particle" : "", "family" : "Du", "given" : "Zhao-Fu", "non-dropping-particle" : "", "parse-names" : false, "suffix" : "" }, { "dropping-particle" : "", "family" : "Qiu", "given" : "Yue-Xiu", "non-dropping-particle" : "", "parse-names" : false, "suffix" : "" }, { "dropping-particle" : "", "family" : "Zhao", "given" : "Dong-Liang", "non-dropping-particle" : "", "parse-names" : false, "suffix" : "" } ], "container-title" : "Thin Solid Films", "id" : "ITEM-2", "issued" : { "date-parts" : [ [ "2015" ] ] }, "page" : "29-36", "publisher" : "Elsevier B.V.", "title" : "Reduction of graphene oxide at room temperature with vitamin C for RGO\u2013TiO2 photoanodes in dye-sensitized solar cell", "type" : "article-journal", "volume" : "584" }, "uris" : [ "http://www.mendeley.com/documents/?uuid=696cde52-9659-409b-a1ac-8a77c10296ea" ] } ], "mendeley" : { "formattedCitation" : "[39,222]", "plainTextFormattedCitation" : "[39,222]", "previouslyFormattedCitation" : "[39,222]" }, "properties" : {  }, "schema" : "https://github.com/citation-style-language/schema/raw/master/csl-citation.json" }</w:instrText>
      </w:r>
      <w:r w:rsidRPr="001E7B6A">
        <w:rPr>
          <w:rFonts w:ascii="Times New Roman" w:hAnsi="Times New Roman" w:cs="Times New Roman"/>
          <w:sz w:val="24"/>
          <w:szCs w:val="24"/>
        </w:rPr>
        <w:fldChar w:fldCharType="separate"/>
      </w:r>
      <w:r w:rsidR="008F0DFC" w:rsidRPr="008F0DFC">
        <w:rPr>
          <w:rFonts w:ascii="Times New Roman" w:hAnsi="Times New Roman" w:cs="Times New Roman"/>
          <w:noProof/>
          <w:sz w:val="24"/>
          <w:szCs w:val="24"/>
        </w:rPr>
        <w:t>[39,222]</w:t>
      </w:r>
      <w:r w:rsidRPr="001E7B6A">
        <w:rPr>
          <w:rFonts w:ascii="Times New Roman" w:hAnsi="Times New Roman" w:cs="Times New Roman"/>
          <w:sz w:val="24"/>
          <w:szCs w:val="24"/>
        </w:rPr>
        <w:fldChar w:fldCharType="end"/>
      </w:r>
      <w:r w:rsidRPr="001E7B6A">
        <w:rPr>
          <w:rFonts w:ascii="Times New Roman" w:hAnsi="Times New Roman" w:cs="Times New Roman"/>
          <w:sz w:val="24"/>
          <w:szCs w:val="24"/>
        </w:rPr>
        <w:t>. To study the influence of solvents of THF and DMF, the control sample</w:t>
      </w:r>
      <w:r w:rsidR="008E6C51">
        <w:rPr>
          <w:rFonts w:ascii="Times New Roman" w:hAnsi="Times New Roman" w:cs="Times New Roman"/>
          <w:sz w:val="24"/>
          <w:szCs w:val="24"/>
        </w:rPr>
        <w:t>s</w:t>
      </w:r>
      <w:r w:rsidRPr="001E7B6A">
        <w:rPr>
          <w:rFonts w:ascii="Times New Roman" w:hAnsi="Times New Roman" w:cs="Times New Roman"/>
          <w:sz w:val="24"/>
          <w:szCs w:val="24"/>
        </w:rPr>
        <w:t xml:space="preserve"> UPR(THF/DMF) </w:t>
      </w:r>
      <w:r w:rsidR="008E6C51" w:rsidRPr="001E7B6A">
        <w:rPr>
          <w:rFonts w:ascii="Times New Roman" w:hAnsi="Times New Roman" w:cs="Times New Roman"/>
          <w:sz w:val="24"/>
          <w:szCs w:val="24"/>
        </w:rPr>
        <w:t>w</w:t>
      </w:r>
      <w:r w:rsidR="008E6C51">
        <w:rPr>
          <w:rFonts w:ascii="Times New Roman" w:hAnsi="Times New Roman" w:cs="Times New Roman"/>
          <w:sz w:val="24"/>
          <w:szCs w:val="24"/>
        </w:rPr>
        <w:t>ere</w:t>
      </w:r>
      <w:r w:rsidR="008E6C51" w:rsidRPr="001E7B6A">
        <w:rPr>
          <w:rFonts w:ascii="Times New Roman" w:hAnsi="Times New Roman" w:cs="Times New Roman"/>
          <w:sz w:val="24"/>
          <w:szCs w:val="24"/>
        </w:rPr>
        <w:t xml:space="preserve"> </w:t>
      </w:r>
      <w:r w:rsidRPr="001E7B6A">
        <w:rPr>
          <w:rFonts w:ascii="Times New Roman" w:hAnsi="Times New Roman" w:cs="Times New Roman"/>
          <w:sz w:val="24"/>
          <w:szCs w:val="24"/>
        </w:rPr>
        <w:t>prepared in the same procedure for UPR using a mixture of THF and DMF as solvent. According to the FTIR spectra of UPR and UPR(THF/DMF), there is no visible difference, indicating that the addition of THF and DMF doesn’t affect the final chemical structure of UPR. Compared to UPR, peaks at 1716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1296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w:t>
      </w:r>
      <w:r w:rsidR="008E6C51">
        <w:rPr>
          <w:rFonts w:ascii="Times New Roman" w:hAnsi="Times New Roman" w:cs="Times New Roman"/>
          <w:sz w:val="24"/>
          <w:szCs w:val="24"/>
        </w:rPr>
        <w:t xml:space="preserve">and </w:t>
      </w:r>
      <w:r w:rsidRPr="001E7B6A">
        <w:rPr>
          <w:rFonts w:ascii="Times New Roman" w:hAnsi="Times New Roman" w:cs="Times New Roman"/>
          <w:sz w:val="24"/>
          <w:szCs w:val="24"/>
        </w:rPr>
        <w:t>1118 cm</w:t>
      </w:r>
      <w:r w:rsidRPr="001E7B6A">
        <w:rPr>
          <w:rFonts w:ascii="Times New Roman" w:hAnsi="Times New Roman" w:cs="Times New Roman"/>
          <w:sz w:val="24"/>
          <w:szCs w:val="24"/>
          <w:vertAlign w:val="superscript"/>
        </w:rPr>
        <w:t xml:space="preserve">-1 </w:t>
      </w:r>
      <w:r w:rsidRPr="001E7B6A">
        <w:rPr>
          <w:rFonts w:ascii="Times New Roman" w:hAnsi="Times New Roman" w:cs="Times New Roman"/>
          <w:sz w:val="24"/>
          <w:szCs w:val="24"/>
        </w:rPr>
        <w:t>shift to 1714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1292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and 1128 cm</w:t>
      </w:r>
      <w:r w:rsidRPr="001E7B6A">
        <w:rPr>
          <w:rFonts w:ascii="Times New Roman" w:hAnsi="Times New Roman" w:cs="Times New Roman"/>
          <w:sz w:val="24"/>
          <w:szCs w:val="24"/>
          <w:vertAlign w:val="superscript"/>
        </w:rPr>
        <w:t>-1</w:t>
      </w:r>
      <w:r w:rsidRPr="001E7B6A">
        <w:rPr>
          <w:rFonts w:ascii="Times New Roman" w:hAnsi="Times New Roman" w:cs="Times New Roman"/>
          <w:sz w:val="24"/>
          <w:szCs w:val="24"/>
        </w:rPr>
        <w:t xml:space="preserve"> in UPR/rGO1.32 composite, respectively. This </w:t>
      </w:r>
      <w:r w:rsidR="008E6C51">
        <w:rPr>
          <w:rFonts w:ascii="Times New Roman" w:hAnsi="Times New Roman" w:cs="Times New Roman"/>
          <w:sz w:val="24"/>
          <w:szCs w:val="24"/>
        </w:rPr>
        <w:t xml:space="preserve">is </w:t>
      </w:r>
      <w:r w:rsidRPr="001E7B6A">
        <w:rPr>
          <w:rFonts w:ascii="Times New Roman" w:hAnsi="Times New Roman" w:cs="Times New Roman"/>
          <w:sz w:val="24"/>
          <w:szCs w:val="24"/>
        </w:rPr>
        <w:t xml:space="preserve">presumably </w:t>
      </w:r>
      <w:r w:rsidR="00137A4C">
        <w:rPr>
          <w:rFonts w:ascii="Times New Roman" w:hAnsi="Times New Roman" w:cs="Times New Roman"/>
          <w:sz w:val="24"/>
          <w:szCs w:val="24"/>
        </w:rPr>
        <w:t>du</w:t>
      </w:r>
      <w:r w:rsidR="00137A4C">
        <w:rPr>
          <w:rFonts w:ascii="Times New Roman" w:hAnsi="Times New Roman" w:cs="Times New Roman" w:hint="eastAsia"/>
          <w:sz w:val="24"/>
          <w:szCs w:val="24"/>
        </w:rPr>
        <w:t>e</w:t>
      </w:r>
      <w:r w:rsidRPr="001E7B6A">
        <w:rPr>
          <w:rFonts w:ascii="Times New Roman" w:hAnsi="Times New Roman" w:cs="Times New Roman"/>
          <w:sz w:val="24"/>
          <w:szCs w:val="24"/>
        </w:rPr>
        <w:t xml:space="preserve"> to the interactions of the polyester segments like C=O, COOH with oxygen functional groups of GO via polar-polar </w:t>
      </w:r>
      <w:r w:rsidR="008E6C51">
        <w:rPr>
          <w:rFonts w:ascii="Times New Roman" w:hAnsi="Times New Roman" w:cs="Times New Roman"/>
          <w:sz w:val="24"/>
          <w:szCs w:val="24"/>
        </w:rPr>
        <w:t>interactions</w:t>
      </w:r>
      <w:r w:rsidR="008E6C51" w:rsidRPr="001E7B6A">
        <w:rPr>
          <w:rFonts w:ascii="Times New Roman" w:hAnsi="Times New Roman" w:cs="Times New Roman"/>
          <w:sz w:val="24"/>
          <w:szCs w:val="24"/>
        </w:rPr>
        <w:t xml:space="preserve"> </w:t>
      </w:r>
      <w:r w:rsidRPr="001E7B6A">
        <w:rPr>
          <w:rFonts w:ascii="Times New Roman" w:hAnsi="Times New Roman" w:cs="Times New Roman"/>
          <w:sz w:val="24"/>
          <w:szCs w:val="24"/>
        </w:rPr>
        <w:t xml:space="preserve">or hydrogen bonding </w:t>
      </w:r>
      <w:r w:rsidRPr="001E7B6A">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"10.1016/j.compscitech.2013.07.025", "ISSN" : "02663538", "abstract" : "In this work, we report a simple method of preparation of reduced graphene oxide (rGO) based unsaturated polyester (PE) resin nanocomposite. The synthesized samples were characterized by Fourier transform infrared spectroscopy (FTIR), X-ray diffraction (XRD), scanning electron microscopy (SEM), atomic force microscopy (AFM), thermogravimetric analysis (TGA), differential scanning calorimetry (DSC) and tensile strength measurements. The SEM analyses revealed good dispersion as well as the interaction of rGO with the matrix. The composite exhibited significant improvement in mechanical properties at a low rGO loading. The tensile strength and Young's modulus of the composites increased by 123% and 87% respectively at 3wt.% loading of the rGO. The thermal property of the PE resin was also improved with the incorporation of rGO in the composite. Moreover, the composite film showed a higher value of electrical conductivity (3.7??10-4S/cm) compared to that of neat resin. The PE/rGO nanocomposites displayed good antimicrobial activity against a number of bacteria. ?? 2013 Elsevier Ltd.", "author" : [ { "dropping-particle" : "", "family" : "Bora", "given" : "Chandramika", "non-dropping-particle" : "", "parse-names" : false, "suffix" : "" }, { "dropping-particle" : "", "family" : "Bharali", "given" : "Pranjal", "non-dropping-particle" : "", "parse-names" : false, "suffix" : "" }, { "dropping-particle" : "", "family" : "Baglari", "given" : "Silpi", "non-dropping-particle" : "", "parse-names" : false, "suffix" : "" }, { "dropping-particle" : "", "family" : "Dolui", "given" : "Swapan K.", "non-dropping-particle" : "", "parse-names" : false, "suffix" : "" }, { "dropping-particle" : "", "family" : "Konwar", "given" : "Bolin K.", "non-dropping-particle" : "", "parse-names" : false, "suffix" : "" } ], "container-title" : "Composites Science and Technology", "id" : "ITEM-1", "issued" : { "date-parts" : [ [ "2013" ] ] }, "page" : "1-7", "publisher" : "Elsevier Ltd", "title" : "Strong and conductive reduced graphene oxide/polyester resin composite films with improved mechanical strength, thermal stability and its antibacterial activity", "type" : "article-journal", "volume" : "87" }, "uris" : [ "http://www.mendeley.com/documents/?uuid=dd692942-0443-4449-8d20-52d1a7642313" ] } ], "mendeley" : { "formattedCitation" : "[196]", "plainTextFormattedCitation" : "[196]", "previouslyFormattedCitation" : "[196]" }, "properties" : {  }, "schema" : "https://github.com/citation-style-language/schema/raw/master/csl-citation.json" }</w:instrText>
      </w:r>
      <w:r w:rsidRPr="001E7B6A">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[196]</w:t>
      </w:r>
      <w:r w:rsidRPr="001E7B6A">
        <w:rPr>
          <w:rFonts w:ascii="Times New Roman" w:hAnsi="Times New Roman" w:cs="Times New Roman"/>
          <w:sz w:val="24"/>
          <w:szCs w:val="24"/>
        </w:rPr>
        <w:fldChar w:fldCharType="end"/>
      </w:r>
      <w:r w:rsidRPr="001E7B6A">
        <w:rPr>
          <w:rFonts w:ascii="Times New Roman" w:hAnsi="Times New Roman" w:cs="Times New Roman"/>
          <w:sz w:val="24"/>
          <w:szCs w:val="24"/>
        </w:rPr>
        <w:t xml:space="preserve">. </w:t>
      </w:r>
      <w:r w:rsidR="008E6C51" w:rsidRPr="001E7B6A">
        <w:rPr>
          <w:rFonts w:ascii="Times New Roman" w:hAnsi="Times New Roman" w:cs="Times New Roman"/>
          <w:sz w:val="24"/>
          <w:szCs w:val="24"/>
        </w:rPr>
        <w:t>Combin</w:t>
      </w:r>
      <w:r w:rsidR="008E6C51">
        <w:rPr>
          <w:rFonts w:ascii="Times New Roman" w:hAnsi="Times New Roman" w:cs="Times New Roman"/>
          <w:sz w:val="24"/>
          <w:szCs w:val="24"/>
        </w:rPr>
        <w:t>ing</w:t>
      </w:r>
      <w:r w:rsidR="008E6C51" w:rsidRPr="001E7B6A">
        <w:rPr>
          <w:rFonts w:ascii="Times New Roman" w:hAnsi="Times New Roman" w:cs="Times New Roman"/>
          <w:sz w:val="24"/>
          <w:szCs w:val="24"/>
        </w:rPr>
        <w:t xml:space="preserve"> </w:t>
      </w:r>
      <w:r w:rsidRPr="001E7B6A">
        <w:rPr>
          <w:rFonts w:ascii="Times New Roman" w:hAnsi="Times New Roman" w:cs="Times New Roman"/>
          <w:sz w:val="24"/>
          <w:szCs w:val="24"/>
        </w:rPr>
        <w:t xml:space="preserve">the results from FTIR and TGA of GO </w:t>
      </w:r>
      <w:r w:rsidR="008E6C51">
        <w:rPr>
          <w:rFonts w:ascii="Times New Roman" w:hAnsi="Times New Roman" w:cs="Times New Roman"/>
          <w:sz w:val="24"/>
          <w:szCs w:val="24"/>
        </w:rPr>
        <w:t xml:space="preserve">and the </w:t>
      </w:r>
      <w:r w:rsidRPr="001E7B6A">
        <w:rPr>
          <w:rFonts w:ascii="Times New Roman" w:hAnsi="Times New Roman" w:cs="Times New Roman"/>
          <w:sz w:val="24"/>
          <w:szCs w:val="24"/>
        </w:rPr>
        <w:t>RGO reduced by vitamin C at 40 C for various days, it confirmed that GO has been reduced by vitamin C successfully during the synthesis of UPR/rGO composites, and the interaction between GO and UPR occurs simultaneously</w:t>
      </w:r>
      <w:r w:rsidR="008E6C51">
        <w:rPr>
          <w:rFonts w:ascii="Times New Roman" w:hAnsi="Times New Roman" w:cs="Times New Roman"/>
          <w:sz w:val="24"/>
          <w:szCs w:val="24"/>
        </w:rPr>
        <w:t xml:space="preserve"> through what bonding by what groups</w:t>
      </w:r>
      <w:r w:rsidRPr="001E7B6A">
        <w:rPr>
          <w:rFonts w:ascii="Times New Roman" w:hAnsi="Times New Roman" w:cs="Times New Roman"/>
          <w:sz w:val="24"/>
          <w:szCs w:val="24"/>
        </w:rPr>
        <w:t>.</w:t>
      </w:r>
    </w:p>
    <w:p w14:paraId="0F5D72E9" w14:textId="77777777" w:rsidR="007E4AF6" w:rsidRPr="001A5452" w:rsidRDefault="007E4AF6" w:rsidP="00EC12AF">
      <w:pPr>
        <w:spacing w:after="0" w:line="480" w:lineRule="auto"/>
        <w:ind w:left="1620" w:hanging="1336"/>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6BB31863" wp14:editId="61DA8C84">
            <wp:extent cx="5122543" cy="36099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9565" cy="3678349"/>
                    </a:xfrm>
                    <a:prstGeom prst="rect">
                      <a:avLst/>
                    </a:prstGeom>
                    <a:noFill/>
                  </pic:spPr>
                </pic:pic>
              </a:graphicData>
            </a:graphic>
          </wp:inline>
        </w:drawing>
      </w:r>
    </w:p>
    <w:p w14:paraId="0F0E177C" w14:textId="1961D618" w:rsidR="007E4AF6" w:rsidRPr="001A5452" w:rsidRDefault="00373B10" w:rsidP="00EC12AF">
      <w:pPr>
        <w:pStyle w:val="Caption"/>
        <w:rPr>
          <w:rFonts w:cs="Times New Roman"/>
          <w:szCs w:val="24"/>
        </w:rPr>
      </w:pPr>
      <w:bookmarkStart w:id="178" w:name="_Toc518823440"/>
      <w:r>
        <w:t xml:space="preserve">Figure </w:t>
      </w:r>
      <w:r w:rsidR="00FE5125">
        <w:t>5</w:t>
      </w:r>
      <w:r>
        <w:t>.</w:t>
      </w:r>
      <w:r w:rsidR="00EC12AF">
        <w:fldChar w:fldCharType="begin"/>
      </w:r>
      <w:r w:rsidR="00EC12AF">
        <w:instrText xml:space="preserve"> SEQ Figure_5. \* ARABIC </w:instrText>
      </w:r>
      <w:r w:rsidR="00EC12AF">
        <w:fldChar w:fldCharType="separate"/>
      </w:r>
      <w:r w:rsidR="00551ED9">
        <w:rPr>
          <w:noProof/>
        </w:rPr>
        <w:t>3</w:t>
      </w:r>
      <w:r w:rsidR="00EC12AF">
        <w:fldChar w:fldCharType="end"/>
      </w:r>
      <w:r w:rsidR="007E4AF6" w:rsidRPr="001A5452">
        <w:rPr>
          <w:rFonts w:cs="Times New Roman"/>
          <w:b w:val="0"/>
          <w:szCs w:val="24"/>
        </w:rPr>
        <w:t>.</w:t>
      </w:r>
      <w:r w:rsidR="007E4AF6" w:rsidRPr="001A5452">
        <w:rPr>
          <w:rFonts w:cs="Times New Roman"/>
          <w:szCs w:val="24"/>
        </w:rPr>
        <w:t xml:space="preserve"> FTIR spectra of GO, vitamin C, UPR, UPR (THF/DMF) and UPR/rGO1.32.</w:t>
      </w:r>
      <w:bookmarkEnd w:id="178"/>
    </w:p>
    <w:p w14:paraId="2AA7A46C" w14:textId="4ED5E554" w:rsidR="007E4AF6" w:rsidRPr="001A5452" w:rsidRDefault="00FE5125" w:rsidP="007E4AF6">
      <w:pPr>
        <w:pStyle w:val="Heading2"/>
        <w:spacing w:before="0"/>
        <w:rPr>
          <w:rFonts w:cs="Times New Roman"/>
          <w:b w:val="0"/>
          <w:szCs w:val="24"/>
        </w:rPr>
      </w:pPr>
      <w:bookmarkStart w:id="179" w:name="_Toc518823326"/>
      <w:r>
        <w:rPr>
          <w:rFonts w:cs="Times New Roman"/>
          <w:szCs w:val="24"/>
        </w:rPr>
        <w:t>5</w:t>
      </w:r>
      <w:r w:rsidR="004A17DD">
        <w:rPr>
          <w:rFonts w:cs="Times New Roman"/>
          <w:szCs w:val="24"/>
        </w:rPr>
        <w:t>.</w:t>
      </w:r>
      <w:r w:rsidR="007E4AF6" w:rsidRPr="001A5452">
        <w:rPr>
          <w:rFonts w:cs="Times New Roman"/>
          <w:szCs w:val="24"/>
        </w:rPr>
        <w:t>3.3. Thermal stability of UPR, UPR/GO, and UPR/rGO composites</w:t>
      </w:r>
      <w:bookmarkEnd w:id="179"/>
      <w:r w:rsidR="000D3CA1">
        <w:rPr>
          <w:rFonts w:cs="Times New Roman"/>
          <w:szCs w:val="24"/>
        </w:rPr>
        <w:t xml:space="preserve"> </w:t>
      </w:r>
    </w:p>
    <w:p w14:paraId="7C5B9BCC" w14:textId="5C2E3698" w:rsidR="007E4AF6" w:rsidRPr="00D47B0A" w:rsidRDefault="007E4AF6" w:rsidP="007E4AF6">
      <w:pPr>
        <w:spacing w:after="0" w:line="480" w:lineRule="auto"/>
        <w:jc w:val="both"/>
        <w:rPr>
          <w:rFonts w:ascii="Times New Roman" w:hAnsi="Times New Roman" w:cs="Times New Roman"/>
          <w:sz w:val="24"/>
          <w:szCs w:val="24"/>
        </w:rPr>
      </w:pPr>
      <w:r w:rsidRPr="001E7B6A">
        <w:rPr>
          <w:rFonts w:ascii="Times New Roman" w:hAnsi="Times New Roman" w:cs="Times New Roman"/>
          <w:sz w:val="24"/>
          <w:szCs w:val="24"/>
        </w:rPr>
        <w:t xml:space="preserve">The thermal stability of UPR, UPR/GO, and UPR/rGO composites is studied by TGA analysis (Figure </w:t>
      </w:r>
      <w:r w:rsidR="00FE5125">
        <w:rPr>
          <w:rFonts w:ascii="Times New Roman" w:hAnsi="Times New Roman" w:cs="Times New Roman"/>
          <w:sz w:val="24"/>
          <w:szCs w:val="24"/>
        </w:rPr>
        <w:t>5</w:t>
      </w:r>
      <w:r w:rsidR="00BF19FB">
        <w:rPr>
          <w:rFonts w:ascii="Times New Roman" w:hAnsi="Times New Roman" w:cs="Times New Roman"/>
          <w:sz w:val="24"/>
          <w:szCs w:val="24"/>
        </w:rPr>
        <w:t>.</w:t>
      </w:r>
      <w:r w:rsidRPr="001E7B6A">
        <w:rPr>
          <w:rFonts w:ascii="Times New Roman" w:hAnsi="Times New Roman" w:cs="Times New Roman"/>
          <w:sz w:val="24"/>
          <w:szCs w:val="24"/>
        </w:rPr>
        <w:t xml:space="preserve">4), and the results are summarized in Table </w:t>
      </w:r>
      <w:r w:rsidR="00FE5125">
        <w:rPr>
          <w:rFonts w:ascii="Times New Roman" w:hAnsi="Times New Roman" w:cs="Times New Roman"/>
          <w:sz w:val="24"/>
          <w:szCs w:val="24"/>
        </w:rPr>
        <w:t>5</w:t>
      </w:r>
      <w:r w:rsidR="00BF19FB">
        <w:rPr>
          <w:rFonts w:ascii="Times New Roman" w:hAnsi="Times New Roman" w:cs="Times New Roman"/>
          <w:sz w:val="24"/>
          <w:szCs w:val="24"/>
        </w:rPr>
        <w:t>.</w:t>
      </w:r>
      <w:r w:rsidRPr="001E7B6A">
        <w:rPr>
          <w:rFonts w:ascii="Times New Roman" w:hAnsi="Times New Roman" w:cs="Times New Roman"/>
          <w:sz w:val="24"/>
          <w:szCs w:val="24"/>
        </w:rPr>
        <w:t xml:space="preserve">2.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oneset</m:t>
            </m:r>
          </m:sup>
        </m:sSubSup>
      </m:oMath>
      <w:r w:rsidRPr="001E7B6A">
        <w:rPr>
          <w:rFonts w:ascii="Times New Roman" w:hAnsi="Times New Roman" w:cs="Times New Roman"/>
          <w:sz w:val="24"/>
          <w:szCs w:val="24"/>
        </w:rPr>
        <w:t xml:space="preserve">, which is determined as the temperature of 5% weight loss, is 339 °C for neat UPR.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Pr="00D47B0A">
        <w:rPr>
          <w:rFonts w:ascii="Times New Roman" w:hAnsi="Times New Roman" w:cs="Times New Roman"/>
          <w:sz w:val="24"/>
          <w:szCs w:val="24"/>
        </w:rPr>
        <w:t xml:space="preserve"> ,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sidRPr="001A5452">
        <w:rPr>
          <w:rFonts w:ascii="Times New Roman" w:hAnsi="Times New Roman" w:cs="Times New Roman"/>
          <w:szCs w:val="24"/>
        </w:rPr>
        <w:t xml:space="preserve"> </w:t>
      </w:r>
      <w:r w:rsidRPr="00D47B0A">
        <w:rPr>
          <w:rFonts w:ascii="Times New Roman" w:hAnsi="Times New Roman" w:cs="Times New Roman"/>
          <w:sz w:val="24"/>
          <w:szCs w:val="24"/>
        </w:rPr>
        <w:t>of neat UPR is 418 °C, and 417 °C, respectively. Compared to the TGA of UPR</w:t>
      </w:r>
      <w:r w:rsidR="00FE5125">
        <w:rPr>
          <w:rFonts w:ascii="Times New Roman" w:hAnsi="Times New Roman" w:cs="Times New Roman"/>
          <w:sz w:val="24"/>
          <w:szCs w:val="24"/>
        </w:rPr>
        <w:t xml:space="preserve"> (Figure 5.4(a))</w:t>
      </w:r>
      <w:r w:rsidRPr="00D47B0A">
        <w:rPr>
          <w:rFonts w:ascii="Times New Roman" w:hAnsi="Times New Roman" w:cs="Times New Roman"/>
          <w:sz w:val="24"/>
          <w:szCs w:val="24"/>
        </w:rPr>
        <w:t xml:space="preserve">, UPR(THF/DMF) materials shows no significant changes on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oneset</m:t>
            </m:r>
          </m:sup>
        </m:sSubSup>
      </m:oMath>
      <w:r w:rsidRPr="00D47B0A">
        <w:rPr>
          <w:rFonts w:ascii="Times New Roman" w:hAnsi="Times New Roman" w:cs="Times New Roman"/>
          <w:sz w:val="24"/>
          <w:szCs w:val="24"/>
        </w:rPr>
        <w:t xml:space="preserve"> ,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r>
          <w:rPr>
            <w:rFonts w:ascii="Cambria Math" w:hAnsi="Cambria Math" w:cs="Times New Roman"/>
            <w:sz w:val="24"/>
            <w:szCs w:val="24"/>
          </w:rPr>
          <m:t>,</m:t>
        </m:r>
      </m:oMath>
      <w:r w:rsidRPr="00D47B0A">
        <w:rPr>
          <w:rFonts w:ascii="Times New Roman" w:hAnsi="Times New Roman" w:cs="Times New Roman"/>
          <w:sz w:val="24"/>
          <w:szCs w:val="24"/>
        </w:rPr>
        <w:t xml:space="preserve"> and</w:t>
      </w:r>
      <w:r w:rsidR="00D47B0A">
        <w:rPr>
          <w:rFonts w:ascii="Times New Roman" w:hAnsi="Times New Roman" w:cs="Times New Roman"/>
          <w:sz w:val="24"/>
          <w:szCs w:val="24"/>
        </w:rPr>
        <w:t xml:space="preserve">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sidRPr="001A5452">
        <w:rPr>
          <w:rFonts w:ascii="Times New Roman" w:hAnsi="Times New Roman" w:cs="Times New Roman"/>
          <w:szCs w:val="24"/>
        </w:rPr>
        <w:t xml:space="preserve"> </w:t>
      </w:r>
      <w:r w:rsidRPr="00D47B0A">
        <w:rPr>
          <w:rFonts w:ascii="Times New Roman" w:hAnsi="Times New Roman" w:cs="Times New Roman"/>
          <w:sz w:val="24"/>
          <w:szCs w:val="24"/>
        </w:rPr>
        <w:t xml:space="preserve"> indicating that the addition of solvents (THF and DMF) does not significantly affect the thermal stability of UPR. There is no significant influence on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oneset</m:t>
            </m:r>
          </m:sup>
        </m:sSubSup>
      </m:oMath>
      <w:r w:rsidRPr="00D47B0A">
        <w:rPr>
          <w:rFonts w:ascii="Times New Roman" w:hAnsi="Times New Roman" w:cs="Times New Roman"/>
          <w:sz w:val="24"/>
          <w:szCs w:val="24"/>
        </w:rPr>
        <w:t xml:space="preserve"> of UPR composites, except a reduction at UPR/rGO1.32 (24 °C lower than UPR). Moreover,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sidRPr="001A5452">
        <w:rPr>
          <w:rFonts w:ascii="Times New Roman" w:hAnsi="Times New Roman" w:cs="Times New Roman"/>
          <w:szCs w:val="24"/>
        </w:rPr>
        <w:t xml:space="preserve"> </w:t>
      </w:r>
      <w:r w:rsidRPr="00D47B0A">
        <w:rPr>
          <w:rFonts w:ascii="Times New Roman" w:hAnsi="Times New Roman" w:cs="Times New Roman"/>
          <w:sz w:val="24"/>
          <w:szCs w:val="24"/>
        </w:rPr>
        <w:t>of UPR composites shows similar values as that of UPR, except a significant reduction at UPR/RGO1.32 (8 °C lower than UPR), and an improvement at UPR/rGO1.32(DMF) (14 °C higher than UPR). This results presumably d</w:t>
      </w:r>
      <w:r w:rsidR="001E7B6A">
        <w:rPr>
          <w:rFonts w:ascii="Times New Roman" w:hAnsi="Times New Roman" w:cs="Times New Roman"/>
          <w:sz w:val="24"/>
          <w:szCs w:val="24"/>
        </w:rPr>
        <w:t>ue</w:t>
      </w:r>
      <w:r w:rsidRPr="00D47B0A">
        <w:rPr>
          <w:rFonts w:ascii="Times New Roman" w:hAnsi="Times New Roman" w:cs="Times New Roman"/>
          <w:sz w:val="24"/>
          <w:szCs w:val="24"/>
        </w:rPr>
        <w:t xml:space="preserve"> to three reasons. 1) When rGO content is 0.91 wt.%, it can be dispersed well in polymer matrix as discussed in SEM analysis later. Therefore, rGO plays a role as an insulator and tends to reduce the flammability of UPR composites </w:t>
      </w:r>
      <w:r w:rsidRPr="00D47B0A">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"author" : [ { "dropping-particle" : "", "family" : "Mohammad Jawaid, Abou el Kacem Qaiss", "given" : "Rachid Bouhfid", "non-dropping-particle" : "", "parse-names" : false, "suffix" : "" } ], "edition" : "Springer", "id" : "ITEM-1", "issued" : { "date-parts" : [ [ "0" ] ] }, "number-of-pages" : "157-158", "title" : "No Title", "type" : "book" }, "uris" : [ "http://www.mendeley.com/documents/?uuid=921d6318-ef8c-4730-a74a-2e7f7b9b0b9e" ] } ], "mendeley" : { "formattedCitation" : "[224]", "plainTextFormattedCitation" : "[224]", "previouslyFormattedCitation" : "[224]" }, "properties" : {  }, "schema" : "https://github.com/citation-style-language/schema/raw/master/csl-citation.json" }</w:instrText>
      </w:r>
      <w:r w:rsidRPr="00D47B0A">
        <w:rPr>
          <w:rFonts w:ascii="Times New Roman" w:hAnsi="Times New Roman" w:cs="Times New Roman"/>
          <w:sz w:val="24"/>
          <w:szCs w:val="24"/>
        </w:rPr>
        <w:fldChar w:fldCharType="separate"/>
      </w:r>
      <w:r w:rsidR="008F0DFC" w:rsidRPr="008F0DFC">
        <w:rPr>
          <w:rFonts w:ascii="Times New Roman" w:hAnsi="Times New Roman" w:cs="Times New Roman"/>
          <w:noProof/>
          <w:sz w:val="24"/>
          <w:szCs w:val="24"/>
        </w:rPr>
        <w:t>[224]</w:t>
      </w:r>
      <w:r w:rsidRPr="00D47B0A">
        <w:rPr>
          <w:rFonts w:ascii="Times New Roman" w:hAnsi="Times New Roman" w:cs="Times New Roman"/>
          <w:sz w:val="24"/>
          <w:szCs w:val="24"/>
        </w:rPr>
        <w:fldChar w:fldCharType="end"/>
      </w:r>
      <w:r w:rsidRPr="00D47B0A">
        <w:rPr>
          <w:rFonts w:ascii="Times New Roman" w:hAnsi="Times New Roman" w:cs="Times New Roman"/>
          <w:sz w:val="24"/>
          <w:szCs w:val="24"/>
        </w:rPr>
        <w:t xml:space="preserve">. 2) GO tends to aggregate when GO content reaches 1.32 wt.% after reduction by vitamin C, which in turn reduce the heat transfer efficiency due to the poor interfacial adhesion between rGO and UPR. Therefore, both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oneset</m:t>
            </m:r>
          </m:sup>
        </m:sSubSup>
      </m:oMath>
      <w:r w:rsidRPr="00D47B0A">
        <w:rPr>
          <w:rFonts w:ascii="Times New Roman" w:hAnsi="Times New Roman" w:cs="Times New Roman"/>
          <w:sz w:val="24"/>
          <w:szCs w:val="24"/>
        </w:rPr>
        <w:t xml:space="preserve"> and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sidRPr="001A5452">
        <w:rPr>
          <w:rFonts w:ascii="Times New Roman" w:hAnsi="Times New Roman" w:cs="Times New Roman"/>
          <w:szCs w:val="24"/>
        </w:rPr>
        <w:t xml:space="preserve"> </w:t>
      </w:r>
      <w:r w:rsidRPr="00D47B0A">
        <w:rPr>
          <w:rFonts w:ascii="Times New Roman" w:hAnsi="Times New Roman" w:cs="Times New Roman"/>
          <w:sz w:val="24"/>
          <w:szCs w:val="24"/>
        </w:rPr>
        <w:t xml:space="preserve">are reduced for UPR/rGO1.32. However, the presence of unreacted vitamin C could also affect the heat transfer efficiency by reducing the interfacial adhesion between rGO and UPR. Hence, the influences on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oneset</m:t>
            </m:r>
          </m:sup>
        </m:sSubSup>
      </m:oMath>
      <w:r w:rsidRPr="00D47B0A">
        <w:rPr>
          <w:rFonts w:ascii="Times New Roman" w:hAnsi="Times New Roman" w:cs="Times New Roman"/>
          <w:sz w:val="24"/>
          <w:szCs w:val="24"/>
        </w:rPr>
        <w:t xml:space="preserve"> and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Pr="00D47B0A">
        <w:rPr>
          <w:rFonts w:ascii="Times New Roman" w:hAnsi="Times New Roman" w:cs="Times New Roman"/>
          <w:i/>
          <w:sz w:val="24"/>
          <w:szCs w:val="24"/>
          <w:vertAlign w:val="subscript"/>
        </w:rPr>
        <w:t xml:space="preserve"> </w:t>
      </w:r>
      <w:r w:rsidRPr="00D47B0A">
        <w:rPr>
          <w:rFonts w:ascii="Times New Roman" w:hAnsi="Times New Roman" w:cs="Times New Roman"/>
          <w:sz w:val="24"/>
          <w:szCs w:val="24"/>
        </w:rPr>
        <w:t xml:space="preserve"> are quite complex, resulting in an unclear trend. 3) The use of DMA for dispersion of GO instead of THF can produce a better dispersion of GO organic suspension. Meanwhile, the dispersion of vitamin C in DMF is better than that in THF/DMF mixture. Hence, the interfacial interaction between rGO and UPR matrix is much stronger compared to other composites, resulting in </w:t>
      </w:r>
      <w:r w:rsidR="00D47B0A" w:rsidRPr="00D47B0A">
        <w:rPr>
          <w:rFonts w:ascii="Times New Roman" w:hAnsi="Times New Roman" w:cs="Times New Roman"/>
          <w:sz w:val="24"/>
          <w:szCs w:val="24"/>
        </w:rPr>
        <w:t>enhanced</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Pr>
          <w:rFonts w:ascii="Times New Roman" w:hAnsi="Times New Roman" w:cs="Times New Roman"/>
          <w:szCs w:val="24"/>
        </w:rPr>
        <w:t xml:space="preserve">. </w:t>
      </w:r>
      <w:r w:rsidRPr="00D47B0A">
        <w:rPr>
          <w:rFonts w:ascii="Times New Roman" w:hAnsi="Times New Roman" w:cs="Times New Roman"/>
          <w:sz w:val="24"/>
          <w:szCs w:val="24"/>
        </w:rPr>
        <w:t>Regarding to char yield, UPR/rGO1.32(DMF) exhibits the highest char yield of 11.2%, which is a 20%</w:t>
      </w:r>
      <w:r w:rsidRPr="001A5452">
        <w:rPr>
          <w:rFonts w:ascii="Times New Roman" w:hAnsi="Times New Roman" w:cs="Times New Roman"/>
          <w:sz w:val="24"/>
          <w:szCs w:val="24"/>
        </w:rPr>
        <w:t xml:space="preserve"> </w:t>
      </w:r>
      <w:r w:rsidRPr="00747A84">
        <w:rPr>
          <w:rFonts w:ascii="Times New Roman" w:hAnsi="Times New Roman" w:cs="Times New Roman"/>
          <w:sz w:val="24"/>
          <w:szCs w:val="24"/>
        </w:rPr>
        <w:t xml:space="preserve">improvement over UPR. This is presumably because during the TGA analysis, </w:t>
      </w:r>
      <w:r w:rsidR="00747A84">
        <w:rPr>
          <w:rFonts w:ascii="Times New Roman" w:hAnsi="Times New Roman" w:cs="Times New Roman"/>
          <w:sz w:val="24"/>
          <w:szCs w:val="24"/>
        </w:rPr>
        <w:t xml:space="preserve">rGO layer as </w:t>
      </w:r>
      <w:r w:rsidR="00D2203F">
        <w:rPr>
          <w:rFonts w:ascii="Times New Roman" w:hAnsi="Times New Roman" w:cs="Times New Roman"/>
          <w:sz w:val="24"/>
          <w:szCs w:val="24"/>
        </w:rPr>
        <w:t>a barrier surrounded polymer chains. The combustible molecules cannot go out and oxygen cannot go in, resulting in an increased char yield.</w:t>
      </w:r>
    </w:p>
    <w:p w14:paraId="15A400DA" w14:textId="35FB31B4" w:rsidR="00C0409B" w:rsidRPr="00FE5125" w:rsidRDefault="007E4AF6" w:rsidP="007E4AF6">
      <w:pPr>
        <w:spacing w:after="0" w:line="480" w:lineRule="auto"/>
        <w:ind w:firstLine="360"/>
        <w:jc w:val="both"/>
        <w:rPr>
          <w:rFonts w:ascii="Times New Roman" w:hAnsi="Times New Roman" w:cs="Times New Roman"/>
          <w:sz w:val="24"/>
          <w:szCs w:val="24"/>
        </w:rPr>
      </w:pPr>
      <w:r w:rsidRPr="00D47B0A">
        <w:rPr>
          <w:rFonts w:ascii="Times New Roman" w:hAnsi="Times New Roman" w:cs="Times New Roman"/>
          <w:sz w:val="24"/>
          <w:szCs w:val="24"/>
        </w:rPr>
        <w:t xml:space="preserve">DTA analysis is used to determine the rate of the weight loss, and the temperature of the maximum rate of weight loss (peak) is determined as the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Pr="00D47B0A">
        <w:rPr>
          <w:rFonts w:ascii="Times New Roman" w:hAnsi="Times New Roman" w:cs="Times New Roman"/>
          <w:sz w:val="24"/>
          <w:szCs w:val="24"/>
        </w:rPr>
        <w:t xml:space="preserve">. According to the DTA curves (Figure </w:t>
      </w:r>
      <w:r w:rsidR="00FE5125">
        <w:rPr>
          <w:rFonts w:ascii="Times New Roman" w:hAnsi="Times New Roman" w:cs="Times New Roman"/>
          <w:sz w:val="24"/>
          <w:szCs w:val="24"/>
        </w:rPr>
        <w:t>5</w:t>
      </w:r>
      <w:r w:rsidR="00BF19FB">
        <w:rPr>
          <w:rFonts w:ascii="Times New Roman" w:hAnsi="Times New Roman" w:cs="Times New Roman"/>
          <w:sz w:val="24"/>
          <w:szCs w:val="24"/>
        </w:rPr>
        <w:t>.4</w:t>
      </w:r>
      <w:r w:rsidRPr="00D47B0A">
        <w:rPr>
          <w:rFonts w:ascii="Times New Roman" w:hAnsi="Times New Roman" w:cs="Times New Roman"/>
          <w:sz w:val="24"/>
          <w:szCs w:val="24"/>
        </w:rPr>
        <w:t>(b)), UPR, UPR(THF/DMF), and UPR/GO show sharp single peaks.</w:t>
      </w:r>
      <w:r w:rsidR="00D47B0A">
        <w:rPr>
          <w:rFonts w:ascii="Times New Roman" w:hAnsi="Times New Roman" w:cs="Times New Roman"/>
          <w:sz w:val="24"/>
          <w:szCs w:val="24"/>
        </w:rPr>
        <w:t xml:space="preserve"> In contrast, </w:t>
      </w:r>
      <w:r w:rsidRPr="00D47B0A">
        <w:rPr>
          <w:rFonts w:ascii="Times New Roman" w:hAnsi="Times New Roman" w:cs="Times New Roman"/>
          <w:sz w:val="24"/>
          <w:szCs w:val="24"/>
        </w:rPr>
        <w:t xml:space="preserve">UPR/rGO0.91, UPR/rGO1.32, and UPR/rGO1.32(DMF) composites show two peaks. The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Pr="00D47B0A">
        <w:rPr>
          <w:rFonts w:ascii="Times New Roman" w:hAnsi="Times New Roman" w:cs="Times New Roman"/>
          <w:sz w:val="24"/>
          <w:szCs w:val="24"/>
        </w:rPr>
        <w:t xml:space="preserve"> is defined by the main sharp peak, which is related to the major decomposition of polymer chains. The other small peak is presumably duo to the derivatives from vitamin C during the curing process under heating program (80 °C for 3 h, 120 °C for 1 °h, and 200 °C for 3 h). Briefly, 436 °C for UPR/rGO0.91, 396 °C for UPR/rGO1.32, and 410 °C for UPR/rGO1.32(DMF) are considered as the decomposition temperature for vitamin C derivatives. UPR/rGO1.32 exhibits a significant increase on</w:t>
      </w:r>
      <m:oMath>
        <m:r>
          <m:rPr>
            <m:sty m:val="p"/>
          </m:rPr>
          <w:rPr>
            <w:rFonts w:ascii="Cambria Math" w:hAnsi="Cambria Math" w:cs="Times New Roman"/>
            <w:sz w:val="24"/>
            <w:szCs w:val="24"/>
          </w:rPr>
          <m:t xml:space="preserve"> </m:t>
        </m:r>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Pr="00D47B0A">
        <w:rPr>
          <w:rFonts w:ascii="Times New Roman" w:hAnsi="Times New Roman" w:cs="Times New Roman"/>
          <w:sz w:val="24"/>
          <w:szCs w:val="24"/>
        </w:rPr>
        <w:t xml:space="preserve">, which is </w:t>
      </w:r>
      <w:r w:rsidRPr="001A7F8B">
        <w:rPr>
          <w:rFonts w:ascii="Times New Roman" w:hAnsi="Times New Roman" w:cs="Times New Roman"/>
          <w:sz w:val="24"/>
          <w:szCs w:val="24"/>
        </w:rPr>
        <w:t xml:space="preserve">37 </w:t>
      </w:r>
      <w:r w:rsidR="001A7F8B" w:rsidRPr="001A7F8B">
        <w:rPr>
          <w:rFonts w:ascii="Times New Roman" w:hAnsi="Times New Roman" w:cs="Times New Roman"/>
          <w:sz w:val="24"/>
          <w:szCs w:val="24"/>
        </w:rPr>
        <w:t>°</w:t>
      </w:r>
      <w:r w:rsidRPr="001A7F8B">
        <w:rPr>
          <w:rFonts w:ascii="Times New Roman" w:hAnsi="Times New Roman" w:cs="Times New Roman"/>
          <w:sz w:val="24"/>
          <w:szCs w:val="24"/>
        </w:rPr>
        <w:t>C</w:t>
      </w:r>
      <w:r w:rsidRPr="00D47B0A">
        <w:rPr>
          <w:rFonts w:ascii="Times New Roman" w:hAnsi="Times New Roman" w:cs="Times New Roman"/>
          <w:sz w:val="24"/>
          <w:szCs w:val="24"/>
        </w:rPr>
        <w:t xml:space="preserve"> higher than that of neat UPR</w:t>
      </w:r>
      <w:r w:rsidRPr="00C0409B">
        <w:rPr>
          <w:rFonts w:ascii="Times New Roman" w:hAnsi="Times New Roman" w:cs="Times New Roman"/>
          <w:color w:val="FF0000"/>
          <w:sz w:val="24"/>
          <w:szCs w:val="24"/>
        </w:rPr>
        <w:t xml:space="preserve">. </w:t>
      </w:r>
      <w:r w:rsidR="00C0409B" w:rsidRPr="00FE5125">
        <w:rPr>
          <w:rFonts w:ascii="Times New Roman" w:hAnsi="Times New Roman" w:cs="Times New Roman"/>
          <w:sz w:val="24"/>
          <w:szCs w:val="24"/>
        </w:rPr>
        <w:t xml:space="preserve">DMF is a great solvent for both GO and vitamin C, in which GO and vitamin C can be dispersed homogeneously without precipitation via mechanical agitation and mild sonication. Therefore, GO can be reduced successfully by vitamin C </w:t>
      </w:r>
      <w:r w:rsidR="00F90D58" w:rsidRPr="00FE5125">
        <w:rPr>
          <w:rFonts w:ascii="Times New Roman" w:hAnsi="Times New Roman" w:cs="Times New Roman"/>
          <w:sz w:val="24"/>
          <w:szCs w:val="24"/>
        </w:rPr>
        <w:t xml:space="preserve">at </w:t>
      </w:r>
      <w:r w:rsidR="00C0409B" w:rsidRPr="00FE5125">
        <w:rPr>
          <w:rFonts w:ascii="Times New Roman" w:hAnsi="Times New Roman" w:cs="Times New Roman"/>
          <w:sz w:val="24"/>
          <w:szCs w:val="24"/>
        </w:rPr>
        <w:t>the presence of UP matrix, which is also proved by FTIR and TGA previously.</w:t>
      </w:r>
    </w:p>
    <w:p w14:paraId="7EECE6EC" w14:textId="77777777" w:rsidR="00C0409B" w:rsidRDefault="00C0409B" w:rsidP="007E4AF6">
      <w:pPr>
        <w:spacing w:after="0" w:line="480" w:lineRule="auto"/>
        <w:ind w:firstLine="360"/>
        <w:jc w:val="both"/>
        <w:rPr>
          <w:rFonts w:ascii="Times New Roman" w:hAnsi="Times New Roman" w:cs="Times New Roman"/>
          <w:sz w:val="24"/>
          <w:szCs w:val="24"/>
        </w:rPr>
      </w:pPr>
    </w:p>
    <w:p w14:paraId="5A39DFB9" w14:textId="26692D1A" w:rsidR="007E4AF6" w:rsidRPr="001A5452" w:rsidRDefault="00373B10" w:rsidP="00373B10">
      <w:pPr>
        <w:spacing w:after="0" w:line="480" w:lineRule="auto"/>
        <w:ind w:left="360" w:hanging="851"/>
        <w:jc w:val="center"/>
        <w:rPr>
          <w:rFonts w:ascii="Times New Roman" w:hAnsi="Times New Roman" w:cs="Times New Roman"/>
          <w:sz w:val="24"/>
          <w:szCs w:val="24"/>
        </w:rPr>
      </w:pPr>
      <w:r>
        <w:rPr>
          <w:rFonts w:ascii="Times New Roman" w:hAnsi="Times New Roman" w:cs="Times New Roman"/>
          <w:noProof/>
          <w:sz w:val="24"/>
          <w:szCs w:val="24"/>
          <w:lang w:val="en-GB"/>
        </w:rPr>
        <w:drawing>
          <wp:inline distT="0" distB="0" distL="0" distR="0" wp14:anchorId="5FBA0592" wp14:editId="54B101EF">
            <wp:extent cx="6067425" cy="2388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4289" cy="2399025"/>
                    </a:xfrm>
                    <a:prstGeom prst="rect">
                      <a:avLst/>
                    </a:prstGeom>
                    <a:noFill/>
                  </pic:spPr>
                </pic:pic>
              </a:graphicData>
            </a:graphic>
          </wp:inline>
        </w:drawing>
      </w:r>
    </w:p>
    <w:p w14:paraId="7948B164" w14:textId="1EF1D9AA" w:rsidR="007E4AF6" w:rsidRDefault="00FE5125" w:rsidP="00EC12AF">
      <w:pPr>
        <w:pStyle w:val="Caption"/>
        <w:ind w:firstLine="0"/>
        <w:rPr>
          <w:rFonts w:cs="Times New Roman"/>
          <w:szCs w:val="24"/>
        </w:rPr>
      </w:pPr>
      <w:bookmarkStart w:id="180" w:name="_Toc518823441"/>
      <w:r>
        <w:t>Figure 5</w:t>
      </w:r>
      <w:r w:rsidR="00373B10">
        <w:t>.</w:t>
      </w:r>
      <w:r w:rsidR="00EC12AF">
        <w:fldChar w:fldCharType="begin"/>
      </w:r>
      <w:r w:rsidR="00EC12AF">
        <w:instrText xml:space="preserve"> SEQ Figure_5. \* ARABIC </w:instrText>
      </w:r>
      <w:r w:rsidR="00EC12AF">
        <w:fldChar w:fldCharType="separate"/>
      </w:r>
      <w:r w:rsidR="00551ED9">
        <w:rPr>
          <w:noProof/>
        </w:rPr>
        <w:t>4</w:t>
      </w:r>
      <w:r w:rsidR="00EC12AF">
        <w:fldChar w:fldCharType="end"/>
      </w:r>
      <w:r w:rsidR="007E4AF6" w:rsidRPr="001A5452">
        <w:rPr>
          <w:rFonts w:cs="Times New Roman"/>
          <w:b w:val="0"/>
          <w:szCs w:val="24"/>
        </w:rPr>
        <w:t>.</w:t>
      </w:r>
      <w:r w:rsidR="007E4AF6" w:rsidRPr="001A5452">
        <w:rPr>
          <w:rFonts w:cs="Times New Roman"/>
          <w:szCs w:val="24"/>
        </w:rPr>
        <w:t xml:space="preserve"> Thermal properties of UPR, UPR/GO, and UPR/rGO composites: (a) TGA and (b) DTG.</w:t>
      </w:r>
      <w:bookmarkEnd w:id="180"/>
    </w:p>
    <w:p w14:paraId="1296C063" w14:textId="77777777" w:rsidR="00DA69B8" w:rsidRPr="001A5452" w:rsidRDefault="00DA69B8" w:rsidP="003A24B8">
      <w:pPr>
        <w:spacing w:after="0" w:line="480" w:lineRule="auto"/>
        <w:jc w:val="both"/>
        <w:rPr>
          <w:rFonts w:ascii="Times New Roman" w:hAnsi="Times New Roman" w:cs="Times New Roman"/>
          <w:sz w:val="24"/>
          <w:szCs w:val="24"/>
        </w:rPr>
      </w:pPr>
    </w:p>
    <w:p w14:paraId="74CA4CD3" w14:textId="00872C1A" w:rsidR="007E4AF6" w:rsidRPr="001A5452" w:rsidRDefault="00FE5125" w:rsidP="00EC12AF">
      <w:pPr>
        <w:pStyle w:val="Caption"/>
        <w:ind w:firstLine="0"/>
        <w:rPr>
          <w:rFonts w:cs="Times New Roman"/>
          <w:szCs w:val="24"/>
        </w:rPr>
      </w:pPr>
      <w:bookmarkStart w:id="181" w:name="_Toc518823482"/>
      <w:r>
        <w:t>Table 5</w:t>
      </w:r>
      <w:r w:rsidR="0020194E">
        <w:t>.</w:t>
      </w:r>
      <w:r w:rsidR="00EC12AF">
        <w:fldChar w:fldCharType="begin"/>
      </w:r>
      <w:r w:rsidR="00EC12AF">
        <w:instrText xml:space="preserve"> SEQ Table_5. \* ARABIC </w:instrText>
      </w:r>
      <w:r w:rsidR="00EC12AF">
        <w:fldChar w:fldCharType="separate"/>
      </w:r>
      <w:r w:rsidR="00551ED9">
        <w:rPr>
          <w:noProof/>
        </w:rPr>
        <w:t>2</w:t>
      </w:r>
      <w:r w:rsidR="00EC12AF">
        <w:fldChar w:fldCharType="end"/>
      </w:r>
      <w:r w:rsidR="007E4AF6" w:rsidRPr="001A5452">
        <w:rPr>
          <w:rFonts w:cs="Times New Roman"/>
          <w:b w:val="0"/>
          <w:szCs w:val="24"/>
        </w:rPr>
        <w:t>.</w:t>
      </w:r>
      <w:r w:rsidR="007E4AF6" w:rsidRPr="001A5452">
        <w:rPr>
          <w:rFonts w:cs="Times New Roman"/>
          <w:szCs w:val="24"/>
        </w:rPr>
        <w:t xml:space="preserve"> TGA results of UPR, UPR/GO, and UPR /rGO composites prepared by in situ method.</w:t>
      </w:r>
      <w:bookmarkEnd w:id="181"/>
    </w:p>
    <w:tbl>
      <w:tblPr>
        <w:tblStyle w:val="TableGrid"/>
        <w:tblW w:w="936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278"/>
        <w:gridCol w:w="1616"/>
        <w:gridCol w:w="1646"/>
        <w:gridCol w:w="1231"/>
        <w:gridCol w:w="2589"/>
      </w:tblGrid>
      <w:tr w:rsidR="007E4AF6" w:rsidRPr="001A5452" w14:paraId="7992D798" w14:textId="77777777" w:rsidTr="00314423">
        <w:tc>
          <w:tcPr>
            <w:tcW w:w="2278" w:type="dxa"/>
            <w:tcBorders>
              <w:left w:val="nil"/>
              <w:bottom w:val="single" w:sz="12" w:space="0" w:color="auto"/>
              <w:right w:val="nil"/>
            </w:tcBorders>
            <w:vAlign w:val="center"/>
          </w:tcPr>
          <w:p w14:paraId="0FF23277"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samples</w:t>
            </w:r>
          </w:p>
        </w:tc>
        <w:tc>
          <w:tcPr>
            <w:tcW w:w="1616" w:type="dxa"/>
            <w:tcBorders>
              <w:left w:val="nil"/>
              <w:bottom w:val="single" w:sz="12" w:space="0" w:color="auto"/>
              <w:right w:val="nil"/>
            </w:tcBorders>
            <w:vAlign w:val="center"/>
          </w:tcPr>
          <w:p w14:paraId="5986C3CA" w14:textId="77777777" w:rsidR="007E4AF6" w:rsidRPr="001A5452" w:rsidRDefault="00B72F48" w:rsidP="00DA69B8">
            <w:pPr>
              <w:spacing w:line="360" w:lineRule="auto"/>
              <w:jc w:val="center"/>
              <w:rPr>
                <w:rFonts w:ascii="Times New Roman"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oMath>
            <w:r w:rsidR="007E4AF6" w:rsidRPr="001A5452">
              <w:rPr>
                <w:rFonts w:ascii="Times New Roman" w:hAnsi="Times New Roman" w:cs="Times New Roman"/>
                <w:sz w:val="24"/>
                <w:szCs w:val="24"/>
              </w:rPr>
              <w:t xml:space="preserve"> / °C</w:t>
            </w:r>
          </w:p>
        </w:tc>
        <w:tc>
          <w:tcPr>
            <w:tcW w:w="1646" w:type="dxa"/>
            <w:tcBorders>
              <w:left w:val="nil"/>
              <w:bottom w:val="single" w:sz="12" w:space="0" w:color="auto"/>
              <w:right w:val="nil"/>
            </w:tcBorders>
            <w:vAlign w:val="center"/>
          </w:tcPr>
          <w:p w14:paraId="2211FDF1" w14:textId="77777777" w:rsidR="007E4AF6" w:rsidRPr="001A5452" w:rsidRDefault="00B72F48" w:rsidP="00DA69B8">
            <w:pPr>
              <w:spacing w:line="360" w:lineRule="auto"/>
              <w:jc w:val="center"/>
              <w:rPr>
                <w:rFonts w:ascii="Times New Roman" w:hAnsi="Times New Roman" w:cs="Times New Roman"/>
                <w:sz w:val="24"/>
                <w:szCs w:val="24"/>
              </w:rPr>
            </w:pP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sidR="007E4AF6" w:rsidRPr="001A5452">
              <w:rPr>
                <w:rFonts w:ascii="Times New Roman" w:hAnsi="Times New Roman" w:cs="Times New Roman"/>
                <w:sz w:val="24"/>
                <w:szCs w:val="24"/>
              </w:rPr>
              <w:t xml:space="preserve">  / °C</w:t>
            </w:r>
          </w:p>
        </w:tc>
        <w:tc>
          <w:tcPr>
            <w:tcW w:w="1231" w:type="dxa"/>
            <w:tcBorders>
              <w:left w:val="nil"/>
              <w:bottom w:val="single" w:sz="12" w:space="0" w:color="auto"/>
              <w:right w:val="nil"/>
            </w:tcBorders>
            <w:vAlign w:val="center"/>
          </w:tcPr>
          <w:p w14:paraId="2747CD0F" w14:textId="25E2D504" w:rsidR="007E4AF6" w:rsidRPr="001A5452" w:rsidRDefault="00B72F48" w:rsidP="00DA69B8">
            <w:pPr>
              <w:spacing w:line="36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D47B0A" w:rsidRPr="001A5452">
              <w:rPr>
                <w:rFonts w:ascii="Times New Roman" w:hAnsi="Times New Roman" w:cs="Times New Roman"/>
                <w:szCs w:val="24"/>
              </w:rPr>
              <w:t xml:space="preserve"> </w:t>
            </w:r>
            <w:r w:rsidR="007E4AF6" w:rsidRPr="001A5452">
              <w:rPr>
                <w:rFonts w:ascii="Times New Roman" w:hAnsi="Times New Roman" w:cs="Times New Roman"/>
                <w:sz w:val="24"/>
                <w:szCs w:val="24"/>
              </w:rPr>
              <w:t>/ °C</w:t>
            </w:r>
          </w:p>
        </w:tc>
        <w:tc>
          <w:tcPr>
            <w:tcW w:w="2589" w:type="dxa"/>
            <w:tcBorders>
              <w:left w:val="nil"/>
              <w:bottom w:val="single" w:sz="12" w:space="0" w:color="auto"/>
              <w:right w:val="nil"/>
            </w:tcBorders>
            <w:vAlign w:val="center"/>
          </w:tcPr>
          <w:p w14:paraId="08928F5F"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Char yield / wt.%</w:t>
            </w:r>
          </w:p>
        </w:tc>
      </w:tr>
      <w:tr w:rsidR="007E4AF6" w:rsidRPr="001A5452" w14:paraId="65FC3A28" w14:textId="77777777" w:rsidTr="00314423">
        <w:tc>
          <w:tcPr>
            <w:tcW w:w="2278" w:type="dxa"/>
            <w:tcBorders>
              <w:left w:val="nil"/>
              <w:bottom w:val="nil"/>
              <w:right w:val="nil"/>
            </w:tcBorders>
            <w:vAlign w:val="center"/>
          </w:tcPr>
          <w:p w14:paraId="1165E93E"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UPR/rGO0.91</w:t>
            </w:r>
          </w:p>
        </w:tc>
        <w:tc>
          <w:tcPr>
            <w:tcW w:w="1616" w:type="dxa"/>
            <w:tcBorders>
              <w:left w:val="nil"/>
              <w:bottom w:val="nil"/>
              <w:right w:val="nil"/>
            </w:tcBorders>
            <w:vAlign w:val="center"/>
          </w:tcPr>
          <w:p w14:paraId="0DB1AF4A"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342</w:t>
            </w:r>
          </w:p>
        </w:tc>
        <w:tc>
          <w:tcPr>
            <w:tcW w:w="1646" w:type="dxa"/>
            <w:tcBorders>
              <w:left w:val="nil"/>
              <w:bottom w:val="nil"/>
              <w:right w:val="nil"/>
            </w:tcBorders>
            <w:vAlign w:val="center"/>
          </w:tcPr>
          <w:p w14:paraId="749E7376" w14:textId="44C891A8" w:rsidR="007E4AF6" w:rsidRPr="001A5452" w:rsidRDefault="007865C4" w:rsidP="00DA69B8">
            <w:pPr>
              <w:spacing w:line="360" w:lineRule="auto"/>
              <w:jc w:val="center"/>
              <w:rPr>
                <w:rFonts w:ascii="Times New Roman" w:hAnsi="Times New Roman" w:cs="Times New Roman"/>
                <w:sz w:val="24"/>
                <w:szCs w:val="24"/>
              </w:rPr>
            </w:pPr>
            <w:r>
              <w:rPr>
                <w:rFonts w:ascii="Times New Roman" w:hAnsi="Times New Roman" w:cs="Times New Roman"/>
                <w:sz w:val="24"/>
                <w:szCs w:val="24"/>
              </w:rPr>
              <w:t>436/417</w:t>
            </w:r>
          </w:p>
        </w:tc>
        <w:tc>
          <w:tcPr>
            <w:tcW w:w="1231" w:type="dxa"/>
            <w:tcBorders>
              <w:left w:val="nil"/>
              <w:bottom w:val="nil"/>
              <w:right w:val="nil"/>
            </w:tcBorders>
            <w:vAlign w:val="center"/>
          </w:tcPr>
          <w:p w14:paraId="7DC05DF0"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419</w:t>
            </w:r>
          </w:p>
        </w:tc>
        <w:tc>
          <w:tcPr>
            <w:tcW w:w="2589" w:type="dxa"/>
            <w:tcBorders>
              <w:left w:val="nil"/>
              <w:bottom w:val="nil"/>
              <w:right w:val="nil"/>
            </w:tcBorders>
            <w:vAlign w:val="center"/>
          </w:tcPr>
          <w:p w14:paraId="57E0CBED"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7.2</w:t>
            </w:r>
          </w:p>
        </w:tc>
      </w:tr>
      <w:tr w:rsidR="007E4AF6" w:rsidRPr="001A5452" w14:paraId="434477CB" w14:textId="77777777" w:rsidTr="00314423">
        <w:tc>
          <w:tcPr>
            <w:tcW w:w="2278" w:type="dxa"/>
            <w:tcBorders>
              <w:top w:val="nil"/>
              <w:left w:val="nil"/>
              <w:bottom w:val="nil"/>
              <w:right w:val="nil"/>
            </w:tcBorders>
            <w:vAlign w:val="center"/>
          </w:tcPr>
          <w:p w14:paraId="1850026D"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UPR/rGO1.32</w:t>
            </w:r>
          </w:p>
        </w:tc>
        <w:tc>
          <w:tcPr>
            <w:tcW w:w="1616" w:type="dxa"/>
            <w:tcBorders>
              <w:top w:val="nil"/>
              <w:left w:val="nil"/>
              <w:bottom w:val="nil"/>
              <w:right w:val="nil"/>
            </w:tcBorders>
            <w:vAlign w:val="center"/>
          </w:tcPr>
          <w:p w14:paraId="5079C6AB"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315</w:t>
            </w:r>
          </w:p>
        </w:tc>
        <w:tc>
          <w:tcPr>
            <w:tcW w:w="1646" w:type="dxa"/>
            <w:tcBorders>
              <w:top w:val="nil"/>
              <w:left w:val="nil"/>
              <w:bottom w:val="nil"/>
              <w:right w:val="nil"/>
            </w:tcBorders>
            <w:vAlign w:val="center"/>
          </w:tcPr>
          <w:p w14:paraId="6AC77B5D"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437/396</w:t>
            </w:r>
          </w:p>
        </w:tc>
        <w:tc>
          <w:tcPr>
            <w:tcW w:w="1231" w:type="dxa"/>
            <w:tcBorders>
              <w:top w:val="nil"/>
              <w:left w:val="nil"/>
              <w:bottom w:val="nil"/>
              <w:right w:val="nil"/>
            </w:tcBorders>
            <w:vAlign w:val="center"/>
          </w:tcPr>
          <w:p w14:paraId="01D4988C"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409</w:t>
            </w:r>
          </w:p>
        </w:tc>
        <w:tc>
          <w:tcPr>
            <w:tcW w:w="2589" w:type="dxa"/>
            <w:tcBorders>
              <w:top w:val="nil"/>
              <w:left w:val="nil"/>
              <w:bottom w:val="nil"/>
              <w:right w:val="nil"/>
            </w:tcBorders>
            <w:vAlign w:val="center"/>
          </w:tcPr>
          <w:p w14:paraId="53ECECC7"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6.8</w:t>
            </w:r>
          </w:p>
        </w:tc>
      </w:tr>
      <w:tr w:rsidR="007E4AF6" w:rsidRPr="001A5452" w14:paraId="525CCFFF" w14:textId="77777777" w:rsidTr="00314423">
        <w:tc>
          <w:tcPr>
            <w:tcW w:w="2278" w:type="dxa"/>
            <w:tcBorders>
              <w:top w:val="nil"/>
              <w:left w:val="nil"/>
              <w:bottom w:val="nil"/>
              <w:right w:val="nil"/>
            </w:tcBorders>
            <w:vAlign w:val="center"/>
          </w:tcPr>
          <w:p w14:paraId="34B48E00" w14:textId="77777777" w:rsidR="007E4AF6" w:rsidRPr="001A5452" w:rsidRDefault="007E4AF6" w:rsidP="00DA69B8">
            <w:pPr>
              <w:spacing w:line="360" w:lineRule="auto"/>
              <w:rPr>
                <w:rFonts w:ascii="Times New Roman" w:hAnsi="Times New Roman" w:cs="Times New Roman"/>
                <w:sz w:val="24"/>
                <w:szCs w:val="24"/>
              </w:rPr>
            </w:pPr>
            <w:r w:rsidRPr="001A5452">
              <w:rPr>
                <w:rFonts w:ascii="Times New Roman" w:hAnsi="Times New Roman" w:cs="Times New Roman"/>
                <w:sz w:val="24"/>
                <w:szCs w:val="24"/>
              </w:rPr>
              <w:t>UPR/rGO1.32(DMF)</w:t>
            </w:r>
          </w:p>
        </w:tc>
        <w:tc>
          <w:tcPr>
            <w:tcW w:w="1616" w:type="dxa"/>
            <w:tcBorders>
              <w:top w:val="nil"/>
              <w:left w:val="nil"/>
              <w:bottom w:val="nil"/>
              <w:right w:val="nil"/>
            </w:tcBorders>
            <w:vAlign w:val="center"/>
          </w:tcPr>
          <w:p w14:paraId="0DB85505"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338</w:t>
            </w:r>
          </w:p>
        </w:tc>
        <w:tc>
          <w:tcPr>
            <w:tcW w:w="1646" w:type="dxa"/>
            <w:tcBorders>
              <w:top w:val="nil"/>
              <w:left w:val="nil"/>
              <w:bottom w:val="nil"/>
              <w:right w:val="nil"/>
            </w:tcBorders>
            <w:vAlign w:val="center"/>
          </w:tcPr>
          <w:p w14:paraId="73A24B13"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455/410</w:t>
            </w:r>
          </w:p>
        </w:tc>
        <w:tc>
          <w:tcPr>
            <w:tcW w:w="1231" w:type="dxa"/>
            <w:tcBorders>
              <w:top w:val="nil"/>
              <w:left w:val="nil"/>
              <w:bottom w:val="nil"/>
              <w:right w:val="nil"/>
            </w:tcBorders>
            <w:vAlign w:val="center"/>
          </w:tcPr>
          <w:p w14:paraId="342702D3"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431</w:t>
            </w:r>
          </w:p>
        </w:tc>
        <w:tc>
          <w:tcPr>
            <w:tcW w:w="2589" w:type="dxa"/>
            <w:tcBorders>
              <w:top w:val="nil"/>
              <w:left w:val="nil"/>
              <w:bottom w:val="nil"/>
              <w:right w:val="nil"/>
            </w:tcBorders>
            <w:vAlign w:val="center"/>
          </w:tcPr>
          <w:p w14:paraId="57A43A48"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11.2</w:t>
            </w:r>
          </w:p>
        </w:tc>
      </w:tr>
      <w:tr w:rsidR="007E4AF6" w:rsidRPr="001A5452" w14:paraId="215B73BF" w14:textId="77777777" w:rsidTr="00314423">
        <w:tc>
          <w:tcPr>
            <w:tcW w:w="2278" w:type="dxa"/>
            <w:tcBorders>
              <w:top w:val="nil"/>
              <w:left w:val="nil"/>
              <w:bottom w:val="nil"/>
              <w:right w:val="nil"/>
            </w:tcBorders>
            <w:vAlign w:val="center"/>
          </w:tcPr>
          <w:p w14:paraId="4DA43C6F"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UPR/GO0.96</w:t>
            </w:r>
          </w:p>
        </w:tc>
        <w:tc>
          <w:tcPr>
            <w:tcW w:w="1616" w:type="dxa"/>
            <w:tcBorders>
              <w:top w:val="nil"/>
              <w:left w:val="nil"/>
              <w:bottom w:val="nil"/>
              <w:right w:val="nil"/>
            </w:tcBorders>
            <w:vAlign w:val="center"/>
          </w:tcPr>
          <w:p w14:paraId="30AF3D26"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337</w:t>
            </w:r>
          </w:p>
        </w:tc>
        <w:tc>
          <w:tcPr>
            <w:tcW w:w="1646" w:type="dxa"/>
            <w:tcBorders>
              <w:top w:val="nil"/>
              <w:left w:val="nil"/>
              <w:bottom w:val="nil"/>
              <w:right w:val="nil"/>
            </w:tcBorders>
            <w:vAlign w:val="center"/>
          </w:tcPr>
          <w:p w14:paraId="4DC9B7F1"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412</w:t>
            </w:r>
          </w:p>
        </w:tc>
        <w:tc>
          <w:tcPr>
            <w:tcW w:w="1231" w:type="dxa"/>
            <w:tcBorders>
              <w:top w:val="nil"/>
              <w:left w:val="nil"/>
              <w:bottom w:val="nil"/>
              <w:right w:val="nil"/>
            </w:tcBorders>
            <w:vAlign w:val="center"/>
          </w:tcPr>
          <w:p w14:paraId="4EA269EC"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414</w:t>
            </w:r>
          </w:p>
        </w:tc>
        <w:tc>
          <w:tcPr>
            <w:tcW w:w="2589" w:type="dxa"/>
            <w:tcBorders>
              <w:top w:val="nil"/>
              <w:left w:val="nil"/>
              <w:bottom w:val="nil"/>
              <w:right w:val="nil"/>
            </w:tcBorders>
            <w:vAlign w:val="center"/>
          </w:tcPr>
          <w:p w14:paraId="47C6669D"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8.6</w:t>
            </w:r>
          </w:p>
        </w:tc>
      </w:tr>
      <w:tr w:rsidR="007E4AF6" w:rsidRPr="001A5452" w14:paraId="127BA62A" w14:textId="77777777" w:rsidTr="00314423">
        <w:tc>
          <w:tcPr>
            <w:tcW w:w="2278" w:type="dxa"/>
            <w:tcBorders>
              <w:top w:val="nil"/>
              <w:left w:val="nil"/>
              <w:bottom w:val="nil"/>
              <w:right w:val="nil"/>
            </w:tcBorders>
            <w:vAlign w:val="center"/>
          </w:tcPr>
          <w:p w14:paraId="4C7430A4"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UPR(THF/DMF)</w:t>
            </w:r>
          </w:p>
        </w:tc>
        <w:tc>
          <w:tcPr>
            <w:tcW w:w="1616" w:type="dxa"/>
            <w:tcBorders>
              <w:top w:val="nil"/>
              <w:left w:val="nil"/>
              <w:bottom w:val="nil"/>
              <w:right w:val="nil"/>
            </w:tcBorders>
            <w:vAlign w:val="center"/>
          </w:tcPr>
          <w:p w14:paraId="207ADDA5"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338</w:t>
            </w:r>
          </w:p>
        </w:tc>
        <w:tc>
          <w:tcPr>
            <w:tcW w:w="1646" w:type="dxa"/>
            <w:tcBorders>
              <w:top w:val="nil"/>
              <w:left w:val="nil"/>
              <w:bottom w:val="nil"/>
              <w:right w:val="nil"/>
            </w:tcBorders>
            <w:vAlign w:val="center"/>
          </w:tcPr>
          <w:p w14:paraId="2495C328"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419</w:t>
            </w:r>
          </w:p>
        </w:tc>
        <w:tc>
          <w:tcPr>
            <w:tcW w:w="1231" w:type="dxa"/>
            <w:tcBorders>
              <w:top w:val="nil"/>
              <w:left w:val="nil"/>
              <w:bottom w:val="nil"/>
              <w:right w:val="nil"/>
            </w:tcBorders>
            <w:vAlign w:val="center"/>
          </w:tcPr>
          <w:p w14:paraId="206CA28F"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419</w:t>
            </w:r>
          </w:p>
        </w:tc>
        <w:tc>
          <w:tcPr>
            <w:tcW w:w="2589" w:type="dxa"/>
            <w:tcBorders>
              <w:top w:val="nil"/>
              <w:left w:val="nil"/>
              <w:bottom w:val="nil"/>
              <w:right w:val="nil"/>
            </w:tcBorders>
            <w:vAlign w:val="center"/>
          </w:tcPr>
          <w:p w14:paraId="02A5174D"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9.1</w:t>
            </w:r>
          </w:p>
        </w:tc>
      </w:tr>
      <w:tr w:rsidR="007E4AF6" w:rsidRPr="001A5452" w14:paraId="2C38FE06" w14:textId="77777777" w:rsidTr="00314423">
        <w:tc>
          <w:tcPr>
            <w:tcW w:w="2278" w:type="dxa"/>
            <w:tcBorders>
              <w:top w:val="nil"/>
              <w:left w:val="nil"/>
              <w:right w:val="nil"/>
            </w:tcBorders>
            <w:vAlign w:val="center"/>
          </w:tcPr>
          <w:p w14:paraId="2CA24DC9"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w:t>
            </w:r>
          </w:p>
        </w:tc>
        <w:tc>
          <w:tcPr>
            <w:tcW w:w="1616" w:type="dxa"/>
            <w:tcBorders>
              <w:top w:val="nil"/>
              <w:left w:val="nil"/>
              <w:right w:val="nil"/>
            </w:tcBorders>
            <w:vAlign w:val="center"/>
          </w:tcPr>
          <w:p w14:paraId="698EEF29"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339</w:t>
            </w:r>
          </w:p>
        </w:tc>
        <w:tc>
          <w:tcPr>
            <w:tcW w:w="1646" w:type="dxa"/>
            <w:tcBorders>
              <w:top w:val="nil"/>
              <w:left w:val="nil"/>
              <w:right w:val="nil"/>
            </w:tcBorders>
            <w:vAlign w:val="center"/>
          </w:tcPr>
          <w:p w14:paraId="2B79DB40"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418</w:t>
            </w:r>
          </w:p>
        </w:tc>
        <w:tc>
          <w:tcPr>
            <w:tcW w:w="1231" w:type="dxa"/>
            <w:tcBorders>
              <w:top w:val="nil"/>
              <w:left w:val="nil"/>
              <w:right w:val="nil"/>
            </w:tcBorders>
            <w:vAlign w:val="center"/>
          </w:tcPr>
          <w:p w14:paraId="7CDCFA8A"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417</w:t>
            </w:r>
          </w:p>
        </w:tc>
        <w:tc>
          <w:tcPr>
            <w:tcW w:w="2589" w:type="dxa"/>
            <w:tcBorders>
              <w:top w:val="nil"/>
              <w:left w:val="nil"/>
              <w:right w:val="nil"/>
            </w:tcBorders>
            <w:vAlign w:val="center"/>
          </w:tcPr>
          <w:p w14:paraId="44848D99" w14:textId="77777777" w:rsidR="007E4AF6" w:rsidRPr="001A5452" w:rsidRDefault="007E4AF6" w:rsidP="00DA69B8">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9.3</w:t>
            </w:r>
          </w:p>
        </w:tc>
      </w:tr>
    </w:tbl>
    <w:p w14:paraId="2176050C" w14:textId="77777777" w:rsidR="007E4AF6" w:rsidRPr="001A5452" w:rsidRDefault="007E4AF6" w:rsidP="007E4AF6">
      <w:pPr>
        <w:pStyle w:val="Heading2"/>
        <w:spacing w:before="0"/>
        <w:rPr>
          <w:rFonts w:cs="Times New Roman"/>
          <w:szCs w:val="24"/>
        </w:rPr>
      </w:pPr>
    </w:p>
    <w:p w14:paraId="47AC612B" w14:textId="0E9C76AF" w:rsidR="007E4AF6" w:rsidRPr="001A5452" w:rsidRDefault="003352E5" w:rsidP="007E4AF6">
      <w:pPr>
        <w:pStyle w:val="Heading2"/>
        <w:spacing w:before="0"/>
        <w:rPr>
          <w:rFonts w:cs="Times New Roman"/>
          <w:szCs w:val="24"/>
        </w:rPr>
      </w:pPr>
      <w:bookmarkStart w:id="182" w:name="_Toc518823327"/>
      <w:r>
        <w:rPr>
          <w:rFonts w:cs="Times New Roman"/>
          <w:szCs w:val="24"/>
        </w:rPr>
        <w:t>5</w:t>
      </w:r>
      <w:r w:rsidR="004A17DD">
        <w:rPr>
          <w:rFonts w:cs="Times New Roman"/>
          <w:szCs w:val="24"/>
        </w:rPr>
        <w:t>.</w:t>
      </w:r>
      <w:r w:rsidR="007E4AF6" w:rsidRPr="001A5452">
        <w:rPr>
          <w:rFonts w:cs="Times New Roman"/>
          <w:szCs w:val="24"/>
        </w:rPr>
        <w:t>3.4. Electrical property of UPR/rGO composites</w:t>
      </w:r>
      <w:bookmarkEnd w:id="182"/>
    </w:p>
    <w:p w14:paraId="3B189739" w14:textId="2B95F905" w:rsidR="007E4AF6" w:rsidRPr="003352E5" w:rsidRDefault="007E4AF6" w:rsidP="007E4AF6">
      <w:pPr>
        <w:spacing w:after="0" w:line="480" w:lineRule="auto"/>
        <w:jc w:val="both"/>
        <w:rPr>
          <w:rFonts w:ascii="Times New Roman" w:hAnsi="Times New Roman" w:cs="Times New Roman"/>
          <w:sz w:val="24"/>
          <w:szCs w:val="24"/>
        </w:rPr>
      </w:pPr>
      <w:r w:rsidRPr="001A5452">
        <w:rPr>
          <w:rFonts w:ascii="Times New Roman" w:hAnsi="Times New Roman" w:cs="Times New Roman"/>
          <w:sz w:val="24"/>
          <w:szCs w:val="24"/>
        </w:rPr>
        <w:t>The electrical conductivity of UPR/rGO composites prepared via vario</w:t>
      </w:r>
      <w:r w:rsidR="0020194E">
        <w:rPr>
          <w:rFonts w:ascii="Times New Roman" w:hAnsi="Times New Roman" w:cs="Times New Roman"/>
          <w:sz w:val="24"/>
          <w:szCs w:val="24"/>
        </w:rPr>
        <w:t>u</w:t>
      </w:r>
      <w:r w:rsidR="003352E5">
        <w:rPr>
          <w:rFonts w:ascii="Times New Roman" w:hAnsi="Times New Roman" w:cs="Times New Roman"/>
          <w:sz w:val="24"/>
          <w:szCs w:val="24"/>
        </w:rPr>
        <w:t>s routines are shown in Figure 5</w:t>
      </w:r>
      <w:r w:rsidR="00BF19FB">
        <w:rPr>
          <w:rFonts w:ascii="Times New Roman" w:hAnsi="Times New Roman" w:cs="Times New Roman"/>
          <w:sz w:val="24"/>
          <w:szCs w:val="24"/>
        </w:rPr>
        <w:t>.</w:t>
      </w:r>
      <w:r w:rsidRPr="001A5452">
        <w:rPr>
          <w:rFonts w:ascii="Times New Roman" w:hAnsi="Times New Roman" w:cs="Times New Roman"/>
          <w:sz w:val="24"/>
          <w:szCs w:val="24"/>
        </w:rPr>
        <w:t xml:space="preserve">5.  UPR and UPR/GO0.96 are </w:t>
      </w:r>
      <w:r w:rsidR="006A3146">
        <w:rPr>
          <w:rFonts w:ascii="Times New Roman" w:hAnsi="Times New Roman" w:cs="Times New Roman"/>
          <w:sz w:val="24"/>
          <w:szCs w:val="24"/>
        </w:rPr>
        <w:t xml:space="preserve">electrical </w:t>
      </w:r>
      <w:r w:rsidRPr="001A5452">
        <w:rPr>
          <w:rFonts w:ascii="Times New Roman" w:hAnsi="Times New Roman" w:cs="Times New Roman"/>
          <w:sz w:val="24"/>
          <w:szCs w:val="24"/>
        </w:rPr>
        <w:t>insulator, and the electrical conductivity value could not be measured by resistivity from test due to the measuring range of multi</w:t>
      </w:r>
      <w:r w:rsidR="003352E5">
        <w:rPr>
          <w:rFonts w:ascii="Times New Roman" w:hAnsi="Times New Roman" w:cs="Times New Roman"/>
          <w:sz w:val="24"/>
          <w:szCs w:val="24"/>
        </w:rPr>
        <w:t xml:space="preserve"> </w:t>
      </w:r>
      <w:r w:rsidRPr="001A5452">
        <w:rPr>
          <w:rFonts w:ascii="Times New Roman" w:hAnsi="Times New Roman" w:cs="Times New Roman"/>
          <w:sz w:val="24"/>
          <w:szCs w:val="24"/>
        </w:rPr>
        <w:t xml:space="preserve">meter used. </w:t>
      </w:r>
      <w:r w:rsidR="004B309F">
        <w:rPr>
          <w:rFonts w:ascii="Times New Roman" w:hAnsi="Times New Roman" w:cs="Times New Roman"/>
          <w:sz w:val="24"/>
          <w:szCs w:val="24"/>
        </w:rPr>
        <w:t>In contrast,</w:t>
      </w:r>
      <w:r w:rsidRPr="001A5452">
        <w:rPr>
          <w:rFonts w:ascii="Times New Roman" w:hAnsi="Times New Roman" w:cs="Times New Roman"/>
          <w:sz w:val="24"/>
          <w:szCs w:val="24"/>
        </w:rPr>
        <w:t xml:space="preserve"> UPR/rGO composites prepared from one pot method showed relatively good conductivity. In detail, the percolation threshold is 0.91  wt.% of rGO loadings, which means reduced GO can form an effective percolation path across the entire composite when it</w:t>
      </w:r>
      <w:r w:rsidR="006A3146">
        <w:rPr>
          <w:rFonts w:ascii="Times New Roman" w:hAnsi="Times New Roman" w:cs="Times New Roman"/>
          <w:sz w:val="24"/>
          <w:szCs w:val="24"/>
        </w:rPr>
        <w:t xml:space="preserve"> i</w:t>
      </w:r>
      <w:r w:rsidRPr="001A5452">
        <w:rPr>
          <w:rFonts w:ascii="Times New Roman" w:hAnsi="Times New Roman" w:cs="Times New Roman"/>
          <w:sz w:val="24"/>
          <w:szCs w:val="24"/>
        </w:rPr>
        <w:t>s over 0.91  wt.% due to the high electron mobility of reduced GO (10 000 cm</w:t>
      </w:r>
      <w:r w:rsidRPr="001A5452">
        <w:rPr>
          <w:rFonts w:ascii="Times New Roman" w:hAnsi="Times New Roman" w:cs="Times New Roman"/>
          <w:sz w:val="24"/>
          <w:szCs w:val="24"/>
          <w:vertAlign w:val="superscript"/>
        </w:rPr>
        <w:t>2</w:t>
      </w:r>
      <w:r w:rsidRPr="001A5452">
        <w:rPr>
          <w:rFonts w:ascii="Times New Roman" w:hAnsi="Times New Roman" w:cs="Times New Roman"/>
          <w:sz w:val="24"/>
          <w:szCs w:val="24"/>
        </w:rPr>
        <w:t xml:space="preserve"> V</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s</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t>
      </w:r>
      <w:r w:rsidRPr="001A5452">
        <w:rPr>
          <w:rFonts w:ascii="Times New Roman" w:hAnsi="Times New Roman" w:cs="Times New Roman"/>
          <w:sz w:val="24"/>
          <w:szCs w:val="24"/>
        </w:rPr>
        <w:fldChar w:fldCharType="begin" w:fldLock="1"/>
      </w:r>
      <w:r w:rsidR="007D10CD">
        <w:rPr>
          <w:rFonts w:ascii="Times New Roman" w:hAnsi="Times New Roman" w:cs="Times New Roman"/>
          <w:sz w:val="24"/>
          <w:szCs w:val="24"/>
        </w:rPr>
        <w:instrText>ADDIN CSL_CITATION { "citationItems" : [ { "id" : "ITEM-1", "itemData" : { "DOI" : "10.1021/nl802558y", "ISBN" : "1530-6984 U6 - ctx_ver=Z39.88-2004&amp;ctx_enc=info%3Aofi%2Fenc%3AUTF-8&amp;rfr_id=info:sid/summon.serialssolutions.com&amp;rft_val_fmt=info:ofi/fmt:kev:mtx:journal&amp;rft.genre=article&amp;rft.atitle=Graphene-based+ultracapacitors&amp;rft.jtitle=Nano+letters&amp;rft.au=Stoller%2C+Meryl+D&amp;rft.au=Park%2C+Sungjin&amp;rft.au=Zhu%2C+Yanwu&amp;rft.au=An%2C+Jinho&amp;rft.date=2008-10-01&amp;rft.issn=1530-6984&amp;rft.volume=8&amp;rft.issue=10&amp;rft.spage=3498&amp;rft_id=info:pmid/18788793&amp;rft.externalDocID=18788793 U7 - Journal Article U8 - FETCH-LOGICAL-c1", "ISSN" : "1530-6984", "PMID" : "18788793", "author" : [ { "dropping-particle" : "", "family" : "Stoller", "given" : "M.D.", "non-dropping-particle" : "", "parse-names" : false, "suffix" : "" }, { "dropping-particle" : "", "family" : "Park", "given" : "S.", "non-dropping-particle" : "", "parse-names" : false, "suffix" : "" }, { "dropping-particle" : "", "family" : "Zhu", "given" : "Y.", "non-dropping-particle" : "", "parse-names" : false, "suffix" : "" }, { "dropping-particle" : "", "family" : "An", "given" : "J.", "non-dropping-particle" : "", "parse-names" : false, "suffix" : "" }, { "dropping-particle" : "", "family" : "Ruoff", "given" : "R.S.", "non-dropping-particle" : "", "parse-names" : false, "suffix" : "" } ], "container-title" : "Nano Letters", "id" : "ITEM-1", "issued" : { "date-parts" : [ [ "2008" ] ] }, "page" : "3498-502", "title" : "Graphene-based ultracapacitors", "type" : "article-journal", "volume" : "8" }, "uris" : [ "http://www.mendeley.com/documents/?uuid=8c65feb9-10d3-4d0b-b33e-a4d1b62d22ab", "http://www.mendeley.com/documents/?uuid=ec8e6006-e3cc-4335-a7dd-a1acea657e71" ] } ], "mendeley" : { "formattedCitation" : "[225]", "plainTextFormattedCitation" : "[225]", "previouslyFormattedCitation" : "[225]" }, "properties" : {  }, "schema" : "https://github.com/citation-style-language/schema/raw/master/csl-citation.json" }</w:instrText>
      </w:r>
      <w:r w:rsidRPr="001A5452">
        <w:rPr>
          <w:rFonts w:ascii="Times New Roman" w:hAnsi="Times New Roman" w:cs="Times New Roman"/>
          <w:sz w:val="24"/>
          <w:szCs w:val="24"/>
        </w:rPr>
        <w:fldChar w:fldCharType="separate"/>
      </w:r>
      <w:r w:rsidR="008F0DFC" w:rsidRPr="008F0DFC">
        <w:rPr>
          <w:rFonts w:ascii="Times New Roman" w:hAnsi="Times New Roman" w:cs="Times New Roman"/>
          <w:noProof/>
          <w:sz w:val="24"/>
          <w:szCs w:val="24"/>
        </w:rPr>
        <w:t>[225]</w:t>
      </w:r>
      <w:r w:rsidRPr="001A5452">
        <w:rPr>
          <w:rFonts w:ascii="Times New Roman" w:hAnsi="Times New Roman" w:cs="Times New Roman"/>
          <w:sz w:val="24"/>
          <w:szCs w:val="24"/>
        </w:rPr>
        <w:fldChar w:fldCharType="end"/>
      </w:r>
      <w:r w:rsidRPr="001A5452">
        <w:rPr>
          <w:rFonts w:ascii="Times New Roman" w:hAnsi="Times New Roman" w:cs="Times New Roman"/>
          <w:sz w:val="24"/>
          <w:szCs w:val="24"/>
        </w:rPr>
        <w:t>. UPR/rGO0.91 and UPR/rGO1.32 composites show electrical conductivity of 2.4 x 10</w:t>
      </w:r>
      <w:r w:rsidRPr="001A5452">
        <w:rPr>
          <w:rFonts w:ascii="Times New Roman" w:hAnsi="Times New Roman" w:cs="Times New Roman"/>
          <w:sz w:val="24"/>
          <w:szCs w:val="24"/>
          <w:vertAlign w:val="superscript"/>
        </w:rPr>
        <w:t>-4</w:t>
      </w:r>
      <w:r w:rsidRPr="001A5452">
        <w:rPr>
          <w:rFonts w:ascii="Times New Roman" w:hAnsi="Times New Roman" w:cs="Times New Roman"/>
          <w:sz w:val="24"/>
          <w:szCs w:val="24"/>
        </w:rPr>
        <w:t xml:space="preserve"> S 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and 0.17 S 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respectively. The maximum conductivity of 0.71 S 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was achieved at UPR/rGO1.32 (DMF) composite. This might </w:t>
      </w:r>
      <w:r w:rsidR="006A3146">
        <w:rPr>
          <w:rFonts w:ascii="Times New Roman" w:hAnsi="Times New Roman" w:cs="Times New Roman"/>
          <w:sz w:val="24"/>
          <w:szCs w:val="24"/>
        </w:rPr>
        <w:t>be because</w:t>
      </w:r>
      <w:r w:rsidR="006A3146" w:rsidRPr="001A5452">
        <w:rPr>
          <w:rFonts w:ascii="Times New Roman" w:hAnsi="Times New Roman" w:cs="Times New Roman"/>
          <w:sz w:val="24"/>
          <w:szCs w:val="24"/>
        </w:rPr>
        <w:t xml:space="preserve"> </w:t>
      </w:r>
      <w:r w:rsidRPr="001A5452">
        <w:rPr>
          <w:rFonts w:ascii="Times New Roman" w:hAnsi="Times New Roman" w:cs="Times New Roman"/>
          <w:sz w:val="24"/>
          <w:szCs w:val="24"/>
        </w:rPr>
        <w:t>GO exhibits better dispersion in DMF over THF, resulting in a better compatibility between rGO and UPR. All these three composites above present a conductivity higher than the anti-static criteria for thin films, which is 1 x 10</w:t>
      </w:r>
      <w:r w:rsidRPr="001A5452">
        <w:rPr>
          <w:rFonts w:ascii="Times New Roman" w:hAnsi="Times New Roman" w:cs="Times New Roman"/>
          <w:sz w:val="24"/>
          <w:szCs w:val="24"/>
          <w:vertAlign w:val="superscript"/>
        </w:rPr>
        <w:t>-6</w:t>
      </w:r>
      <w:r w:rsidRPr="001A5452">
        <w:rPr>
          <w:rFonts w:ascii="Times New Roman" w:hAnsi="Times New Roman" w:cs="Times New Roman"/>
          <w:sz w:val="24"/>
          <w:szCs w:val="24"/>
        </w:rPr>
        <w:t xml:space="preserve"> S m</w:t>
      </w:r>
      <w:r w:rsidRPr="001A5452">
        <w:rPr>
          <w:rFonts w:ascii="Times New Roman" w:hAnsi="Times New Roman" w:cs="Times New Roman"/>
          <w:sz w:val="24"/>
          <w:szCs w:val="24"/>
          <w:vertAlign w:val="superscript"/>
        </w:rPr>
        <w:t>-1</w:t>
      </w:r>
      <w:r w:rsidRPr="001A5452">
        <w:rPr>
          <w:rFonts w:ascii="Times New Roman" w:hAnsi="Times New Roman" w:cs="Times New Roman"/>
          <w:sz w:val="24"/>
          <w:szCs w:val="24"/>
        </w:rPr>
        <w:t xml:space="preserve"> </w:t>
      </w:r>
      <w:r w:rsidRPr="003352E5">
        <w:rPr>
          <w:rFonts w:ascii="Times New Roman" w:hAnsi="Times New Roman" w:cs="Times New Roman"/>
          <w:sz w:val="24"/>
          <w:szCs w:val="24"/>
        </w:rPr>
        <w:fldChar w:fldCharType="begin" w:fldLock="1"/>
      </w:r>
      <w:r w:rsidR="0076089E" w:rsidRPr="003352E5">
        <w:rPr>
          <w:rFonts w:ascii="Times New Roman" w:hAnsi="Times New Roman" w:cs="Times New Roman"/>
          <w:sz w:val="24"/>
          <w:szCs w:val="24"/>
        </w:rPr>
        <w:instrText>ADDIN CSL_CITATION { "citationItems" : [ { "id" : "ITEM-1", "itemData" : { "DOI" : "10.1023/B:JMSC.0000021439.18202.ea", "ISBN" : "0022-2461", "ISSN" : "00222461", "PMID" : "17450889", "abstract" : "The electrical applications of carbons and their composites are reviewed, with emphasis on applications that are relevant to industrial needs. The applications include electrical conduction, electrical contacts, electrodes, electromagnetic interference shielding, resistance heating, thermoelectricity, sensing, electrical switching, electronic devices and thermal pastes. The carbons include graphite, coke, carbon fibers, carbon filaments, carbon black and flexible graphite.", "author" : [ { "dropping-particle" : "", "family" : "Chung", "given" : "D. D L", "non-dropping-particle" : "", "parse-names" : false, "suffix" : "" } ], "container-title" : "Journal of Materials Science", "id" : "ITEM-1", "issue" : "8", "issued" : { "date-parts" : [ [ "2004" ] ] }, "page" : "2645-2661", "title" : "Review Electrical applications of carbon materials", "type" : "article-journal", "volume" : "39" }, "uris" : [ "http://www.mendeley.com/documents/?uuid=4af90e95-2ff9-47a4-861b-fb033643eecb" ] } ], "mendeley" : { "formattedCitation" : "[197]", "plainTextFormattedCitation" : "[197]", "previouslyFormattedCitation" : "[197]" }, "properties" : {  }, "schema" : "https://github.com/citation-style-language/schema/raw/master/csl-citation.json" }</w:instrText>
      </w:r>
      <w:r w:rsidRPr="003352E5">
        <w:rPr>
          <w:rFonts w:ascii="Times New Roman" w:hAnsi="Times New Roman" w:cs="Times New Roman"/>
          <w:sz w:val="24"/>
          <w:szCs w:val="24"/>
        </w:rPr>
        <w:fldChar w:fldCharType="separate"/>
      </w:r>
      <w:r w:rsidR="0076089E" w:rsidRPr="003352E5">
        <w:rPr>
          <w:rFonts w:ascii="Times New Roman" w:hAnsi="Times New Roman" w:cs="Times New Roman"/>
          <w:noProof/>
          <w:sz w:val="24"/>
          <w:szCs w:val="24"/>
        </w:rPr>
        <w:t>[197]</w:t>
      </w:r>
      <w:r w:rsidRPr="003352E5">
        <w:rPr>
          <w:rFonts w:ascii="Times New Roman" w:hAnsi="Times New Roman" w:cs="Times New Roman"/>
          <w:sz w:val="24"/>
          <w:szCs w:val="24"/>
        </w:rPr>
        <w:fldChar w:fldCharType="end"/>
      </w:r>
      <w:r w:rsidRPr="003352E5">
        <w:rPr>
          <w:rFonts w:ascii="Times New Roman" w:hAnsi="Times New Roman" w:cs="Times New Roman"/>
          <w:sz w:val="24"/>
          <w:szCs w:val="24"/>
        </w:rPr>
        <w:t xml:space="preserve">.  </w:t>
      </w:r>
      <w:r w:rsidR="004F669A" w:rsidRPr="003352E5">
        <w:rPr>
          <w:rFonts w:ascii="Times New Roman" w:hAnsi="Times New Roman" w:cs="Times New Roman"/>
          <w:sz w:val="24"/>
          <w:szCs w:val="24"/>
        </w:rPr>
        <w:t>The percolation threshold</w:t>
      </w:r>
      <w:r w:rsidR="003352E5">
        <w:rPr>
          <w:rFonts w:ascii="Times New Roman" w:hAnsi="Times New Roman" w:cs="Times New Roman"/>
          <w:sz w:val="24"/>
          <w:szCs w:val="24"/>
        </w:rPr>
        <w:t xml:space="preserve"> can be calculated by equation 5</w:t>
      </w:r>
      <w:r w:rsidR="004F669A" w:rsidRPr="003352E5">
        <w:rPr>
          <w:rFonts w:ascii="Times New Roman" w:hAnsi="Times New Roman" w:cs="Times New Roman"/>
          <w:sz w:val="24"/>
          <w:szCs w:val="24"/>
        </w:rPr>
        <w:t>.1</w:t>
      </w:r>
      <w:r w:rsidR="0015171D" w:rsidRPr="003352E5">
        <w:rPr>
          <w:rFonts w:ascii="Times New Roman" w:hAnsi="Times New Roman" w:cs="Times New Roman"/>
          <w:sz w:val="24"/>
          <w:szCs w:val="24"/>
        </w:rPr>
        <w:t>(universal critical exponent τ is 2.74±0.2)</w:t>
      </w:r>
      <w:r w:rsidR="004F669A" w:rsidRPr="003352E5">
        <w:rPr>
          <w:rFonts w:ascii="Times New Roman" w:hAnsi="Times New Roman" w:cs="Times New Roman"/>
          <w:sz w:val="24"/>
          <w:szCs w:val="24"/>
        </w:rPr>
        <w:t xml:space="preserve">, </w:t>
      </w:r>
      <w:r w:rsidR="0015171D" w:rsidRPr="003352E5">
        <w:rPr>
          <w:rFonts w:ascii="Times New Roman" w:hAnsi="Times New Roman" w:cs="Times New Roman"/>
          <w:sz w:val="24"/>
          <w:szCs w:val="24"/>
        </w:rPr>
        <w:t xml:space="preserve">which is 0.86 wt.% </w:t>
      </w:r>
      <w:r w:rsidR="00F8632D" w:rsidRPr="003352E5">
        <w:rPr>
          <w:rFonts w:ascii="Times New Roman" w:hAnsi="Times New Roman" w:cs="Times New Roman"/>
          <w:sz w:val="24"/>
          <w:szCs w:val="24"/>
        </w:rPr>
        <w:fldChar w:fldCharType="begin" w:fldLock="1"/>
      </w:r>
      <w:r w:rsidR="00F8632D" w:rsidRPr="003352E5">
        <w:rPr>
          <w:rFonts w:ascii="Times New Roman" w:hAnsi="Times New Roman" w:cs="Times New Roman"/>
          <w:sz w:val="24"/>
          <w:szCs w:val="24"/>
        </w:rPr>
        <w:instrText>ADDIN CSL_CITATION { "citationItems" : [ { "id" : "ITEM-1", "itemData" : { "DOI" : "10.1016/j.polymer.2010.11.042", "ISBN" : "0032-3861", "ISSN" : "00323861", "PMID" : "19637270", "abstract" : "Graphene-based materials are single- or few-layer platelets that can be produced in bulk quantities by chemical methods. Herein, we present a survey of the literature on polymer nanocomposites with graphene-based fillers including recent work using graphite nanoplatelet fillers. A variety of routes used to produce graphene-based materials are reviewed, along with methods for dispersing these materials in various polymer matrices. We also review the rheological, electrical, mechanical, thermal, and barrier properties of these composites, and how each of these composite properties is dependent upon the intrinsic properties of graphene-based materials and their state of dispersion in the matrix. An overview of potential applications for these composites and current challenges in the field are provided for perspective and to potentially guide future progress on the development of these promising materials. \u00a9 2010 Elsevier Ltd. All rights reserved.", "author" : [ { "dropping-particle" : "", "family" : "Potts", "given" : "Jeffrey R.", "non-dropping-particle" : "", "parse-names" : false, "suffix" : "" }, { "dropping-particle" : "", "family" : "Dreyer", "given" : "Daniel R.", "non-dropping-particle" : "", "parse-names" : false, "suffix" : "" }, { "dropping-particle" : "", "family" : "Bielawski", "given" : "Christopher W.", "non-dropping-particle" : "", "parse-names" : false, "suffix" : "" }, { "dropping-particle" : "", "family" : "Ruoff", "given" : "Rodney S.", "non-dropping-particle" : "", "parse-names" : false, "suffix" : "" } ], "container-title" : "Polymer", "id" : "ITEM-1", "issue" : "1", "issued" : { "date-parts" : [ [ "2011" ] ] }, "page" : "5-25", "publisher" : "Elsevier Ltd", "title" : "Graphene-based polymer nanocomposites", "type" : "article-journal", "volume" : "52" }, "uris" : [ "http://www.mendeley.com/documents/?uuid=747b954f-b2e9-4215-ac98-66d6ee79cfb3" ] }, { "id" : "ITEM-2", "itemData" : { "DOI" : "10.1038/nature04969", "ISBN" : "1476-4687 (Electronic)\\r0028-0836 (Linking)", "ISSN" : "0028-0836", "PMID" : "16855586", "abstract" : "Graphene sheets--one-atom-thick two-dimensional layers of sp2-bonded carbon--are predicted to have a range of unusual properties. Their thermal conductivity and mechanical stiffness may rival the remarkable in-plane values for graphite (approximately 3,000 W m(-1) K(-1) and 1,060 GPa, respectively); their fracture strength should be comparable to that of carbon nanotubes for similar types of defects; and recent studies have shown that individual graphene sheets have extraordinary electronic transport properties. One possible route to harnessing these properties for applications would be to incorporate graphene sheets in a composite material. The manufacturing of such composites requires not only that graphene sheets be produced on a sufficient scale but that they also be incorporated, and homogeneously distributed, into various matrices. Graphite, inexpensive and available in large quantity, unfortunately does not readily exfoliate to yield individual graphene sheets. Here we present a general approach for the preparation of graphene-polymer composites via complete exfoliation of graphite and molecular-level dispersion of individual, chemically modified graphene sheets within polymer hosts. A polystyrene-graphene composite formed by this route exhibits a percolation threshold of approximately 0.1 volume per cent for room-temperature electrical conductivity, the lowest reported value for any carbon-based composite except for those involving carbon nanotubes; at only 1 volume per cent, this composite has a conductivity of approximately 0.1 S m(-1), sufficient for many electrical applications. Our bottom-up chemical approach of tuning the graphene sheet properties provides a path to a broad new class of graphene-based materials and their use in a variety of applications.", "author" : [ { "dropping-particle" : "", "family" : "Stankovich", "given" : "Sasha", "non-dropping-particle" : "", "parse-names" : false, "suffix" : "" }, { "dropping-particle" : "", "family" : "Dikin", "given" : "Dmitriy A.", "non-dropping-particle" : "", "parse-names" : false, "suffix" : "" }, { "dropping-particle" : "", "family" : "Dommett", "given" : "Geoffrey H B", "non-dropping-particle" : "", "parse-names" : false, "suffix" : "" }, { "dropping-particle" : "", "family" : "Kohlhaas", "given" : "Kevin M.", "non-dropping-particle" : "", "parse-names" : false, "suffix" : "" }, { "dropping-particle" : "", "family" : "Zimney", "given" : "Eric J.", "non-dropping-particle" : "", "parse-names" : false, "suffix" : "" }, { "dropping-particle" : "", "family" : "Stach", "given" : "Eric A.", "non-dropping-particle" : "", "parse-names" : false, "suffix" : "" }, { "dropping-particle" : "", "family" : "Piner", "given" : "Richard D.", "non-dropping-particle" : "", "parse-names" : false, "suffix" : "" }, { "dropping-particle" : "", "family" : "Nguyen", "given" : "SonBinh Binh T", "non-dropping-particle" : "", "parse-names" : false, "suffix" : "" }, { "dropping-particle" : "", "family" : "Ruoff", "given" : "Rodney S.", "non-dropping-particle" : "", "parse-names" : false, "suffix" : "" } ], "container-title" : "Nature", "id" : "ITEM-2", "issued" : { "date-parts" : [ [ "2006" ] ] }, "page" : "282-286", "title" : "Graphene-based composite materials", "type" : "article-journal", "volume" : "442" }, "uris" : [ "http://www.mendeley.com/documents/?uuid=16f87648-7759-4a98-8832-e8964431e15c" ] } ], "mendeley" : { "formattedCitation" : "[61,151]", "plainTextFormattedCitation" : "[61,151]", "previouslyFormattedCitation" : "[61,151]" }, "properties" : {  }, "schema" : "https://github.com/citation-style-language/schema/raw/master/csl-citation.json" }</w:instrText>
      </w:r>
      <w:r w:rsidR="00F8632D" w:rsidRPr="003352E5">
        <w:rPr>
          <w:rFonts w:ascii="Times New Roman" w:hAnsi="Times New Roman" w:cs="Times New Roman"/>
          <w:sz w:val="24"/>
          <w:szCs w:val="24"/>
        </w:rPr>
        <w:fldChar w:fldCharType="separate"/>
      </w:r>
      <w:r w:rsidR="00F8632D" w:rsidRPr="003352E5">
        <w:rPr>
          <w:rFonts w:ascii="Times New Roman" w:hAnsi="Times New Roman" w:cs="Times New Roman"/>
          <w:noProof/>
          <w:sz w:val="24"/>
          <w:szCs w:val="24"/>
        </w:rPr>
        <w:t>[61,151]</w:t>
      </w:r>
      <w:r w:rsidR="00F8632D" w:rsidRPr="003352E5">
        <w:rPr>
          <w:rFonts w:ascii="Times New Roman" w:hAnsi="Times New Roman" w:cs="Times New Roman"/>
          <w:sz w:val="24"/>
          <w:szCs w:val="24"/>
        </w:rPr>
        <w:fldChar w:fldCharType="end"/>
      </w:r>
      <w:r w:rsidR="0015171D" w:rsidRPr="003352E5">
        <w:rPr>
          <w:rFonts w:ascii="Times New Roman" w:hAnsi="Times New Roman" w:cs="Times New Roman"/>
          <w:sz w:val="24"/>
          <w:szCs w:val="24"/>
        </w:rPr>
        <w:t xml:space="preserve">. </w:t>
      </w:r>
    </w:p>
    <w:p w14:paraId="396E2F10" w14:textId="77777777" w:rsidR="007E4AF6" w:rsidRPr="001A5452" w:rsidRDefault="007E4AF6" w:rsidP="007E4AF6">
      <w:pPr>
        <w:spacing w:after="0" w:line="480" w:lineRule="auto"/>
        <w:jc w:val="both"/>
        <w:rPr>
          <w:rFonts w:ascii="Times New Roman" w:hAnsi="Times New Roman" w:cs="Times New Roman"/>
          <w:sz w:val="24"/>
          <w:szCs w:val="24"/>
        </w:rPr>
      </w:pPr>
    </w:p>
    <w:p w14:paraId="53104BFB" w14:textId="77777777" w:rsidR="007E4AF6" w:rsidRPr="001A5452" w:rsidRDefault="007E4AF6" w:rsidP="007E4AF6">
      <w:pPr>
        <w:spacing w:after="0" w:line="480" w:lineRule="auto"/>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3D8BF75B" wp14:editId="5793BC7F">
            <wp:extent cx="4608418" cy="32480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8264" cy="3262012"/>
                    </a:xfrm>
                    <a:prstGeom prst="rect">
                      <a:avLst/>
                    </a:prstGeom>
                    <a:noFill/>
                  </pic:spPr>
                </pic:pic>
              </a:graphicData>
            </a:graphic>
          </wp:inline>
        </w:drawing>
      </w:r>
    </w:p>
    <w:p w14:paraId="333FCDDA" w14:textId="06AD4B3C" w:rsidR="007E4AF6" w:rsidRDefault="002A0AAA" w:rsidP="00EC12AF">
      <w:pPr>
        <w:pStyle w:val="Caption"/>
        <w:jc w:val="center"/>
        <w:rPr>
          <w:rFonts w:cs="Times New Roman"/>
          <w:szCs w:val="24"/>
        </w:rPr>
      </w:pPr>
      <w:bookmarkStart w:id="183" w:name="_Toc518823442"/>
      <w:r>
        <w:t>Figure 5</w:t>
      </w:r>
      <w:r w:rsidR="0020194E">
        <w:t>.</w:t>
      </w:r>
      <w:r w:rsidR="00EC12AF" w:rsidRPr="0020194E">
        <w:fldChar w:fldCharType="begin"/>
      </w:r>
      <w:r w:rsidR="00EC12AF" w:rsidRPr="0020194E">
        <w:instrText xml:space="preserve"> SEQ Figure_5. \* ARABIC </w:instrText>
      </w:r>
      <w:r w:rsidR="00EC12AF" w:rsidRPr="0020194E">
        <w:fldChar w:fldCharType="separate"/>
      </w:r>
      <w:r w:rsidR="00551ED9" w:rsidRPr="0020194E">
        <w:rPr>
          <w:noProof/>
        </w:rPr>
        <w:t>5</w:t>
      </w:r>
      <w:r w:rsidR="00EC12AF" w:rsidRPr="0020194E">
        <w:fldChar w:fldCharType="end"/>
      </w:r>
      <w:r w:rsidR="0020194E" w:rsidRPr="0020194E">
        <w:rPr>
          <w:rFonts w:cs="Times New Roman"/>
          <w:szCs w:val="24"/>
        </w:rPr>
        <w:t>.</w:t>
      </w:r>
      <w:r w:rsidR="007E4AF6" w:rsidRPr="00156C3F">
        <w:rPr>
          <w:rFonts w:cs="Times New Roman"/>
          <w:szCs w:val="24"/>
        </w:rPr>
        <w:t xml:space="preserve"> Electrical conductivity of UPR/rGO composites.</w:t>
      </w:r>
      <w:bookmarkEnd w:id="183"/>
    </w:p>
    <w:p w14:paraId="0EA8F19F" w14:textId="4B886487" w:rsidR="004F669A" w:rsidRPr="003352E5" w:rsidRDefault="00B72F48" w:rsidP="004F669A">
      <w:pPr>
        <w:jc w:val="center"/>
      </w:pPr>
      <m:oMath>
        <m:sSub>
          <m:sSubPr>
            <m:ctrlPr>
              <w:rPr>
                <w:rFonts w:ascii="Cambria Math" w:hAnsi="Cambria Math" w:cs="Times New Roman"/>
                <w:b/>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 xml:space="preserve">c  </m:t>
            </m:r>
          </m:sub>
        </m:sSub>
        <m:r>
          <m:rPr>
            <m:sty m:val="bi"/>
          </m:rPr>
          <w:rPr>
            <w:rFonts w:ascii="Cambria Math" w:hAnsi="Cambria Math" w:cs="Times New Roman"/>
            <w:sz w:val="24"/>
            <w:szCs w:val="24"/>
          </w:rPr>
          <m:t xml:space="preserve">=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σ</m:t>
            </m:r>
          </m:e>
          <m:sub>
            <m:r>
              <m:rPr>
                <m:sty m:val="bi"/>
              </m:rPr>
              <w:rPr>
                <w:rFonts w:ascii="Cambria Math" w:hAnsi="Cambria Math" w:cs="Times New Roman"/>
                <w:sz w:val="24"/>
                <w:szCs w:val="24"/>
              </w:rPr>
              <m:t xml:space="preserve">f  </m:t>
            </m:r>
          </m:sub>
        </m:sSub>
        <m:sSup>
          <m:sSupPr>
            <m:ctrlPr>
              <w:rPr>
                <w:rFonts w:ascii="Cambria Math" w:hAnsi="Cambria Math" w:cs="Times New Roman"/>
                <w:b/>
                <w:i/>
                <w:sz w:val="24"/>
                <w:szCs w:val="24"/>
              </w:rPr>
            </m:ctrlPr>
          </m:sSupPr>
          <m:e>
            <m:r>
              <m:rPr>
                <m:sty m:val="bi"/>
              </m:rPr>
              <w:rPr>
                <w:rFonts w:ascii="Cambria Math" w:hAnsi="Cambria Math" w:cs="Times New Roman"/>
                <w:sz w:val="24"/>
                <w:szCs w:val="24"/>
              </w:rPr>
              <m:t xml:space="preserve">(φ - </m:t>
            </m:r>
            <m:sSub>
              <m:sSubPr>
                <m:ctrlPr>
                  <w:rPr>
                    <w:rFonts w:ascii="Cambria Math" w:hAnsi="Cambria Math" w:cs="Times New Roman"/>
                    <w:b/>
                    <w:i/>
                    <w:sz w:val="24"/>
                    <w:szCs w:val="24"/>
                  </w:rPr>
                </m:ctrlPr>
              </m:sSubPr>
              <m:e>
                <m:r>
                  <m:rPr>
                    <m:sty m:val="bi"/>
                  </m:rPr>
                  <w:rPr>
                    <w:rFonts w:ascii="Cambria Math" w:hAnsi="Cambria Math" w:cs="Times New Roman"/>
                    <w:sz w:val="24"/>
                    <w:szCs w:val="24"/>
                  </w:rPr>
                  <m:t>φ</m:t>
                </m:r>
              </m:e>
              <m:sub>
                <m:r>
                  <m:rPr>
                    <m:sty m:val="bi"/>
                  </m:rPr>
                  <w:rPr>
                    <w:rFonts w:ascii="Cambria Math" w:hAnsi="Cambria Math" w:cs="Times New Roman"/>
                    <w:sz w:val="24"/>
                    <w:szCs w:val="24"/>
                  </w:rPr>
                  <m:t>c</m:t>
                </m:r>
              </m:sub>
            </m:sSub>
            <m:r>
              <m:rPr>
                <m:sty m:val="bi"/>
              </m:rPr>
              <w:rPr>
                <w:rFonts w:ascii="Cambria Math" w:hAnsi="Cambria Math" w:cs="Times New Roman"/>
                <w:sz w:val="24"/>
                <w:szCs w:val="24"/>
              </w:rPr>
              <m:t>)</m:t>
            </m:r>
          </m:e>
          <m:sup>
            <m:r>
              <m:rPr>
                <m:sty m:val="bi"/>
              </m:rPr>
              <w:rPr>
                <w:rFonts w:ascii="Cambria Math" w:hAnsi="Cambria Math" w:cs="Times New Roman"/>
                <w:sz w:val="24"/>
                <w:szCs w:val="24"/>
              </w:rPr>
              <m:t>t</m:t>
            </m:r>
          </m:sup>
        </m:sSup>
      </m:oMath>
      <w:r w:rsidR="003352E5" w:rsidRPr="003352E5">
        <w:rPr>
          <w:b/>
          <w:sz w:val="24"/>
          <w:szCs w:val="24"/>
        </w:rPr>
        <w:t xml:space="preserve">              (5</w:t>
      </w:r>
      <w:r w:rsidR="004F669A" w:rsidRPr="003352E5">
        <w:rPr>
          <w:b/>
          <w:sz w:val="24"/>
          <w:szCs w:val="24"/>
        </w:rPr>
        <w:t>.1)</w:t>
      </w:r>
    </w:p>
    <w:p w14:paraId="77DA3DF1" w14:textId="77777777" w:rsidR="006A3146" w:rsidRPr="006A3146" w:rsidRDefault="006A3146" w:rsidP="007E4AF6">
      <w:pPr>
        <w:spacing w:after="0" w:line="480" w:lineRule="auto"/>
        <w:jc w:val="center"/>
        <w:rPr>
          <w:rFonts w:ascii="Times New Roman" w:hAnsi="Times New Roman" w:cs="Times New Roman"/>
          <w:sz w:val="24"/>
          <w:szCs w:val="24"/>
        </w:rPr>
      </w:pPr>
    </w:p>
    <w:p w14:paraId="31C8ECBA" w14:textId="6A7D7616" w:rsidR="007E4AF6" w:rsidRPr="00156C3F" w:rsidRDefault="002A0AAA" w:rsidP="007E4AF6">
      <w:pPr>
        <w:pStyle w:val="Heading2"/>
        <w:spacing w:before="0"/>
        <w:rPr>
          <w:rFonts w:cs="Times New Roman"/>
          <w:szCs w:val="24"/>
        </w:rPr>
      </w:pPr>
      <w:bookmarkStart w:id="184" w:name="_Toc518823328"/>
      <w:r>
        <w:rPr>
          <w:rFonts w:cs="Times New Roman"/>
          <w:szCs w:val="24"/>
        </w:rPr>
        <w:t>5</w:t>
      </w:r>
      <w:r w:rsidR="004A17DD">
        <w:rPr>
          <w:rFonts w:cs="Times New Roman"/>
          <w:szCs w:val="24"/>
        </w:rPr>
        <w:t>.</w:t>
      </w:r>
      <w:r w:rsidR="007E4AF6" w:rsidRPr="006A3146">
        <w:rPr>
          <w:rFonts w:cs="Times New Roman"/>
          <w:szCs w:val="24"/>
        </w:rPr>
        <w:t xml:space="preserve">3.5. </w:t>
      </w:r>
      <w:r w:rsidR="007E4AF6" w:rsidRPr="00156C3F">
        <w:rPr>
          <w:rFonts w:cs="Times New Roman"/>
          <w:szCs w:val="24"/>
        </w:rPr>
        <w:t>Dynamic mechanical properties of UPR, UPR/GO, and UPR/rGO composites</w:t>
      </w:r>
      <w:bookmarkEnd w:id="184"/>
      <w:r w:rsidR="007E4AF6" w:rsidRPr="00156C3F">
        <w:rPr>
          <w:rFonts w:cs="Times New Roman"/>
          <w:szCs w:val="24"/>
        </w:rPr>
        <w:t xml:space="preserve"> </w:t>
      </w:r>
    </w:p>
    <w:p w14:paraId="042E6ED2" w14:textId="15124400" w:rsidR="007E4AF6" w:rsidRPr="00684778" w:rsidRDefault="007E4AF6" w:rsidP="007E4AF6">
      <w:pPr>
        <w:spacing w:after="0" w:line="480" w:lineRule="auto"/>
        <w:jc w:val="both"/>
        <w:rPr>
          <w:rFonts w:ascii="Times New Roman" w:hAnsi="Times New Roman" w:cs="Times New Roman"/>
          <w:sz w:val="24"/>
          <w:szCs w:val="24"/>
        </w:rPr>
      </w:pPr>
      <w:r w:rsidRPr="00156C3F">
        <w:rPr>
          <w:rFonts w:ascii="Times New Roman" w:hAnsi="Times New Roman" w:cs="Times New Roman"/>
          <w:sz w:val="24"/>
          <w:szCs w:val="24"/>
        </w:rPr>
        <w:t>Dynamic mechanical properties including storage modulus (</w:t>
      </w:r>
      <w:r w:rsidRPr="00156C3F">
        <w:rPr>
          <w:rFonts w:ascii="Times New Roman" w:hAnsi="Times New Roman" w:cs="Times New Roman"/>
          <w:i/>
          <w:sz w:val="24"/>
          <w:szCs w:val="24"/>
        </w:rPr>
        <w:t>E'</w:t>
      </w:r>
      <w:r w:rsidRPr="00156C3F">
        <w:rPr>
          <w:rFonts w:ascii="Times New Roman" w:hAnsi="Times New Roman" w:cs="Times New Roman"/>
          <w:sz w:val="24"/>
          <w:szCs w:val="24"/>
        </w:rPr>
        <w:t>), loss modulus (</w:t>
      </w:r>
      <w:r w:rsidRPr="00156C3F">
        <w:rPr>
          <w:rFonts w:ascii="Times New Roman" w:hAnsi="Times New Roman" w:cs="Times New Roman"/>
          <w:i/>
          <w:sz w:val="24"/>
          <w:szCs w:val="24"/>
        </w:rPr>
        <w:t>E"</w:t>
      </w:r>
      <w:r w:rsidRPr="00156C3F">
        <w:rPr>
          <w:rFonts w:ascii="Times New Roman" w:hAnsi="Times New Roman" w:cs="Times New Roman"/>
          <w:sz w:val="24"/>
          <w:szCs w:val="24"/>
        </w:rPr>
        <w:t>), and glass transition of temperature (</w:t>
      </w:r>
      <w:r w:rsidRPr="00156C3F">
        <w:rPr>
          <w:rFonts w:ascii="Times New Roman" w:hAnsi="Times New Roman" w:cs="Times New Roman"/>
          <w:i/>
          <w:sz w:val="24"/>
          <w:szCs w:val="24"/>
        </w:rPr>
        <w:t>T</w:t>
      </w:r>
      <w:r w:rsidRPr="00156C3F">
        <w:rPr>
          <w:rFonts w:ascii="Times New Roman" w:hAnsi="Times New Roman" w:cs="Times New Roman"/>
          <w:i/>
          <w:sz w:val="24"/>
          <w:szCs w:val="24"/>
          <w:vertAlign w:val="subscript"/>
        </w:rPr>
        <w:t>g</w:t>
      </w:r>
      <w:r w:rsidRPr="00156C3F">
        <w:rPr>
          <w:rFonts w:ascii="Times New Roman" w:hAnsi="Times New Roman" w:cs="Times New Roman"/>
          <w:sz w:val="24"/>
          <w:szCs w:val="24"/>
        </w:rPr>
        <w:t xml:space="preserve">) of UPR, UPR/GO, and UPR/rGO composites are measured </w:t>
      </w:r>
      <w:r w:rsidR="00DA69B8">
        <w:rPr>
          <w:rFonts w:ascii="Times New Roman" w:hAnsi="Times New Roman" w:cs="Times New Roman"/>
          <w:sz w:val="24"/>
          <w:szCs w:val="24"/>
        </w:rPr>
        <w:t>by</w:t>
      </w:r>
      <w:r w:rsidRPr="00156C3F">
        <w:rPr>
          <w:rFonts w:ascii="Times New Roman" w:hAnsi="Times New Roman" w:cs="Times New Roman"/>
          <w:sz w:val="24"/>
          <w:szCs w:val="24"/>
        </w:rPr>
        <w:t xml:space="preserve"> DMA anal</w:t>
      </w:r>
      <w:r w:rsidR="00DA69B8">
        <w:rPr>
          <w:rFonts w:ascii="Times New Roman" w:hAnsi="Times New Roman" w:cs="Times New Roman"/>
          <w:sz w:val="24"/>
          <w:szCs w:val="24"/>
        </w:rPr>
        <w:t>ysis with a temperature range from</w:t>
      </w:r>
      <w:r w:rsidRPr="00156C3F">
        <w:rPr>
          <w:rFonts w:ascii="Times New Roman" w:hAnsi="Times New Roman" w:cs="Times New Roman"/>
          <w:sz w:val="24"/>
          <w:szCs w:val="24"/>
        </w:rPr>
        <w:t xml:space="preserve"> -50 °C to 150 °C, and the results are shown in Figure </w:t>
      </w:r>
      <w:r w:rsidR="00BF19FB">
        <w:rPr>
          <w:rFonts w:ascii="Times New Roman" w:hAnsi="Times New Roman" w:cs="Times New Roman"/>
          <w:sz w:val="24"/>
          <w:szCs w:val="24"/>
        </w:rPr>
        <w:t>5.</w:t>
      </w:r>
      <w:r w:rsidRPr="00156C3F">
        <w:rPr>
          <w:rFonts w:ascii="Times New Roman" w:hAnsi="Times New Roman" w:cs="Times New Roman"/>
          <w:sz w:val="24"/>
          <w:szCs w:val="24"/>
        </w:rPr>
        <w:t xml:space="preserve">6 and summarized in Table </w:t>
      </w:r>
      <w:r w:rsidR="00BF19FB">
        <w:rPr>
          <w:rFonts w:ascii="Times New Roman" w:hAnsi="Times New Roman" w:cs="Times New Roman"/>
          <w:sz w:val="24"/>
          <w:szCs w:val="24"/>
        </w:rPr>
        <w:t>5.3</w:t>
      </w:r>
      <w:r w:rsidRPr="00156C3F">
        <w:rPr>
          <w:rFonts w:ascii="Times New Roman" w:hAnsi="Times New Roman" w:cs="Times New Roman"/>
          <w:sz w:val="24"/>
          <w:szCs w:val="24"/>
        </w:rPr>
        <w:t xml:space="preserve">. The storage modulus, related to the stiffness of materials, represents the elastic behavior during cyclic loading-unloading. It decreases with an increasing temperature due to its more flexible polymer chains under higher temperature as represented in storage against temperature curve </w:t>
      </w:r>
      <w:r w:rsidRPr="00F93455">
        <w:rPr>
          <w:rFonts w:ascii="Times New Roman" w:hAnsi="Times New Roman" w:cs="Times New Roman"/>
          <w:sz w:val="24"/>
          <w:szCs w:val="24"/>
        </w:rPr>
        <w:fldChar w:fldCharType="begin" w:fldLock="1"/>
      </w:r>
      <w:r w:rsidR="00D14688">
        <w:rPr>
          <w:rFonts w:ascii="Times New Roman" w:hAnsi="Times New Roman" w:cs="Times New Roman"/>
          <w:sz w:val="24"/>
          <w:szCs w:val="24"/>
        </w:rPr>
        <w:instrText>ADDIN CSL_CITATION { "citationItems" : [ { "id" : "ITEM-1", "itemData" : { "ISSN" : "1842-3582", "author" : [ { "dropping-particle" : "", "family" : "Bastiurea", "given" : "M", "non-dropping-particle" : "", "parse-names" : false, "suffix" : "" }, { "dropping-particle" : "", "family" : "Rodeanu", "given" : "M S", "non-dropping-particle" : "", "parse-names" : false, "suffix" : "" }, { "dropping-particle" : "", "family" : "Dima", "given" : "D", "non-dropping-particle" : "", "parse-names" : false, "suffix" : "" }, { "dropping-particle" : "", "family" : "Murarescu", "given" : "M", "non-dropping-particle" : "", "parse-names" : false, "suffix" : "" }, { "dropping-particle" : "", "family" : "Andrei", "given" : "G", "non-dropping-particle" : "", "parse-names" : false, "suffix" : "" } ], "container-title" : "Digest Journal of Nanomaterials and Biostructures", "id" : "ITEM-1", "issue" : "2", "issued" : { "date-parts" : [ [ "2015" ] ] }, "page" : "521-533", "title" : "Thermal and Mechanical Properties of Polyester Composites With Graphene Oxide and Graphite", "type" : "article-journal", "volume" : "10" }, "uris" : [ "http://www.mendeley.com/documents/?uuid=43eb4a0c-459f-4343-8f75-bf863d395a16" ] } ], "mendeley" : { "formattedCitation" : "[168]", "plainTextFormattedCitation" : "[168]", "previouslyFormattedCitation" : "[168]" }, "properties" : {  }, "schema" : "https://github.com/citation-style-language/schema/raw/master/csl-citation.json" }</w:instrText>
      </w:r>
      <w:r w:rsidRPr="00F93455">
        <w:rPr>
          <w:rFonts w:ascii="Times New Roman" w:hAnsi="Times New Roman" w:cs="Times New Roman"/>
          <w:sz w:val="24"/>
          <w:szCs w:val="24"/>
        </w:rPr>
        <w:fldChar w:fldCharType="separate"/>
      </w:r>
      <w:r w:rsidR="00D973A8" w:rsidRPr="00D973A8">
        <w:rPr>
          <w:rFonts w:ascii="Times New Roman" w:hAnsi="Times New Roman" w:cs="Times New Roman"/>
          <w:noProof/>
          <w:sz w:val="24"/>
          <w:szCs w:val="24"/>
        </w:rPr>
        <w:t>[168]</w:t>
      </w:r>
      <w:r w:rsidRPr="00F93455">
        <w:rPr>
          <w:rFonts w:ascii="Times New Roman" w:hAnsi="Times New Roman" w:cs="Times New Roman"/>
          <w:sz w:val="24"/>
          <w:szCs w:val="24"/>
        </w:rPr>
        <w:fldChar w:fldCharType="end"/>
      </w:r>
      <w:r w:rsidRPr="00156C3F">
        <w:rPr>
          <w:rFonts w:ascii="Times New Roman" w:hAnsi="Times New Roman" w:cs="Times New Roman"/>
          <w:sz w:val="24"/>
          <w:szCs w:val="24"/>
        </w:rPr>
        <w:t xml:space="preserve">. </w:t>
      </w:r>
      <w:r w:rsidRPr="00F93455">
        <w:rPr>
          <w:rFonts w:ascii="Times New Roman" w:hAnsi="Times New Roman" w:cs="Times New Roman"/>
          <w:sz w:val="24"/>
          <w:szCs w:val="24"/>
        </w:rPr>
        <w:t>Acco</w:t>
      </w:r>
      <w:r w:rsidR="002A0AAA">
        <w:rPr>
          <w:rFonts w:ascii="Times New Roman" w:hAnsi="Times New Roman" w:cs="Times New Roman"/>
          <w:sz w:val="24"/>
          <w:szCs w:val="24"/>
        </w:rPr>
        <w:t>rding to Figure 5.6(a) and Table 5</w:t>
      </w:r>
      <w:r w:rsidR="00BF19FB">
        <w:rPr>
          <w:rFonts w:ascii="Times New Roman" w:hAnsi="Times New Roman" w:cs="Times New Roman"/>
          <w:sz w:val="24"/>
          <w:szCs w:val="24"/>
        </w:rPr>
        <w:t>.3</w:t>
      </w:r>
      <w:r w:rsidRPr="00F93455">
        <w:rPr>
          <w:rFonts w:ascii="Times New Roman" w:hAnsi="Times New Roman" w:cs="Times New Roman"/>
          <w:sz w:val="24"/>
          <w:szCs w:val="24"/>
        </w:rPr>
        <w:t xml:space="preserve">, the storage moduli of UPR are affected by the addition of rGO and solvents. The control sample UPR (THF/DMF) shows reduced storage moduli over neat UPR at -40 °C, 20 ºC, 60 ºC (glassy stage), indicating that the addition of solvents can impact the storage modulus of polymer at glassy state. In terms of the curing kinetics of UPR, the polymerization between UP and styrene monomers happens at low temperature around 100 °C (formation of crosslinking network). </w:t>
      </w:r>
      <w:r w:rsidR="00DA69B8" w:rsidRPr="00DA69B8">
        <w:rPr>
          <w:rFonts w:ascii="Times New Roman" w:hAnsi="Times New Roman" w:cs="Times New Roman"/>
          <w:sz w:val="24"/>
          <w:szCs w:val="24"/>
        </w:rPr>
        <w:t>However</w:t>
      </w:r>
      <w:r w:rsidRPr="00DA69B8">
        <w:rPr>
          <w:rFonts w:ascii="Times New Roman" w:hAnsi="Times New Roman" w:cs="Times New Roman"/>
          <w:sz w:val="24"/>
          <w:szCs w:val="24"/>
        </w:rPr>
        <w:t>,</w:t>
      </w:r>
      <w:r w:rsidR="00DA69B8">
        <w:rPr>
          <w:rFonts w:ascii="Times New Roman" w:hAnsi="Times New Roman" w:cs="Times New Roman"/>
          <w:sz w:val="24"/>
          <w:szCs w:val="24"/>
        </w:rPr>
        <w:t xml:space="preserve"> </w:t>
      </w:r>
      <w:r w:rsidRPr="00F93455">
        <w:rPr>
          <w:rFonts w:ascii="Times New Roman" w:hAnsi="Times New Roman" w:cs="Times New Roman"/>
          <w:sz w:val="24"/>
          <w:szCs w:val="24"/>
        </w:rPr>
        <w:t>the homopolymerization between UP oligomers (formation of polymer chains) happens at high</w:t>
      </w:r>
      <w:r w:rsidRPr="001A5452">
        <w:rPr>
          <w:rFonts w:ascii="Times New Roman" w:hAnsi="Times New Roman" w:cs="Times New Roman"/>
          <w:sz w:val="24"/>
          <w:szCs w:val="24"/>
        </w:rPr>
        <w:t xml:space="preserve"> </w:t>
      </w:r>
      <w:r w:rsidRPr="00F93455">
        <w:rPr>
          <w:rFonts w:ascii="Times New Roman" w:hAnsi="Times New Roman" w:cs="Times New Roman"/>
          <w:sz w:val="24"/>
          <w:szCs w:val="24"/>
        </w:rPr>
        <w:t xml:space="preserve">temperature around 200 °C </w:t>
      </w:r>
      <w:r w:rsidRPr="00F93455">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"10.1016/j.compscitech.2011.06.010", "ISSN" : "02663538", "abstract" : "We report the study of the effects of carbon nanofibers (CNFs) on the cure kinetics and on the chemorheology of unsaturated polyester resins (UP). Two main experimental techniques were utilized: differential scanning calorimetry and rheometry. Isothermal and dynamic tests were performed on the neat polyester resin and on two nanocomposite systems, with 0.5 and 1.0. wt.% of CNFs. Furthermore, a TGA study of the selected systems at different isothermal temperatures was performed to evaluate the styrene consumption and related loss rate during the curing process. Subsequently, a phenomenological model (autocatalytic approach) was applied to the experimental data, both in isothermal and dynamic conditions. In the case of dynamic curing, the evidence of multiple peaks in the heat flow curves was studied through the deconvolution of the overall reaction thermogram in single reaction steps. An empirical rheological model coupled with the reaction kinetics was successfully applied to simulate the viscosity changes of the UP matrix. Experimental and modelling results demonstrate the presence of a delay effect of the CNFs on the cure of the UP resin matrix. \u00a9 2011 Elsevier Ltd.", "author" : [ { "dropping-particle" : "", "family" : "Monti", "given" : "Marco", "non-dropping-particle" : "", "parse-names" : false, "suffix" : "" }, { "dropping-particle" : "", "family" : "Puglia", "given" : "Debora", "non-dropping-particle" : "", "parse-names" : false, "suffix" : "" }, { "dropping-particle" : "", "family" : "Natali", "given" : "Maurizio", "non-dropping-particle" : "", "parse-names" : false, "suffix" : "" }, { "dropping-particle" : "", "family" : "Torre", "given" : "Luigi", "non-dropping-particle" : "", "parse-names" : false, "suffix" : "" }, { "dropping-particle" : "", "family" : "Kenny", "given" : "Jos\u00e9 M.", "non-dropping-particle" : "", "parse-names" : false, "suffix" : "" } ], "container-title" : "Composites Science and Technology", "id" : "ITEM-1", "issue" : "12", "issued" : { "date-parts" : [ [ "2011" ] ] }, "page" : "1507-1516", "publisher" : "Elsevier Ltd", "title" : "Effect of carbon nanofibers on the cure kinetics of unsaturated polyester resin: Thermal and chemorheological modelling", "type" : "article-journal", "volume" : "71" }, "uris" : [ "http://www.mendeley.com/documents/?uuid=2ba89525-98cf-441d-8d2e-d965a63e5c2a" ] } ], "mendeley" : { "formattedCitation" : "[204]", "plainTextFormattedCitation" : "[204]", "previouslyFormattedCitation" : "[204]" }, "properties" : {  }, "schema" : "https://github.com/citation-style-language/schema/raw/master/csl-citation.json" }</w:instrText>
      </w:r>
      <w:r w:rsidRPr="00F93455">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[204]</w:t>
      </w:r>
      <w:r w:rsidRPr="00F93455">
        <w:rPr>
          <w:rFonts w:ascii="Times New Roman" w:hAnsi="Times New Roman" w:cs="Times New Roman"/>
          <w:sz w:val="24"/>
          <w:szCs w:val="24"/>
        </w:rPr>
        <w:fldChar w:fldCharType="end"/>
      </w:r>
      <w:r w:rsidRPr="00684778">
        <w:rPr>
          <w:rFonts w:ascii="Times New Roman" w:hAnsi="Times New Roman" w:cs="Times New Roman"/>
          <w:sz w:val="24"/>
          <w:szCs w:val="24"/>
        </w:rPr>
        <w:t xml:space="preserve">. According to the results in the previous chapter, THF does not affect the storage modulus at glassy state. Hence, the reduction of storage modulus over neat UPR here probably duo to the addition of DMF. The boiling temperature of DMF (154 °C) is much higher than that of THF (66 °C). When UPR (THF/DMF) </w:t>
      </w:r>
      <w:r w:rsidR="006A3146">
        <w:rPr>
          <w:rFonts w:ascii="Times New Roman" w:hAnsi="Times New Roman" w:cs="Times New Roman"/>
          <w:sz w:val="24"/>
          <w:szCs w:val="24"/>
        </w:rPr>
        <w:t xml:space="preserve">is </w:t>
      </w:r>
      <w:r w:rsidRPr="00684778">
        <w:rPr>
          <w:rFonts w:ascii="Times New Roman" w:hAnsi="Times New Roman" w:cs="Times New Roman"/>
          <w:sz w:val="24"/>
          <w:szCs w:val="24"/>
        </w:rPr>
        <w:t>cure</w:t>
      </w:r>
      <w:r w:rsidR="006A3146">
        <w:rPr>
          <w:rFonts w:ascii="Times New Roman" w:hAnsi="Times New Roman" w:cs="Times New Roman"/>
          <w:sz w:val="24"/>
          <w:szCs w:val="24"/>
        </w:rPr>
        <w:t>d</w:t>
      </w:r>
      <w:r w:rsidRPr="00684778">
        <w:rPr>
          <w:rFonts w:ascii="Times New Roman" w:hAnsi="Times New Roman" w:cs="Times New Roman"/>
          <w:sz w:val="24"/>
          <w:szCs w:val="24"/>
        </w:rPr>
        <w:t xml:space="preserve"> at 200 C for 1 h, tiny amount of DMF is still in the curing system, resulting in a reduced polymer chains, which in turn negatively influences the storage modulus. Compared to UPR (THF/DMF) material, UPR/GO, UPR/rGO composites show an improvement on the storage modulus at glassy state (-40 ºC, 20 ºC). The highest values are observed at UPR/rGO1.32(DMF), which is 65% at -40 ºC, and 58% at 20 ºC over UPR(THF/DMF), respectively. </w:t>
      </w:r>
      <w:r w:rsidR="00684778">
        <w:rPr>
          <w:rFonts w:ascii="Times New Roman" w:hAnsi="Times New Roman" w:cs="Times New Roman"/>
          <w:sz w:val="24"/>
          <w:szCs w:val="24"/>
        </w:rPr>
        <w:t>However,</w:t>
      </w:r>
      <w:r w:rsidRPr="00684778">
        <w:rPr>
          <w:rFonts w:ascii="Times New Roman" w:hAnsi="Times New Roman" w:cs="Times New Roman"/>
          <w:sz w:val="24"/>
          <w:szCs w:val="24"/>
        </w:rPr>
        <w:t xml:space="preserve"> UPR/rGO0.91 represents lower storage modulus over UPR(THF/DMA) at glassy state.</w:t>
      </w:r>
      <w:r w:rsidR="00684778">
        <w:rPr>
          <w:rFonts w:ascii="Times New Roman" w:hAnsi="Times New Roman" w:cs="Times New Roman"/>
          <w:sz w:val="24"/>
          <w:szCs w:val="24"/>
        </w:rPr>
        <w:t xml:space="preserve"> As described in Chapter 4,</w:t>
      </w:r>
      <w:r w:rsidRPr="00684778">
        <w:rPr>
          <w:rFonts w:ascii="Times New Roman" w:hAnsi="Times New Roman" w:cs="Times New Roman"/>
          <w:sz w:val="24"/>
          <w:szCs w:val="24"/>
        </w:rPr>
        <w:t xml:space="preserve"> the storage modulus of UPR composites depends on: 1) The dispersion quality of nanoparticles and vitamin C; 2) The interaction between UPR and nanoparticles; 3) The crosslinking density of polymers; 4) The moduli of UPR and nanoparticles; 5) Surface absorption of UP oligomers on nanoparticles. rGO is dispersed homogeneously in UPR matrix at a relatively low concentration of 0.91 wt.% and 0.96 wt.%. Some UP oligomers are absorbed on rGO surfaces, resulting in a less amount of free reactive UP oligomers for polymerization. Moreover, the presence of unreacted vitamin C may also prevent the polymerization of UPR in the curing process. Consequently, both the length of polymer chains and crosslinking density are reduced, resulting in reduced storage moduli at glassy state. UPR/GO0.96 composite displays higher storage moduli over UPR/rGO0.91. This is presumably because that the interaction between GO and UPR are much stronger due to more oxygen functional groups on GO surface. Therefore, the movements of polymer chains are restricted by GO, resulting in an increment on storage moduli for UPR/GO0.96. Meanwhile, there is no vitamin C in the curing system to influence the polymerization like UPR/rGO composite. As a result, the storage moduli of UPR/GO0.96 enhanced over UPR(THF/DMF) and UPR/rGO0.91. The storage moduli of both UPR/rGO1.32 and UPR/rGO1.32(DMF) increase over UPR, UPR(THF/DMF), and UPR/GO0.96. This is presumably because that the high modulus of rGO contributes a lot on the storage modulus of UPR composites. Moreover, rGO at higher concentration tends to aggregate, resulting in a reduced specific surface area. Therefore, the crosslinking density is relatively higher due to the reduced amount surface absorption of UP on rGO and more free reactive UP oligomers.</w:t>
      </w:r>
    </w:p>
    <w:p w14:paraId="045E1A33" w14:textId="79730F73" w:rsidR="007E4AF6" w:rsidRPr="00684778" w:rsidRDefault="007E4AF6" w:rsidP="007E4AF6">
      <w:pPr>
        <w:spacing w:after="0" w:line="480" w:lineRule="auto"/>
        <w:jc w:val="both"/>
        <w:rPr>
          <w:rFonts w:ascii="Times New Roman" w:hAnsi="Times New Roman" w:cs="Times New Roman"/>
          <w:sz w:val="24"/>
          <w:szCs w:val="24"/>
        </w:rPr>
      </w:pPr>
      <w:r w:rsidRPr="00684778">
        <w:rPr>
          <w:rFonts w:ascii="Times New Roman" w:hAnsi="Times New Roman" w:cs="Times New Roman"/>
          <w:sz w:val="24"/>
          <w:szCs w:val="24"/>
        </w:rPr>
        <w:t xml:space="preserve">Compared to UPR/rGO1.32, UPR/rGO1.32(DMF) exhibit a higher storage modulus. This is </w:t>
      </w:r>
      <w:r w:rsidR="006A3146" w:rsidRPr="00684778">
        <w:rPr>
          <w:rFonts w:ascii="Times New Roman" w:hAnsi="Times New Roman" w:cs="Times New Roman"/>
          <w:sz w:val="24"/>
          <w:szCs w:val="24"/>
        </w:rPr>
        <w:t xml:space="preserve">maybe </w:t>
      </w:r>
      <w:r w:rsidRPr="00684778">
        <w:rPr>
          <w:rFonts w:ascii="Times New Roman" w:hAnsi="Times New Roman" w:cs="Times New Roman"/>
          <w:sz w:val="24"/>
          <w:szCs w:val="24"/>
        </w:rPr>
        <w:t xml:space="preserve">because that the dispersion of GO in DMF is better than that in THF. Moreover, vitamin C/DMF dispersion is more stable than vitamin C/THF/DMF duo to the insolubility of vitamin C in THF. Therefore, the reduction of GO by vitamin C and the interaction between GO and UPR chains are better than that for UPR/rGO1.32, leading to stronger storage modulus. </w:t>
      </w:r>
    </w:p>
    <w:p w14:paraId="291FDAF0" w14:textId="1CFEE637" w:rsidR="007E4AF6" w:rsidRPr="00684778" w:rsidRDefault="007E4AF6" w:rsidP="007E4AF6">
      <w:pPr>
        <w:spacing w:after="0" w:line="480" w:lineRule="auto"/>
        <w:ind w:firstLine="360"/>
        <w:jc w:val="both"/>
        <w:rPr>
          <w:rFonts w:ascii="Times New Roman" w:hAnsi="Times New Roman" w:cs="Times New Roman"/>
          <w:sz w:val="24"/>
          <w:szCs w:val="24"/>
        </w:rPr>
      </w:pPr>
      <w:r w:rsidRPr="00684778">
        <w:rPr>
          <w:rFonts w:ascii="Times New Roman" w:hAnsi="Times New Roman" w:cs="Times New Roman"/>
          <w:sz w:val="24"/>
          <w:szCs w:val="24"/>
        </w:rPr>
        <w:t>The loss modulus represents the viscous behavior of a material and is indicative to the energy dissipation with temperature. It increases before and around glass transition region and decreases in rubbery plateau due to the movement friction between polymer segments. The glass transition temperature (</w:t>
      </w:r>
      <w:r w:rsidRPr="00684778">
        <w:rPr>
          <w:rFonts w:ascii="Times New Roman" w:hAnsi="Times New Roman" w:cs="Times New Roman"/>
          <w:i/>
          <w:sz w:val="24"/>
          <w:szCs w:val="24"/>
        </w:rPr>
        <w:t>T</w:t>
      </w:r>
      <w:r w:rsidRPr="00684778">
        <w:rPr>
          <w:rFonts w:ascii="Times New Roman" w:hAnsi="Times New Roman" w:cs="Times New Roman"/>
          <w:i/>
          <w:sz w:val="24"/>
          <w:szCs w:val="24"/>
          <w:vertAlign w:val="subscript"/>
        </w:rPr>
        <w:t>g</w:t>
      </w:r>
      <w:r w:rsidRPr="00684778">
        <w:rPr>
          <w:rFonts w:ascii="Times New Roman" w:hAnsi="Times New Roman" w:cs="Times New Roman"/>
          <w:sz w:val="24"/>
          <w:szCs w:val="24"/>
        </w:rPr>
        <w:t xml:space="preserve">) can be defined as the maximum value of loss modulus against temperature curve. According to Figure </w:t>
      </w:r>
      <w:r w:rsidR="00BF19FB">
        <w:rPr>
          <w:rFonts w:ascii="Times New Roman" w:hAnsi="Times New Roman" w:cs="Times New Roman"/>
          <w:sz w:val="24"/>
          <w:szCs w:val="24"/>
        </w:rPr>
        <w:t>5.</w:t>
      </w:r>
      <w:r w:rsidRPr="00684778">
        <w:rPr>
          <w:rFonts w:ascii="Times New Roman" w:hAnsi="Times New Roman" w:cs="Times New Roman"/>
          <w:sz w:val="24"/>
          <w:szCs w:val="24"/>
        </w:rPr>
        <w:t xml:space="preserve">6(b), there is no difference of </w:t>
      </w:r>
      <w:r w:rsidRPr="00684778">
        <w:rPr>
          <w:rFonts w:ascii="Times New Roman" w:hAnsi="Times New Roman" w:cs="Times New Roman"/>
          <w:i/>
          <w:sz w:val="24"/>
          <w:szCs w:val="24"/>
        </w:rPr>
        <w:t>T</w:t>
      </w:r>
      <w:r w:rsidRPr="00684778">
        <w:rPr>
          <w:rFonts w:ascii="Times New Roman" w:hAnsi="Times New Roman" w:cs="Times New Roman"/>
          <w:i/>
          <w:sz w:val="24"/>
          <w:szCs w:val="24"/>
          <w:vertAlign w:val="subscript"/>
        </w:rPr>
        <w:t>g</w:t>
      </w:r>
      <w:r w:rsidRPr="00684778">
        <w:rPr>
          <w:rFonts w:ascii="Times New Roman" w:hAnsi="Times New Roman" w:cs="Times New Roman"/>
          <w:sz w:val="24"/>
          <w:szCs w:val="24"/>
        </w:rPr>
        <w:t xml:space="preserve"> between UPR and UPR(THF/DMF), indicating that the addition of solvents doesn’t affect the crosslinking density of UPR. </w:t>
      </w:r>
      <w:r w:rsidRPr="00684778">
        <w:rPr>
          <w:rFonts w:ascii="Times New Roman" w:hAnsi="Times New Roman" w:cs="Times New Roman"/>
          <w:i/>
          <w:sz w:val="24"/>
          <w:szCs w:val="24"/>
        </w:rPr>
        <w:t>T</w:t>
      </w:r>
      <w:r w:rsidRPr="00684778">
        <w:rPr>
          <w:rFonts w:ascii="Times New Roman" w:hAnsi="Times New Roman" w:cs="Times New Roman"/>
          <w:i/>
          <w:sz w:val="24"/>
          <w:szCs w:val="24"/>
          <w:vertAlign w:val="subscript"/>
        </w:rPr>
        <w:t>g</w:t>
      </w:r>
      <w:r w:rsidRPr="00684778">
        <w:rPr>
          <w:rFonts w:ascii="Times New Roman" w:hAnsi="Times New Roman" w:cs="Times New Roman"/>
          <w:sz w:val="24"/>
          <w:szCs w:val="24"/>
        </w:rPr>
        <w:t xml:space="preserve"> of UPR/GO is reduced slightly which can be negligible. </w:t>
      </w:r>
      <w:r w:rsidRPr="00684778">
        <w:rPr>
          <w:rFonts w:ascii="Times New Roman" w:hAnsi="Times New Roman" w:cs="Times New Roman"/>
          <w:i/>
          <w:sz w:val="24"/>
          <w:szCs w:val="24"/>
        </w:rPr>
        <w:t>T</w:t>
      </w:r>
      <w:r w:rsidRPr="00684778">
        <w:rPr>
          <w:rFonts w:ascii="Times New Roman" w:hAnsi="Times New Roman" w:cs="Times New Roman"/>
          <w:i/>
          <w:sz w:val="24"/>
          <w:szCs w:val="24"/>
          <w:vertAlign w:val="subscript"/>
        </w:rPr>
        <w:t>g</w:t>
      </w:r>
      <w:r w:rsidRPr="00684778">
        <w:rPr>
          <w:rFonts w:ascii="Times New Roman" w:hAnsi="Times New Roman" w:cs="Times New Roman"/>
          <w:i/>
          <w:sz w:val="24"/>
          <w:szCs w:val="24"/>
        </w:rPr>
        <w:t xml:space="preserve"> </w:t>
      </w:r>
      <w:r w:rsidRPr="00684778">
        <w:rPr>
          <w:rFonts w:ascii="Times New Roman" w:hAnsi="Times New Roman" w:cs="Times New Roman"/>
          <w:sz w:val="24"/>
          <w:szCs w:val="24"/>
        </w:rPr>
        <w:t xml:space="preserve">gradually decreases from UPR/rGO0.91 to UPR/rGO1.32, and the lowest value happens at UPR/rGO1.32. This presumably because that the addition of reinforcement and vitamin C influence the formation of crosslinking network, and the influence increases with increasing GO and vitamin C contents, resulting in a lower crosslinking density and lower </w:t>
      </w:r>
      <w:r w:rsidRPr="00684778">
        <w:rPr>
          <w:rFonts w:ascii="Times New Roman" w:hAnsi="Times New Roman" w:cs="Times New Roman"/>
          <w:i/>
          <w:sz w:val="24"/>
          <w:szCs w:val="24"/>
        </w:rPr>
        <w:t>T</w:t>
      </w:r>
      <w:r w:rsidRPr="00684778">
        <w:rPr>
          <w:rFonts w:ascii="Times New Roman" w:hAnsi="Times New Roman" w:cs="Times New Roman"/>
          <w:i/>
          <w:sz w:val="24"/>
          <w:szCs w:val="24"/>
          <w:vertAlign w:val="subscript"/>
        </w:rPr>
        <w:t>g</w:t>
      </w:r>
      <w:r w:rsidRPr="00684778">
        <w:rPr>
          <w:rFonts w:ascii="Times New Roman" w:hAnsi="Times New Roman" w:cs="Times New Roman"/>
          <w:sz w:val="24"/>
          <w:szCs w:val="24"/>
        </w:rPr>
        <w:t xml:space="preserve">. For UPR/rGO1.32(DMF), the interaction between GO and UPR are stronger compared to UPR/rGO1.32, resulting in a relatively higher </w:t>
      </w:r>
      <w:r w:rsidRPr="00684778">
        <w:rPr>
          <w:rFonts w:ascii="Times New Roman" w:hAnsi="Times New Roman" w:cs="Times New Roman"/>
          <w:i/>
          <w:sz w:val="24"/>
          <w:szCs w:val="24"/>
        </w:rPr>
        <w:t>T</w:t>
      </w:r>
      <w:r w:rsidRPr="00684778">
        <w:rPr>
          <w:rFonts w:ascii="Times New Roman" w:hAnsi="Times New Roman" w:cs="Times New Roman"/>
          <w:i/>
          <w:sz w:val="24"/>
          <w:szCs w:val="24"/>
          <w:vertAlign w:val="subscript"/>
        </w:rPr>
        <w:t>g</w:t>
      </w:r>
      <w:r w:rsidRPr="00684778">
        <w:rPr>
          <w:rFonts w:ascii="Times New Roman" w:hAnsi="Times New Roman" w:cs="Times New Roman"/>
          <w:sz w:val="24"/>
          <w:szCs w:val="24"/>
        </w:rPr>
        <w:t xml:space="preserve"> over UPR/rGO1.32.</w:t>
      </w:r>
    </w:p>
    <w:p w14:paraId="461EFCCF" w14:textId="64C9FD3F" w:rsidR="007E4AF6" w:rsidRDefault="007E4AF6" w:rsidP="007E4AF6">
      <w:pPr>
        <w:spacing w:after="0" w:line="480" w:lineRule="auto"/>
        <w:jc w:val="both"/>
        <w:rPr>
          <w:rFonts w:ascii="Times New Roman" w:hAnsi="Times New Roman" w:cs="Times New Roman"/>
          <w:sz w:val="24"/>
          <w:szCs w:val="24"/>
        </w:rPr>
      </w:pPr>
      <w:r w:rsidRPr="00684778">
        <w:rPr>
          <w:rFonts w:ascii="Times New Roman" w:hAnsi="Times New Roman" w:cs="Times New Roman"/>
          <w:sz w:val="24"/>
          <w:szCs w:val="24"/>
        </w:rPr>
        <w:t xml:space="preserve">    As discussed in previous chapter,  coefficient C is a key parameter to investigate the effectiveness of nanoparticles on the moduli of the composites </w:t>
      </w:r>
      <w:r w:rsidRPr="00684778">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"ISSN" : "00218995", "abstract" : "Agrowastes and woodflour are a potential and attractive alternative of cheap reinforcement for brittle polymeric materials because they can reduce costs and, at the same time, improve certain properties. On the other hand, their high moisture sorption and low microbial resistance are disadvantages that need to be considered and, as far as possible, corrected. Polyester resins are widely used throughout the world, and can be processed with reinforcing agents very easily. In this work, the effect of the addition of chemically modified woodflour on the final properties of unsaturated polyester composites was studied. The filler was treated with an alkaline solution to increase its interfacial area and then modified with maleic anhydride (MAN) under severe reaction conditions (140\u00b0C, 24 h). No improvement in the mechanical behavior of polyester-woodflour composites was found when particles were only alkali treated, while the composites prepared with MAN-treated woodflour offered better performance under compressive loads. Simple mechanical models used to fit the experimental flexural behavior indicated that a good compatibility between filler and matrix was obtained regardless of the kind (treated or untreated) of reinforcement used. \u00a9 1998 John Wiley &amp; Sons, Inc.", "author" : [ { "dropping-particle" : "", "family" : "Marcovich", "given" : "N.E.", "non-dropping-particle" : "", "parse-names" : false, "suffix" : "" }, { "dropping-particle" : "", "family" : "Reboredo", "given" : "M.M.", "non-dropping-particle" : "", "parse-names" : false, "suffix" : "" }, { "dropping-particle" : "", "family" : "Aranguren", "given" : "M.I.", "non-dropping-particle" : "", "parse-names" : false, "suffix" : "" } ], "container-title" : "Journal of Applied Polymer Science", "id" : "ITEM-1", "issue" : "11", "issued" : { "date-parts" : [ [ "1998" ] ] }, "page" : "2121-2131", "title" : "Mechanical properties of woodflour unsaturated polyester composites", "type" : "article-journal", "volume" : "70" }, "uris" : [ "http://www.mendeley.com/documents/?uuid=c42b5b5b-f44e-4d81-b90f-67be0d560017" ] }, { "id" : "ITEM-2", "itemData" : { "DOI" : "10.1016/S0266-3538(02)00254-3", "ISSN" : "02663538", "author" : [ { "dropping-particle" : "", "family" : "LALY", "given" : "A", "non-dropping-particle" : "", "parse-names" : false, "suffix" : "" }, { "dropping-particle" : "", "family" : "ZACHARIAH", "given" : "O", "non-dropping-particle" : "", "parse-names" : false, "suffix" : "" }, { "dropping-particle" : "", "family" : "THOMAS", "given" : "S", "non-dropping-particle" : "", "parse-names" : false, "suffix" : "" } ], "container-title" : "Composites Science and Technology", "id" : "ITEM-2", "issued" : { "date-parts" : [ [ "2003" ] ] }, "page" : "283-293", "title" : "Dynamic mechanical analysis of banana fiber reinforced polyester composites", "type" : "article-journal", "volume" : "63" }, "uris" : [ "http://www.mendeley.com/documents/?uuid=b5f3c7bd-975b-42a6-8086-965933f2915b" ] } ], "mendeley" : { "formattedCitation" : "[210,211]", "plainTextFormattedCitation" : "[210,211]", "previouslyFormattedCitation" : "[210,211]" }, "properties" : {  }, "schema" : "https://github.com/citation-style-language/schema/raw/master/csl-citation.json" }</w:instrText>
      </w:r>
      <w:r w:rsidRPr="00684778">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[210,211]</w:t>
      </w:r>
      <w:r w:rsidRPr="00684778">
        <w:rPr>
          <w:rFonts w:ascii="Times New Roman" w:hAnsi="Times New Roman" w:cs="Times New Roman"/>
          <w:sz w:val="24"/>
          <w:szCs w:val="24"/>
        </w:rPr>
        <w:fldChar w:fldCharType="end"/>
      </w:r>
      <w:r w:rsidRPr="00684778">
        <w:rPr>
          <w:rFonts w:ascii="Times New Roman" w:hAnsi="Times New Roman" w:cs="Times New Roman"/>
          <w:sz w:val="24"/>
          <w:szCs w:val="24"/>
        </w:rPr>
        <w:t xml:space="preserve">, which is associated to </w:t>
      </w:r>
      <w:r w:rsidRPr="00684778">
        <w:rPr>
          <w:rFonts w:ascii="Times New Roman" w:hAnsi="Times New Roman" w:cs="Times New Roman"/>
          <w:i/>
          <w:sz w:val="24"/>
          <w:szCs w:val="24"/>
        </w:rPr>
        <w:t>T</w:t>
      </w:r>
      <w:r w:rsidRPr="00684778">
        <w:rPr>
          <w:rFonts w:ascii="Times New Roman" w:hAnsi="Times New Roman" w:cs="Times New Roman"/>
          <w:i/>
          <w:sz w:val="24"/>
          <w:szCs w:val="24"/>
          <w:vertAlign w:val="subscript"/>
        </w:rPr>
        <w:t>g</w:t>
      </w:r>
      <w:r w:rsidRPr="00684778">
        <w:rPr>
          <w:rFonts w:ascii="Times New Roman" w:hAnsi="Times New Roman" w:cs="Times New Roman"/>
          <w:sz w:val="24"/>
          <w:szCs w:val="24"/>
        </w:rPr>
        <w:t>. It is obtained by the equ. (</w:t>
      </w:r>
      <w:r w:rsidR="002A0AAA">
        <w:rPr>
          <w:rFonts w:ascii="Times New Roman" w:hAnsi="Times New Roman" w:cs="Times New Roman"/>
          <w:sz w:val="24"/>
          <w:szCs w:val="24"/>
        </w:rPr>
        <w:t>5</w:t>
      </w:r>
      <w:r w:rsidR="00210BC4">
        <w:rPr>
          <w:rFonts w:ascii="Times New Roman" w:hAnsi="Times New Roman" w:cs="Times New Roman"/>
          <w:sz w:val="24"/>
          <w:szCs w:val="24"/>
        </w:rPr>
        <w:t>.</w:t>
      </w:r>
      <w:r w:rsidR="002A0AAA">
        <w:rPr>
          <w:rFonts w:ascii="Times New Roman" w:hAnsi="Times New Roman" w:cs="Times New Roman"/>
          <w:sz w:val="24"/>
          <w:szCs w:val="24"/>
        </w:rPr>
        <w:t>2</w:t>
      </w:r>
      <w:r w:rsidRPr="00684778">
        <w:rPr>
          <w:rFonts w:ascii="Times New Roman" w:hAnsi="Times New Roman" w:cs="Times New Roman"/>
          <w:sz w:val="24"/>
          <w:szCs w:val="24"/>
        </w:rPr>
        <w:t xml:space="preserve">) </w:t>
      </w:r>
      <w:r w:rsidRPr="00684778">
        <w:rPr>
          <w:rFonts w:ascii="Times New Roman" w:hAnsi="Times New Roman" w:cs="Times New Roman"/>
          <w:sz w:val="24"/>
          <w:szCs w:val="24"/>
        </w:rPr>
        <w:fldChar w:fldCharType="begin" w:fldLock="1"/>
      </w:r>
      <w:r w:rsidR="0076089E">
        <w:rPr>
          <w:rFonts w:ascii="Times New Roman" w:hAnsi="Times New Roman" w:cs="Times New Roman"/>
          <w:sz w:val="24"/>
          <w:szCs w:val="24"/>
        </w:rPr>
        <w:instrText>ADDIN CSL_CITATION { "citationItems" : [ { "id" : "ITEM-1", "itemData" : { "DOI" : "10.1016/S0266-3538(02)00254-3", "ISSN" : "02663538", "author" : [ { "dropping-particle" : "", "family" : "LALY", "given" : "A", "non-dropping-particle" : "", "parse-names" : false, "suffix" : "" }, { "dropping-particle" : "", "family" : "ZACHARIAH", "given" : "O", "non-dropping-particle" : "", "parse-names" : false, "suffix" : "" }, { "dropping-particle" : "", "family" : "THOMAS", "given" : "S", "non-dropping-particle" : "", "parse-names" : false, "suffix" : "" } ], "container-title" : "Composites Science and Technology", "id" : "ITEM-1", "issued" : { "date-parts" : [ [ "2003" ] ] }, "page" : "283-293", "title" : "Dynamic mechanical analysis of banana fiber reinforced polyester composites", "type" : "article-journal", "volume" : "63" }, "uris" : [ "http://www.mendeley.com/documents/?uuid=b5f3c7bd-975b-42a6-8086-965933f2915b" ] } ], "mendeley" : { "formattedCitation" : "[211]", "plainTextFormattedCitation" : "[211]", "previouslyFormattedCitation" : "[211]" }, "properties" : {  }, "schema" : "https://github.com/citation-style-language/schema/raw/master/csl-citation.json" }</w:instrText>
      </w:r>
      <w:r w:rsidRPr="00684778">
        <w:rPr>
          <w:rFonts w:ascii="Times New Roman" w:hAnsi="Times New Roman" w:cs="Times New Roman"/>
          <w:sz w:val="24"/>
          <w:szCs w:val="24"/>
        </w:rPr>
        <w:fldChar w:fldCharType="separate"/>
      </w:r>
      <w:r w:rsidR="0076089E" w:rsidRPr="0076089E">
        <w:rPr>
          <w:rFonts w:ascii="Times New Roman" w:hAnsi="Times New Roman" w:cs="Times New Roman"/>
          <w:noProof/>
          <w:sz w:val="24"/>
          <w:szCs w:val="24"/>
        </w:rPr>
        <w:t>[211]</w:t>
      </w:r>
      <w:r w:rsidRPr="00684778">
        <w:rPr>
          <w:rFonts w:ascii="Times New Roman" w:hAnsi="Times New Roman" w:cs="Times New Roman"/>
          <w:sz w:val="24"/>
          <w:szCs w:val="24"/>
        </w:rPr>
        <w:fldChar w:fldCharType="end"/>
      </w:r>
      <w:r w:rsidRPr="00684778">
        <w:rPr>
          <w:rFonts w:ascii="Times New Roman" w:hAnsi="Times New Roman" w:cs="Times New Roman"/>
          <w:sz w:val="24"/>
          <w:szCs w:val="24"/>
        </w:rPr>
        <w:t xml:space="preserve"> , and the results are summarized in Table 2 (-40 </w:t>
      </w:r>
      <w:r w:rsidRPr="00684778">
        <w:rPr>
          <w:rFonts w:ascii="Times New Roman" w:hAnsi="Times New Roman" w:cs="Times New Roman"/>
          <w:sz w:val="24"/>
          <w:szCs w:val="24"/>
          <w:vertAlign w:val="superscript"/>
        </w:rPr>
        <w:t>o</w:t>
      </w:r>
      <w:r w:rsidRPr="00684778">
        <w:rPr>
          <w:rFonts w:ascii="Times New Roman" w:hAnsi="Times New Roman" w:cs="Times New Roman"/>
          <w:sz w:val="24"/>
          <w:szCs w:val="24"/>
        </w:rPr>
        <w:t xml:space="preserve">C and 80 </w:t>
      </w:r>
      <w:r w:rsidRPr="00684778">
        <w:rPr>
          <w:rFonts w:ascii="Times New Roman" w:hAnsi="Times New Roman" w:cs="Times New Roman"/>
          <w:sz w:val="24"/>
          <w:szCs w:val="24"/>
          <w:vertAlign w:val="superscript"/>
        </w:rPr>
        <w:t>o</w:t>
      </w:r>
      <w:r w:rsidRPr="00684778">
        <w:rPr>
          <w:rFonts w:ascii="Times New Roman" w:hAnsi="Times New Roman" w:cs="Times New Roman"/>
          <w:sz w:val="24"/>
          <w:szCs w:val="24"/>
        </w:rPr>
        <w:t>C are selected as glassy state, and rubbery state, respectively). The lowest coefficient C of 0.66 is observed at UPR/GO0.96, which is lower than that for UPR/rGO0.91. This presumably duo to two reasons. 1) The interaction between GO and UPR chains for UPR/RGO0.91 is poorer than that for UPR/RGO0.96 due to the lower oxygen functional groups on GO sheets caused by the reduction. 2) The existence of vitamin C influence the reaction between GO and UPR chains, resulting in a relatively poorer interaction between GO and UPR. UPR/rGO1.32 and UPR/rGO1.32(DMF) exhibit much higher coefficient C over other materials, and the highest value occurs at UPR/rGO1.32. The increased coefficient C is presumably due to the poorer interaction between GO and UPR chains. As aforementioned reasons, the presence vitamin C prevents the reaction between GO and UPR chains during curing process, and this effect increases with increasing vitamin C content. Hence, the coefficient C of UPR/rGO composites at 1.32 wt.% is higher than that of UPR/RGO0.91. Moreover, the dispersion of GO in DMF is better than that in THF. Therefore, for the same amount of GO and vitamin C, the interaction of UPR/rGO1.32(DMF) between GO and UPR chains is relatively better than that of UPR/rGO1.32, resulting in a lower coefficient C over that of UPR/rGO1.32.</w:t>
      </w:r>
    </w:p>
    <w:p w14:paraId="2A0728AC" w14:textId="77777777" w:rsidR="00EC12AF" w:rsidRPr="001A5452" w:rsidRDefault="00EC12AF" w:rsidP="007E4AF6">
      <w:pPr>
        <w:spacing w:after="0" w:line="480" w:lineRule="auto"/>
        <w:jc w:val="both"/>
        <w:rPr>
          <w:rFonts w:ascii="Times New Roman" w:hAnsi="Times New Roman" w:cs="Times New Roman"/>
          <w:sz w:val="24"/>
          <w:szCs w:val="24"/>
        </w:rPr>
      </w:pPr>
    </w:p>
    <w:p w14:paraId="2DD55FF3" w14:textId="5838DEB0" w:rsidR="007E4AF6" w:rsidRDefault="007E4AF6" w:rsidP="007E4AF6">
      <w:pPr>
        <w:spacing w:after="0" w:line="480" w:lineRule="auto"/>
        <w:jc w:val="center"/>
        <w:rPr>
          <w:rFonts w:ascii="Times New Roman" w:hAnsi="Times New Roman" w:cs="Times New Roman"/>
          <w:b/>
          <w:sz w:val="24"/>
          <w:szCs w:val="24"/>
        </w:rPr>
      </w:pPr>
      <m:oMath>
        <m:r>
          <m:rPr>
            <m:sty m:val="b"/>
          </m:rPr>
          <w:rPr>
            <w:rFonts w:ascii="Cambria Math" w:hAnsi="Cambria Math" w:cs="Times New Roman"/>
            <w:sz w:val="24"/>
            <w:szCs w:val="24"/>
          </w:rPr>
          <m:t xml:space="preserve">C= </m:t>
        </m:r>
        <m:f>
          <m:fPr>
            <m:ctrlPr>
              <w:rPr>
                <w:rFonts w:ascii="Cambria Math" w:hAnsi="Cambria Math" w:cs="Times New Roman"/>
                <w:b/>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m:t>
                    </m:r>
                  </m:sup>
                </m:sSup>
              </m:e>
              <m:sub>
                <m:r>
                  <m:rPr>
                    <m:sty m:val="bi"/>
                  </m:rPr>
                  <w:rPr>
                    <w:rFonts w:ascii="Cambria Math" w:hAnsi="Cambria Math" w:cs="Times New Roman"/>
                    <w:sz w:val="24"/>
                    <w:szCs w:val="24"/>
                  </w:rPr>
                  <m:t xml:space="preserve">g </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m:t>
                    </m:r>
                  </m:sup>
                </m:sSup>
              </m:e>
              <m:sub>
                <m:r>
                  <m:rPr>
                    <m:sty m:val="bi"/>
                  </m:rPr>
                  <w:rPr>
                    <w:rFonts w:ascii="Cambria Math" w:hAnsi="Cambria Math" w:cs="Times New Roman"/>
                    <w:sz w:val="24"/>
                    <w:szCs w:val="24"/>
                  </w:rPr>
                  <m:t>r</m:t>
                </m:r>
              </m:sub>
            </m:sSub>
            <m:r>
              <m:rPr>
                <m:sty m:val="bi"/>
              </m:rPr>
              <w:rPr>
                <w:rFonts w:ascii="Cambria Math" w:hAnsi="Cambria Math" w:cs="Times New Roman"/>
                <w:sz w:val="24"/>
                <w:szCs w:val="24"/>
              </w:rPr>
              <m:t>)comp</m:t>
            </m:r>
          </m:num>
          <m:den>
            <m:sSub>
              <m:sSubPr>
                <m:ctrlPr>
                  <w:rPr>
                    <w:rFonts w:ascii="Cambria Math" w:hAnsi="Cambria Math" w:cs="Times New Roman"/>
                    <w:b/>
                    <w:i/>
                    <w:sz w:val="24"/>
                    <w:szCs w:val="24"/>
                  </w:rPr>
                </m:ctrlPr>
              </m:sSubPr>
              <m:e>
                <m:r>
                  <m:rPr>
                    <m:sty m:val="bi"/>
                  </m:rPr>
                  <w:rPr>
                    <w:rFonts w:ascii="Cambria Math" w:hAnsi="Cambria Math" w:cs="Times New Roman"/>
                    <w:sz w:val="24"/>
                    <w:szCs w:val="24"/>
                  </w:rPr>
                  <m:t>(</m:t>
                </m:r>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m:t>
                    </m:r>
                  </m:sup>
                </m:sSup>
              </m:e>
              <m:sub>
                <m:r>
                  <m:rPr>
                    <m:sty m:val="bi"/>
                  </m:rPr>
                  <w:rPr>
                    <w:rFonts w:ascii="Cambria Math" w:hAnsi="Cambria Math" w:cs="Times New Roman"/>
                    <w:sz w:val="24"/>
                    <w:szCs w:val="24"/>
                  </w:rPr>
                  <m:t xml:space="preserve">g </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sSup>
                  <m:sSupPr>
                    <m:ctrlPr>
                      <w:rPr>
                        <w:rFonts w:ascii="Cambria Math" w:hAnsi="Cambria Math" w:cs="Times New Roman"/>
                        <w:b/>
                        <w:i/>
                        <w:sz w:val="24"/>
                        <w:szCs w:val="24"/>
                      </w:rPr>
                    </m:ctrlPr>
                  </m:sSupPr>
                  <m:e>
                    <m:r>
                      <m:rPr>
                        <m:sty m:val="bi"/>
                      </m:rPr>
                      <w:rPr>
                        <w:rFonts w:ascii="Cambria Math" w:hAnsi="Cambria Math" w:cs="Times New Roman"/>
                        <w:sz w:val="24"/>
                        <w:szCs w:val="24"/>
                      </w:rPr>
                      <m:t>E</m:t>
                    </m:r>
                  </m:e>
                  <m:sup>
                    <m:r>
                      <m:rPr>
                        <m:sty m:val="bi"/>
                      </m:rPr>
                      <w:rPr>
                        <w:rFonts w:ascii="Cambria Math" w:hAnsi="Cambria Math" w:cs="Times New Roman"/>
                        <w:sz w:val="24"/>
                        <w:szCs w:val="24"/>
                      </w:rPr>
                      <m:t>'</m:t>
                    </m:r>
                  </m:sup>
                </m:sSup>
              </m:e>
              <m:sub>
                <m:r>
                  <m:rPr>
                    <m:sty m:val="bi"/>
                  </m:rPr>
                  <w:rPr>
                    <w:rFonts w:ascii="Cambria Math" w:hAnsi="Cambria Math" w:cs="Times New Roman"/>
                    <w:sz w:val="24"/>
                    <w:szCs w:val="24"/>
                  </w:rPr>
                  <m:t>r</m:t>
                </m:r>
              </m:sub>
            </m:sSub>
            <m:r>
              <m:rPr>
                <m:sty m:val="bi"/>
              </m:rPr>
              <w:rPr>
                <w:rFonts w:ascii="Cambria Math" w:hAnsi="Cambria Math" w:cs="Times New Roman"/>
                <w:sz w:val="24"/>
                <w:szCs w:val="24"/>
              </w:rPr>
              <m:t>)resin</m:t>
            </m:r>
          </m:den>
        </m:f>
      </m:oMath>
      <w:r w:rsidRPr="001A5452">
        <w:rPr>
          <w:rFonts w:ascii="Times New Roman" w:hAnsi="Times New Roman" w:cs="Times New Roman"/>
          <w:b/>
          <w:sz w:val="24"/>
          <w:szCs w:val="24"/>
        </w:rPr>
        <w:t xml:space="preserve">              (</w:t>
      </w:r>
      <w:r w:rsidR="002A0AAA">
        <w:rPr>
          <w:rFonts w:ascii="Times New Roman" w:hAnsi="Times New Roman" w:cs="Times New Roman"/>
          <w:b/>
          <w:sz w:val="24"/>
          <w:szCs w:val="24"/>
        </w:rPr>
        <w:t>5</w:t>
      </w:r>
      <w:r w:rsidR="004A17DD">
        <w:rPr>
          <w:rFonts w:ascii="Times New Roman" w:hAnsi="Times New Roman" w:cs="Times New Roman"/>
          <w:b/>
          <w:sz w:val="24"/>
          <w:szCs w:val="24"/>
        </w:rPr>
        <w:t>.</w:t>
      </w:r>
      <w:r w:rsidR="002A0AAA">
        <w:rPr>
          <w:rFonts w:ascii="Times New Roman" w:hAnsi="Times New Roman" w:cs="Times New Roman"/>
          <w:b/>
          <w:sz w:val="24"/>
          <w:szCs w:val="24"/>
        </w:rPr>
        <w:t>2</w:t>
      </w:r>
      <w:r w:rsidRPr="001A5452">
        <w:rPr>
          <w:rFonts w:ascii="Times New Roman" w:hAnsi="Times New Roman" w:cs="Times New Roman"/>
          <w:b/>
          <w:sz w:val="24"/>
          <w:szCs w:val="24"/>
        </w:rPr>
        <w:t>)</w:t>
      </w:r>
    </w:p>
    <w:p w14:paraId="2723A9FF" w14:textId="77777777" w:rsidR="00EC12AF" w:rsidRPr="001A5452" w:rsidRDefault="00EC12AF" w:rsidP="007E4AF6">
      <w:pPr>
        <w:spacing w:after="0" w:line="480" w:lineRule="auto"/>
        <w:jc w:val="center"/>
        <w:rPr>
          <w:rFonts w:ascii="Times New Roman" w:hAnsi="Times New Roman" w:cs="Times New Roman"/>
          <w:b/>
          <w:sz w:val="24"/>
          <w:szCs w:val="24"/>
        </w:rPr>
      </w:pPr>
    </w:p>
    <w:p w14:paraId="6DCEC371" w14:textId="77777777" w:rsidR="007E4AF6" w:rsidRPr="001A5452" w:rsidRDefault="007E4AF6" w:rsidP="007E4AF6">
      <w:pPr>
        <w:spacing w:after="0" w:line="480" w:lineRule="auto"/>
        <w:ind w:hanging="450"/>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50B0442B" wp14:editId="07C986F8">
            <wp:extent cx="6835705" cy="262624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46079" cy="2630228"/>
                    </a:xfrm>
                    <a:prstGeom prst="rect">
                      <a:avLst/>
                    </a:prstGeom>
                    <a:noFill/>
                  </pic:spPr>
                </pic:pic>
              </a:graphicData>
            </a:graphic>
          </wp:inline>
        </w:drawing>
      </w:r>
    </w:p>
    <w:p w14:paraId="302CC1E9" w14:textId="2A5811DA" w:rsidR="007E4AF6" w:rsidRDefault="002A0AAA" w:rsidP="00EC12AF">
      <w:pPr>
        <w:pStyle w:val="Caption"/>
        <w:ind w:firstLine="0"/>
        <w:rPr>
          <w:rFonts w:cs="Times New Roman"/>
          <w:szCs w:val="24"/>
        </w:rPr>
      </w:pPr>
      <w:bookmarkStart w:id="185" w:name="_Toc518823443"/>
      <w:r>
        <w:t>Figure 5</w:t>
      </w:r>
      <w:r w:rsidR="0020194E">
        <w:t>.</w:t>
      </w:r>
      <w:r w:rsidR="00EC12AF">
        <w:fldChar w:fldCharType="begin"/>
      </w:r>
      <w:r w:rsidR="00EC12AF">
        <w:instrText xml:space="preserve"> SEQ Figure_5. \* ARABIC </w:instrText>
      </w:r>
      <w:r w:rsidR="00EC12AF">
        <w:fldChar w:fldCharType="separate"/>
      </w:r>
      <w:r w:rsidR="00551ED9">
        <w:rPr>
          <w:noProof/>
        </w:rPr>
        <w:t>6</w:t>
      </w:r>
      <w:r w:rsidR="00EC12AF">
        <w:fldChar w:fldCharType="end"/>
      </w:r>
      <w:r w:rsidR="007E4AF6" w:rsidRPr="0020194E">
        <w:rPr>
          <w:rFonts w:cs="Times New Roman"/>
          <w:szCs w:val="24"/>
        </w:rPr>
        <w:t>. The</w:t>
      </w:r>
      <w:r w:rsidR="007E4AF6" w:rsidRPr="001A5452">
        <w:rPr>
          <w:rFonts w:cs="Times New Roman"/>
          <w:szCs w:val="24"/>
        </w:rPr>
        <w:t xml:space="preserve"> dynamic mechanical properties of UPR, UPR/GO, and UPR/rGO composites: (a) St</w:t>
      </w:r>
      <w:r w:rsidR="00DA69B8">
        <w:rPr>
          <w:rFonts w:cs="Times New Roman"/>
          <w:szCs w:val="24"/>
        </w:rPr>
        <w:t>orage modulus and (b) Loss modulus.</w:t>
      </w:r>
      <w:bookmarkEnd w:id="185"/>
    </w:p>
    <w:p w14:paraId="17B12E69" w14:textId="6F06BDD3" w:rsidR="00C1080E" w:rsidRPr="001A5452" w:rsidRDefault="00C1080E" w:rsidP="007E4AF6">
      <w:pPr>
        <w:spacing w:after="0" w:line="480" w:lineRule="auto"/>
        <w:jc w:val="both"/>
        <w:rPr>
          <w:rFonts w:ascii="Times New Roman" w:hAnsi="Times New Roman" w:cs="Times New Roman"/>
          <w:sz w:val="24"/>
          <w:szCs w:val="24"/>
        </w:rPr>
      </w:pPr>
    </w:p>
    <w:p w14:paraId="4017C4DC" w14:textId="6C376195" w:rsidR="007E4AF6" w:rsidRPr="001A5452" w:rsidRDefault="002A0AAA" w:rsidP="00EC12AF">
      <w:pPr>
        <w:pStyle w:val="Caption"/>
        <w:ind w:firstLine="0"/>
        <w:rPr>
          <w:rFonts w:cs="Times New Roman"/>
          <w:szCs w:val="24"/>
        </w:rPr>
      </w:pPr>
      <w:bookmarkStart w:id="186" w:name="_Toc518823483"/>
      <w:r>
        <w:t>Table 5</w:t>
      </w:r>
      <w:r w:rsidR="0020194E">
        <w:t>.</w:t>
      </w:r>
      <w:r w:rsidR="00EC12AF" w:rsidRPr="0020194E">
        <w:fldChar w:fldCharType="begin"/>
      </w:r>
      <w:r w:rsidR="00EC12AF" w:rsidRPr="0020194E">
        <w:instrText xml:space="preserve"> SEQ Table_5. \* ARABIC </w:instrText>
      </w:r>
      <w:r w:rsidR="00EC12AF" w:rsidRPr="0020194E">
        <w:fldChar w:fldCharType="separate"/>
      </w:r>
      <w:r w:rsidR="00551ED9" w:rsidRPr="0020194E">
        <w:rPr>
          <w:noProof/>
        </w:rPr>
        <w:t>3</w:t>
      </w:r>
      <w:r w:rsidR="00EC12AF" w:rsidRPr="0020194E">
        <w:fldChar w:fldCharType="end"/>
      </w:r>
      <w:r w:rsidR="007E4AF6" w:rsidRPr="0020194E">
        <w:rPr>
          <w:rFonts w:cs="Times New Roman"/>
          <w:szCs w:val="24"/>
        </w:rPr>
        <w:t>.</w:t>
      </w:r>
      <w:r w:rsidR="007E4AF6" w:rsidRPr="001A5452">
        <w:rPr>
          <w:rFonts w:cs="Times New Roman"/>
          <w:b w:val="0"/>
          <w:szCs w:val="24"/>
        </w:rPr>
        <w:t xml:space="preserve"> </w:t>
      </w:r>
      <w:r w:rsidR="007E4AF6" w:rsidRPr="001A5452">
        <w:rPr>
          <w:rFonts w:cs="Times New Roman"/>
          <w:szCs w:val="24"/>
        </w:rPr>
        <w:t>Dynamic</w:t>
      </w:r>
      <w:r w:rsidR="007E4AF6" w:rsidRPr="001A5452">
        <w:rPr>
          <w:rFonts w:cs="Times New Roman"/>
          <w:b w:val="0"/>
          <w:szCs w:val="24"/>
        </w:rPr>
        <w:t xml:space="preserve"> </w:t>
      </w:r>
      <w:r w:rsidR="007E4AF6" w:rsidRPr="001A5452">
        <w:rPr>
          <w:rFonts w:cs="Times New Roman"/>
          <w:szCs w:val="24"/>
        </w:rPr>
        <w:t>mechanical properties of UPR-rGO composites.</w:t>
      </w:r>
      <w:bookmarkEnd w:id="186"/>
    </w:p>
    <w:tbl>
      <w:tblPr>
        <w:tblStyle w:val="TableGrid1"/>
        <w:tblW w:w="944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384"/>
        <w:gridCol w:w="1021"/>
        <w:gridCol w:w="1078"/>
        <w:gridCol w:w="1078"/>
        <w:gridCol w:w="1078"/>
        <w:gridCol w:w="13"/>
        <w:gridCol w:w="1065"/>
        <w:gridCol w:w="1728"/>
      </w:tblGrid>
      <w:tr w:rsidR="007E4AF6" w:rsidRPr="001A5452" w14:paraId="61055894" w14:textId="77777777" w:rsidTr="00314423">
        <w:trPr>
          <w:trHeight w:val="179"/>
        </w:trPr>
        <w:tc>
          <w:tcPr>
            <w:tcW w:w="2384" w:type="dxa"/>
            <w:vMerge w:val="restart"/>
            <w:tcBorders>
              <w:left w:val="nil"/>
              <w:right w:val="nil"/>
            </w:tcBorders>
            <w:vAlign w:val="center"/>
          </w:tcPr>
          <w:p w14:paraId="6AE8151E"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Samples</w:t>
            </w:r>
          </w:p>
        </w:tc>
        <w:tc>
          <w:tcPr>
            <w:tcW w:w="4268" w:type="dxa"/>
            <w:gridSpan w:val="5"/>
            <w:tcBorders>
              <w:left w:val="nil"/>
              <w:bottom w:val="single" w:sz="12" w:space="0" w:color="auto"/>
              <w:right w:val="nil"/>
            </w:tcBorders>
            <w:vAlign w:val="center"/>
          </w:tcPr>
          <w:p w14:paraId="647F20FF"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i/>
                <w:sz w:val="24"/>
                <w:szCs w:val="24"/>
              </w:rPr>
              <w:t>E'</w:t>
            </w:r>
            <w:r w:rsidRPr="001A5452">
              <w:rPr>
                <w:rFonts w:ascii="Times New Roman" w:hAnsi="Times New Roman" w:cs="Times New Roman"/>
                <w:sz w:val="24"/>
                <w:szCs w:val="24"/>
              </w:rPr>
              <w:t xml:space="preserve"> at various T/ GPa</w:t>
            </w:r>
          </w:p>
        </w:tc>
        <w:tc>
          <w:tcPr>
            <w:tcW w:w="1065" w:type="dxa"/>
            <w:tcBorders>
              <w:left w:val="nil"/>
              <w:bottom w:val="single" w:sz="12" w:space="0" w:color="auto"/>
              <w:right w:val="nil"/>
            </w:tcBorders>
            <w:vAlign w:val="center"/>
          </w:tcPr>
          <w:p w14:paraId="7C21D5A3"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i/>
                <w:sz w:val="24"/>
                <w:szCs w:val="24"/>
              </w:rPr>
              <w:t>T</w:t>
            </w:r>
            <w:r w:rsidRPr="001A5452">
              <w:rPr>
                <w:rFonts w:ascii="Times New Roman" w:hAnsi="Times New Roman" w:cs="Times New Roman"/>
                <w:i/>
                <w:sz w:val="24"/>
                <w:szCs w:val="24"/>
                <w:vertAlign w:val="subscript"/>
              </w:rPr>
              <w:t>g</w:t>
            </w:r>
            <w:r w:rsidRPr="001A5452">
              <w:rPr>
                <w:rFonts w:ascii="Times New Roman" w:hAnsi="Times New Roman" w:cs="Times New Roman"/>
                <w:sz w:val="24"/>
                <w:szCs w:val="24"/>
              </w:rPr>
              <w:t xml:space="preserve"> /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C</w:t>
            </w:r>
          </w:p>
        </w:tc>
        <w:tc>
          <w:tcPr>
            <w:tcW w:w="1728" w:type="dxa"/>
            <w:tcBorders>
              <w:left w:val="nil"/>
              <w:bottom w:val="single" w:sz="12" w:space="0" w:color="auto"/>
              <w:right w:val="nil"/>
            </w:tcBorders>
            <w:vAlign w:val="center"/>
          </w:tcPr>
          <w:p w14:paraId="390DC9D9"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Coefficient C</w:t>
            </w:r>
          </w:p>
        </w:tc>
      </w:tr>
      <w:tr w:rsidR="007E4AF6" w:rsidRPr="001A5452" w14:paraId="639EB984" w14:textId="77777777" w:rsidTr="00314423">
        <w:tc>
          <w:tcPr>
            <w:tcW w:w="2384" w:type="dxa"/>
            <w:vMerge/>
            <w:tcBorders>
              <w:left w:val="nil"/>
              <w:bottom w:val="single" w:sz="12" w:space="0" w:color="auto"/>
              <w:right w:val="nil"/>
            </w:tcBorders>
            <w:vAlign w:val="center"/>
          </w:tcPr>
          <w:p w14:paraId="2524224C" w14:textId="77777777" w:rsidR="007E4AF6" w:rsidRPr="001A5452" w:rsidRDefault="007E4AF6" w:rsidP="00C1080E">
            <w:pPr>
              <w:spacing w:line="360" w:lineRule="auto"/>
              <w:jc w:val="center"/>
              <w:rPr>
                <w:rFonts w:ascii="Times New Roman" w:hAnsi="Times New Roman" w:cs="Times New Roman"/>
                <w:sz w:val="24"/>
                <w:szCs w:val="24"/>
              </w:rPr>
            </w:pPr>
          </w:p>
        </w:tc>
        <w:tc>
          <w:tcPr>
            <w:tcW w:w="1021" w:type="dxa"/>
            <w:tcBorders>
              <w:left w:val="nil"/>
              <w:bottom w:val="single" w:sz="12" w:space="0" w:color="auto"/>
              <w:right w:val="nil"/>
            </w:tcBorders>
            <w:vAlign w:val="center"/>
          </w:tcPr>
          <w:p w14:paraId="76449319"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 xml:space="preserve">-40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C</w:t>
            </w:r>
          </w:p>
        </w:tc>
        <w:tc>
          <w:tcPr>
            <w:tcW w:w="1078" w:type="dxa"/>
            <w:tcBorders>
              <w:left w:val="nil"/>
              <w:bottom w:val="single" w:sz="12" w:space="0" w:color="auto"/>
              <w:right w:val="nil"/>
            </w:tcBorders>
            <w:vAlign w:val="center"/>
          </w:tcPr>
          <w:p w14:paraId="3FCC2FF3"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 xml:space="preserve">20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C</w:t>
            </w:r>
          </w:p>
        </w:tc>
        <w:tc>
          <w:tcPr>
            <w:tcW w:w="1078" w:type="dxa"/>
            <w:tcBorders>
              <w:left w:val="nil"/>
              <w:bottom w:val="single" w:sz="12" w:space="0" w:color="auto"/>
              <w:right w:val="nil"/>
            </w:tcBorders>
            <w:vAlign w:val="center"/>
          </w:tcPr>
          <w:p w14:paraId="17585F83"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 xml:space="preserve">60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C</w:t>
            </w:r>
          </w:p>
        </w:tc>
        <w:tc>
          <w:tcPr>
            <w:tcW w:w="1078" w:type="dxa"/>
            <w:tcBorders>
              <w:left w:val="nil"/>
              <w:bottom w:val="single" w:sz="12" w:space="0" w:color="auto"/>
              <w:right w:val="nil"/>
            </w:tcBorders>
            <w:vAlign w:val="center"/>
          </w:tcPr>
          <w:p w14:paraId="3454DD16"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 xml:space="preserve">80 </w:t>
            </w:r>
            <w:r w:rsidRPr="001A5452">
              <w:rPr>
                <w:rFonts w:ascii="Times New Roman" w:hAnsi="Times New Roman" w:cs="Times New Roman"/>
                <w:sz w:val="24"/>
                <w:szCs w:val="24"/>
                <w:vertAlign w:val="superscript"/>
              </w:rPr>
              <w:t>o</w:t>
            </w:r>
            <w:r w:rsidRPr="001A5452">
              <w:rPr>
                <w:rFonts w:ascii="Times New Roman" w:hAnsi="Times New Roman" w:cs="Times New Roman"/>
                <w:sz w:val="24"/>
                <w:szCs w:val="24"/>
              </w:rPr>
              <w:t>C</w:t>
            </w:r>
          </w:p>
        </w:tc>
        <w:tc>
          <w:tcPr>
            <w:tcW w:w="1078" w:type="dxa"/>
            <w:gridSpan w:val="2"/>
            <w:tcBorders>
              <w:left w:val="nil"/>
              <w:bottom w:val="single" w:sz="12" w:space="0" w:color="auto"/>
              <w:right w:val="nil"/>
            </w:tcBorders>
            <w:vAlign w:val="center"/>
          </w:tcPr>
          <w:p w14:paraId="36B26D2F"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w:t>
            </w:r>
          </w:p>
        </w:tc>
        <w:tc>
          <w:tcPr>
            <w:tcW w:w="1728" w:type="dxa"/>
            <w:tcBorders>
              <w:left w:val="nil"/>
              <w:bottom w:val="single" w:sz="12" w:space="0" w:color="auto"/>
              <w:right w:val="nil"/>
            </w:tcBorders>
            <w:vAlign w:val="center"/>
          </w:tcPr>
          <w:p w14:paraId="761375E5" w14:textId="77777777" w:rsidR="007E4AF6" w:rsidRPr="001A5452" w:rsidRDefault="007E4AF6" w:rsidP="00C1080E">
            <w:pPr>
              <w:spacing w:line="360" w:lineRule="auto"/>
              <w:jc w:val="center"/>
              <w:rPr>
                <w:rFonts w:ascii="Times New Roman" w:hAnsi="Times New Roman" w:cs="Times New Roman"/>
                <w:sz w:val="24"/>
                <w:szCs w:val="24"/>
              </w:rPr>
            </w:pPr>
          </w:p>
        </w:tc>
      </w:tr>
      <w:tr w:rsidR="007E4AF6" w:rsidRPr="001A5452" w14:paraId="29250174" w14:textId="77777777" w:rsidTr="00314423">
        <w:tc>
          <w:tcPr>
            <w:tcW w:w="2384" w:type="dxa"/>
            <w:tcBorders>
              <w:left w:val="nil"/>
              <w:bottom w:val="nil"/>
              <w:right w:val="nil"/>
            </w:tcBorders>
            <w:vAlign w:val="center"/>
          </w:tcPr>
          <w:p w14:paraId="5B3FE95F"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UPR/rGO0.91</w:t>
            </w:r>
          </w:p>
        </w:tc>
        <w:tc>
          <w:tcPr>
            <w:tcW w:w="1021" w:type="dxa"/>
            <w:tcBorders>
              <w:left w:val="nil"/>
              <w:bottom w:val="nil"/>
              <w:right w:val="nil"/>
            </w:tcBorders>
            <w:vAlign w:val="center"/>
          </w:tcPr>
          <w:p w14:paraId="3DE8DB58"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078" w:type="dxa"/>
            <w:tcBorders>
              <w:left w:val="nil"/>
              <w:bottom w:val="nil"/>
              <w:right w:val="nil"/>
            </w:tcBorders>
            <w:vAlign w:val="center"/>
          </w:tcPr>
          <w:p w14:paraId="2933A626"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1078" w:type="dxa"/>
            <w:tcBorders>
              <w:left w:val="nil"/>
              <w:bottom w:val="nil"/>
              <w:right w:val="nil"/>
            </w:tcBorders>
            <w:vAlign w:val="center"/>
          </w:tcPr>
          <w:p w14:paraId="3D79B7DA"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0.2</w:t>
            </w:r>
          </w:p>
        </w:tc>
        <w:tc>
          <w:tcPr>
            <w:tcW w:w="1078" w:type="dxa"/>
            <w:tcBorders>
              <w:left w:val="nil"/>
              <w:bottom w:val="nil"/>
              <w:right w:val="nil"/>
            </w:tcBorders>
            <w:vAlign w:val="center"/>
          </w:tcPr>
          <w:p w14:paraId="018EFAF1"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0.04</w:t>
            </w:r>
          </w:p>
        </w:tc>
        <w:tc>
          <w:tcPr>
            <w:tcW w:w="1078" w:type="dxa"/>
            <w:gridSpan w:val="2"/>
            <w:tcBorders>
              <w:left w:val="nil"/>
              <w:bottom w:val="nil"/>
              <w:right w:val="nil"/>
            </w:tcBorders>
            <w:vAlign w:val="center"/>
          </w:tcPr>
          <w:p w14:paraId="653DB3BC"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50.6</w:t>
            </w:r>
          </w:p>
        </w:tc>
        <w:tc>
          <w:tcPr>
            <w:tcW w:w="1728" w:type="dxa"/>
            <w:tcBorders>
              <w:left w:val="nil"/>
              <w:bottom w:val="nil"/>
              <w:right w:val="nil"/>
            </w:tcBorders>
            <w:vAlign w:val="center"/>
          </w:tcPr>
          <w:p w14:paraId="0B251861"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2.1</w:t>
            </w:r>
          </w:p>
        </w:tc>
      </w:tr>
      <w:tr w:rsidR="007E4AF6" w:rsidRPr="001A5452" w14:paraId="6A5EFD58" w14:textId="77777777" w:rsidTr="00314423">
        <w:tc>
          <w:tcPr>
            <w:tcW w:w="2384" w:type="dxa"/>
            <w:tcBorders>
              <w:top w:val="nil"/>
              <w:left w:val="nil"/>
              <w:bottom w:val="nil"/>
              <w:right w:val="nil"/>
            </w:tcBorders>
            <w:vAlign w:val="center"/>
          </w:tcPr>
          <w:p w14:paraId="0BB58C2C"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UPR/rGO1.32</w:t>
            </w:r>
          </w:p>
        </w:tc>
        <w:tc>
          <w:tcPr>
            <w:tcW w:w="1021" w:type="dxa"/>
            <w:tcBorders>
              <w:top w:val="nil"/>
              <w:left w:val="nil"/>
              <w:bottom w:val="nil"/>
              <w:right w:val="nil"/>
            </w:tcBorders>
            <w:vAlign w:val="center"/>
          </w:tcPr>
          <w:p w14:paraId="4ECF1CF8"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1078" w:type="dxa"/>
            <w:tcBorders>
              <w:top w:val="nil"/>
              <w:left w:val="nil"/>
              <w:bottom w:val="nil"/>
              <w:right w:val="nil"/>
            </w:tcBorders>
            <w:vAlign w:val="center"/>
          </w:tcPr>
          <w:p w14:paraId="7A973DA4"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1078" w:type="dxa"/>
            <w:tcBorders>
              <w:top w:val="nil"/>
              <w:left w:val="nil"/>
              <w:bottom w:val="nil"/>
              <w:right w:val="nil"/>
            </w:tcBorders>
            <w:vAlign w:val="center"/>
          </w:tcPr>
          <w:p w14:paraId="1724BDD5"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0.02</w:t>
            </w:r>
          </w:p>
        </w:tc>
        <w:tc>
          <w:tcPr>
            <w:tcW w:w="1078" w:type="dxa"/>
            <w:tcBorders>
              <w:top w:val="nil"/>
              <w:left w:val="nil"/>
              <w:bottom w:val="nil"/>
              <w:right w:val="nil"/>
            </w:tcBorders>
            <w:vAlign w:val="center"/>
          </w:tcPr>
          <w:p w14:paraId="77935497"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0.01</w:t>
            </w:r>
          </w:p>
        </w:tc>
        <w:tc>
          <w:tcPr>
            <w:tcW w:w="1078" w:type="dxa"/>
            <w:gridSpan w:val="2"/>
            <w:tcBorders>
              <w:top w:val="nil"/>
              <w:left w:val="nil"/>
              <w:bottom w:val="nil"/>
              <w:right w:val="nil"/>
            </w:tcBorders>
            <w:vAlign w:val="center"/>
          </w:tcPr>
          <w:p w14:paraId="6A21183E"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33.7</w:t>
            </w:r>
          </w:p>
        </w:tc>
        <w:tc>
          <w:tcPr>
            <w:tcW w:w="1728" w:type="dxa"/>
            <w:tcBorders>
              <w:top w:val="nil"/>
              <w:left w:val="nil"/>
              <w:bottom w:val="nil"/>
              <w:right w:val="nil"/>
            </w:tcBorders>
            <w:vAlign w:val="center"/>
          </w:tcPr>
          <w:p w14:paraId="12ABF83D"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12.8</w:t>
            </w:r>
          </w:p>
        </w:tc>
      </w:tr>
      <w:tr w:rsidR="007E4AF6" w:rsidRPr="001A5452" w14:paraId="534AB0D4" w14:textId="77777777" w:rsidTr="00314423">
        <w:tc>
          <w:tcPr>
            <w:tcW w:w="2384" w:type="dxa"/>
            <w:tcBorders>
              <w:top w:val="nil"/>
              <w:left w:val="nil"/>
              <w:bottom w:val="nil"/>
              <w:right w:val="nil"/>
            </w:tcBorders>
            <w:vAlign w:val="center"/>
          </w:tcPr>
          <w:p w14:paraId="592A1A38" w14:textId="77777777" w:rsidR="007E4AF6" w:rsidRPr="001A5452" w:rsidRDefault="007E4AF6" w:rsidP="00C1080E">
            <w:pPr>
              <w:spacing w:line="360" w:lineRule="auto"/>
              <w:rPr>
                <w:rFonts w:ascii="Times New Roman" w:hAnsi="Times New Roman" w:cs="Times New Roman"/>
                <w:sz w:val="24"/>
                <w:szCs w:val="24"/>
              </w:rPr>
            </w:pPr>
            <w:r w:rsidRPr="001A5452">
              <w:rPr>
                <w:rFonts w:ascii="Times New Roman" w:hAnsi="Times New Roman" w:cs="Times New Roman"/>
                <w:sz w:val="24"/>
                <w:szCs w:val="24"/>
              </w:rPr>
              <w:t>UPR/rGO1.32(DMF)</w:t>
            </w:r>
          </w:p>
        </w:tc>
        <w:tc>
          <w:tcPr>
            <w:tcW w:w="1021" w:type="dxa"/>
            <w:tcBorders>
              <w:top w:val="nil"/>
              <w:left w:val="nil"/>
              <w:bottom w:val="nil"/>
              <w:right w:val="nil"/>
            </w:tcBorders>
            <w:vAlign w:val="center"/>
          </w:tcPr>
          <w:p w14:paraId="3F3CBCD9"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1078" w:type="dxa"/>
            <w:tcBorders>
              <w:top w:val="nil"/>
              <w:left w:val="nil"/>
              <w:bottom w:val="nil"/>
              <w:right w:val="nil"/>
            </w:tcBorders>
            <w:vAlign w:val="center"/>
          </w:tcPr>
          <w:p w14:paraId="182596E5"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078" w:type="dxa"/>
            <w:tcBorders>
              <w:top w:val="nil"/>
              <w:left w:val="nil"/>
              <w:bottom w:val="nil"/>
              <w:right w:val="nil"/>
            </w:tcBorders>
            <w:vAlign w:val="center"/>
          </w:tcPr>
          <w:p w14:paraId="751A7C4C"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0.2</w:t>
            </w:r>
          </w:p>
        </w:tc>
        <w:tc>
          <w:tcPr>
            <w:tcW w:w="1078" w:type="dxa"/>
            <w:tcBorders>
              <w:top w:val="nil"/>
              <w:left w:val="nil"/>
              <w:bottom w:val="nil"/>
              <w:right w:val="nil"/>
            </w:tcBorders>
            <w:vAlign w:val="center"/>
          </w:tcPr>
          <w:p w14:paraId="141F56CA"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0.02</w:t>
            </w:r>
          </w:p>
        </w:tc>
        <w:tc>
          <w:tcPr>
            <w:tcW w:w="1078" w:type="dxa"/>
            <w:gridSpan w:val="2"/>
            <w:tcBorders>
              <w:top w:val="nil"/>
              <w:left w:val="nil"/>
              <w:bottom w:val="nil"/>
              <w:right w:val="nil"/>
            </w:tcBorders>
            <w:vAlign w:val="center"/>
          </w:tcPr>
          <w:p w14:paraId="11513B82"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45.0</w:t>
            </w:r>
          </w:p>
        </w:tc>
        <w:tc>
          <w:tcPr>
            <w:tcW w:w="1728" w:type="dxa"/>
            <w:tcBorders>
              <w:top w:val="nil"/>
              <w:left w:val="nil"/>
              <w:bottom w:val="nil"/>
              <w:right w:val="nil"/>
            </w:tcBorders>
            <w:vAlign w:val="center"/>
          </w:tcPr>
          <w:p w14:paraId="74649F93"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8.5</w:t>
            </w:r>
          </w:p>
        </w:tc>
      </w:tr>
      <w:tr w:rsidR="007E4AF6" w:rsidRPr="001A5452" w14:paraId="221F0B57" w14:textId="77777777" w:rsidTr="00314423">
        <w:tc>
          <w:tcPr>
            <w:tcW w:w="2384" w:type="dxa"/>
            <w:tcBorders>
              <w:top w:val="nil"/>
              <w:left w:val="nil"/>
              <w:bottom w:val="nil"/>
              <w:right w:val="nil"/>
            </w:tcBorders>
            <w:vAlign w:val="center"/>
          </w:tcPr>
          <w:p w14:paraId="736E9A8A"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UPR/GO0.96</w:t>
            </w:r>
          </w:p>
        </w:tc>
        <w:tc>
          <w:tcPr>
            <w:tcW w:w="1021" w:type="dxa"/>
            <w:tcBorders>
              <w:top w:val="nil"/>
              <w:left w:val="nil"/>
              <w:bottom w:val="nil"/>
              <w:right w:val="nil"/>
            </w:tcBorders>
            <w:vAlign w:val="center"/>
          </w:tcPr>
          <w:p w14:paraId="752BA50D"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1078" w:type="dxa"/>
            <w:tcBorders>
              <w:top w:val="nil"/>
              <w:left w:val="nil"/>
              <w:bottom w:val="nil"/>
              <w:right w:val="nil"/>
            </w:tcBorders>
            <w:vAlign w:val="center"/>
          </w:tcPr>
          <w:p w14:paraId="2667ECEB"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078" w:type="dxa"/>
            <w:tcBorders>
              <w:top w:val="nil"/>
              <w:left w:val="nil"/>
              <w:bottom w:val="nil"/>
              <w:right w:val="nil"/>
            </w:tcBorders>
            <w:vAlign w:val="center"/>
          </w:tcPr>
          <w:p w14:paraId="7BF8BD52"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078" w:type="dxa"/>
            <w:tcBorders>
              <w:top w:val="nil"/>
              <w:left w:val="nil"/>
              <w:bottom w:val="nil"/>
              <w:right w:val="nil"/>
            </w:tcBorders>
            <w:vAlign w:val="center"/>
          </w:tcPr>
          <w:p w14:paraId="1083FDB6"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0.2</w:t>
            </w:r>
          </w:p>
        </w:tc>
        <w:tc>
          <w:tcPr>
            <w:tcW w:w="1078" w:type="dxa"/>
            <w:gridSpan w:val="2"/>
            <w:tcBorders>
              <w:top w:val="nil"/>
              <w:left w:val="nil"/>
              <w:bottom w:val="nil"/>
              <w:right w:val="nil"/>
            </w:tcBorders>
            <w:vAlign w:val="center"/>
          </w:tcPr>
          <w:p w14:paraId="32A8D99A"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63.4</w:t>
            </w:r>
          </w:p>
        </w:tc>
        <w:tc>
          <w:tcPr>
            <w:tcW w:w="1728" w:type="dxa"/>
            <w:tcBorders>
              <w:top w:val="nil"/>
              <w:left w:val="nil"/>
              <w:bottom w:val="nil"/>
              <w:right w:val="nil"/>
            </w:tcBorders>
            <w:vAlign w:val="center"/>
          </w:tcPr>
          <w:p w14:paraId="12B0C26A"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0.7</w:t>
            </w:r>
          </w:p>
        </w:tc>
      </w:tr>
      <w:tr w:rsidR="007E4AF6" w:rsidRPr="001A5452" w14:paraId="36BF848A" w14:textId="77777777" w:rsidTr="00314423">
        <w:trPr>
          <w:trHeight w:val="47"/>
        </w:trPr>
        <w:tc>
          <w:tcPr>
            <w:tcW w:w="2384" w:type="dxa"/>
            <w:tcBorders>
              <w:top w:val="nil"/>
              <w:left w:val="nil"/>
              <w:bottom w:val="nil"/>
              <w:right w:val="nil"/>
            </w:tcBorders>
            <w:vAlign w:val="center"/>
          </w:tcPr>
          <w:p w14:paraId="1C02D03D"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UPR(THF/DMF)</w:t>
            </w:r>
          </w:p>
        </w:tc>
        <w:tc>
          <w:tcPr>
            <w:tcW w:w="1021" w:type="dxa"/>
            <w:tcBorders>
              <w:top w:val="nil"/>
              <w:left w:val="nil"/>
              <w:bottom w:val="nil"/>
              <w:right w:val="nil"/>
            </w:tcBorders>
            <w:vAlign w:val="center"/>
          </w:tcPr>
          <w:p w14:paraId="32FB8083"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078" w:type="dxa"/>
            <w:tcBorders>
              <w:top w:val="nil"/>
              <w:left w:val="nil"/>
              <w:bottom w:val="nil"/>
              <w:right w:val="nil"/>
            </w:tcBorders>
            <w:vAlign w:val="center"/>
          </w:tcPr>
          <w:p w14:paraId="757DFEF3"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1078" w:type="dxa"/>
            <w:tcBorders>
              <w:top w:val="nil"/>
              <w:left w:val="nil"/>
              <w:bottom w:val="nil"/>
              <w:right w:val="nil"/>
            </w:tcBorders>
            <w:vAlign w:val="center"/>
          </w:tcPr>
          <w:p w14:paraId="7DAA968D"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0.9</w:t>
            </w:r>
          </w:p>
        </w:tc>
        <w:tc>
          <w:tcPr>
            <w:tcW w:w="1078" w:type="dxa"/>
            <w:tcBorders>
              <w:top w:val="nil"/>
              <w:left w:val="nil"/>
              <w:bottom w:val="nil"/>
              <w:right w:val="nil"/>
            </w:tcBorders>
            <w:vAlign w:val="center"/>
          </w:tcPr>
          <w:p w14:paraId="145E9D2E"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0.13</w:t>
            </w:r>
          </w:p>
        </w:tc>
        <w:tc>
          <w:tcPr>
            <w:tcW w:w="1078" w:type="dxa"/>
            <w:gridSpan w:val="2"/>
            <w:tcBorders>
              <w:top w:val="nil"/>
              <w:left w:val="nil"/>
              <w:bottom w:val="nil"/>
              <w:right w:val="nil"/>
            </w:tcBorders>
            <w:vAlign w:val="center"/>
          </w:tcPr>
          <w:p w14:paraId="0CC0AE3A"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66.4</w:t>
            </w:r>
          </w:p>
        </w:tc>
        <w:tc>
          <w:tcPr>
            <w:tcW w:w="1728" w:type="dxa"/>
            <w:tcBorders>
              <w:top w:val="nil"/>
              <w:left w:val="nil"/>
              <w:bottom w:val="nil"/>
              <w:right w:val="nil"/>
            </w:tcBorders>
            <w:vAlign w:val="center"/>
          </w:tcPr>
          <w:p w14:paraId="56E8A99B"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w:t>
            </w:r>
          </w:p>
        </w:tc>
      </w:tr>
      <w:tr w:rsidR="007E4AF6" w:rsidRPr="001A5452" w14:paraId="6272B97F" w14:textId="77777777" w:rsidTr="00314423">
        <w:trPr>
          <w:trHeight w:val="47"/>
        </w:trPr>
        <w:tc>
          <w:tcPr>
            <w:tcW w:w="2384" w:type="dxa"/>
            <w:tcBorders>
              <w:top w:val="nil"/>
              <w:left w:val="nil"/>
              <w:right w:val="nil"/>
            </w:tcBorders>
            <w:vAlign w:val="center"/>
          </w:tcPr>
          <w:p w14:paraId="6C4C64D1"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UPR</w:t>
            </w:r>
          </w:p>
        </w:tc>
        <w:tc>
          <w:tcPr>
            <w:tcW w:w="1021" w:type="dxa"/>
            <w:tcBorders>
              <w:top w:val="nil"/>
              <w:left w:val="nil"/>
              <w:right w:val="nil"/>
            </w:tcBorders>
            <w:vAlign w:val="center"/>
          </w:tcPr>
          <w:p w14:paraId="49C49917"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1078" w:type="dxa"/>
            <w:tcBorders>
              <w:top w:val="nil"/>
              <w:left w:val="nil"/>
              <w:right w:val="nil"/>
            </w:tcBorders>
            <w:vAlign w:val="center"/>
          </w:tcPr>
          <w:p w14:paraId="1631E83E"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1078" w:type="dxa"/>
            <w:tcBorders>
              <w:top w:val="nil"/>
              <w:left w:val="nil"/>
              <w:right w:val="nil"/>
            </w:tcBorders>
            <w:vAlign w:val="center"/>
          </w:tcPr>
          <w:p w14:paraId="13A740AF" w14:textId="77777777" w:rsidR="007E4AF6" w:rsidRPr="001A5452" w:rsidRDefault="007E4AF6" w:rsidP="00C1080E">
            <w:pPr>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1078" w:type="dxa"/>
            <w:tcBorders>
              <w:top w:val="nil"/>
              <w:left w:val="nil"/>
              <w:right w:val="nil"/>
            </w:tcBorders>
            <w:vAlign w:val="center"/>
          </w:tcPr>
          <w:p w14:paraId="126928DB"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0.14</w:t>
            </w:r>
          </w:p>
        </w:tc>
        <w:tc>
          <w:tcPr>
            <w:tcW w:w="1078" w:type="dxa"/>
            <w:gridSpan w:val="2"/>
            <w:tcBorders>
              <w:top w:val="nil"/>
              <w:left w:val="nil"/>
              <w:right w:val="nil"/>
            </w:tcBorders>
            <w:vAlign w:val="center"/>
          </w:tcPr>
          <w:p w14:paraId="675124A2"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66.5</w:t>
            </w:r>
          </w:p>
        </w:tc>
        <w:tc>
          <w:tcPr>
            <w:tcW w:w="1728" w:type="dxa"/>
            <w:tcBorders>
              <w:top w:val="nil"/>
              <w:left w:val="nil"/>
              <w:right w:val="nil"/>
            </w:tcBorders>
            <w:vAlign w:val="center"/>
          </w:tcPr>
          <w:p w14:paraId="2EF75B35" w14:textId="77777777" w:rsidR="007E4AF6" w:rsidRPr="001A5452" w:rsidRDefault="007E4AF6" w:rsidP="00C1080E">
            <w:pPr>
              <w:spacing w:line="360" w:lineRule="auto"/>
              <w:jc w:val="center"/>
              <w:rPr>
                <w:rFonts w:ascii="Times New Roman" w:hAnsi="Times New Roman" w:cs="Times New Roman"/>
                <w:sz w:val="24"/>
                <w:szCs w:val="24"/>
              </w:rPr>
            </w:pPr>
            <w:r w:rsidRPr="001A5452">
              <w:rPr>
                <w:rFonts w:ascii="Times New Roman" w:hAnsi="Times New Roman" w:cs="Times New Roman"/>
                <w:sz w:val="24"/>
                <w:szCs w:val="24"/>
              </w:rPr>
              <w:t>-</w:t>
            </w:r>
          </w:p>
        </w:tc>
      </w:tr>
    </w:tbl>
    <w:p w14:paraId="664334A5" w14:textId="77777777" w:rsidR="007E4AF6" w:rsidRPr="001A5452" w:rsidRDefault="007E4AF6" w:rsidP="007E4AF6">
      <w:pPr>
        <w:spacing w:after="0" w:line="480" w:lineRule="auto"/>
        <w:rPr>
          <w:rFonts w:ascii="Times New Roman" w:hAnsi="Times New Roman" w:cs="Times New Roman"/>
          <w:sz w:val="24"/>
          <w:szCs w:val="24"/>
        </w:rPr>
      </w:pPr>
    </w:p>
    <w:p w14:paraId="3B479348" w14:textId="643221FF" w:rsidR="007E4AF6" w:rsidRPr="00684778" w:rsidRDefault="002A0AAA" w:rsidP="007E4AF6">
      <w:pPr>
        <w:pStyle w:val="Heading2"/>
        <w:spacing w:before="0"/>
        <w:rPr>
          <w:rFonts w:cs="Times New Roman"/>
          <w:szCs w:val="24"/>
        </w:rPr>
      </w:pPr>
      <w:bookmarkStart w:id="187" w:name="_Toc518823329"/>
      <w:r>
        <w:rPr>
          <w:rFonts w:cs="Times New Roman"/>
          <w:szCs w:val="24"/>
        </w:rPr>
        <w:t>5</w:t>
      </w:r>
      <w:r w:rsidR="00210BC4">
        <w:rPr>
          <w:rFonts w:cs="Times New Roman"/>
          <w:szCs w:val="24"/>
        </w:rPr>
        <w:t>.</w:t>
      </w:r>
      <w:r w:rsidR="007E4AF6" w:rsidRPr="001A5452">
        <w:rPr>
          <w:rFonts w:cs="Times New Roman"/>
          <w:szCs w:val="24"/>
        </w:rPr>
        <w:t xml:space="preserve">3.6. </w:t>
      </w:r>
      <w:r w:rsidR="007E4AF6" w:rsidRPr="00684778">
        <w:rPr>
          <w:rFonts w:cs="Times New Roman"/>
          <w:szCs w:val="24"/>
        </w:rPr>
        <w:t>The morphology of UPR, UPR/GO, and UPR/rGO composites.</w:t>
      </w:r>
      <w:bookmarkEnd w:id="187"/>
    </w:p>
    <w:p w14:paraId="43E9F5DE" w14:textId="62062C92" w:rsidR="007E4AF6" w:rsidRPr="001A5452" w:rsidRDefault="007E4AF6" w:rsidP="007E4AF6">
      <w:pPr>
        <w:spacing w:after="0" w:line="480" w:lineRule="auto"/>
        <w:jc w:val="both"/>
        <w:rPr>
          <w:rFonts w:ascii="Times New Roman" w:hAnsi="Times New Roman" w:cs="Times New Roman"/>
          <w:sz w:val="24"/>
          <w:szCs w:val="24"/>
          <w:lang w:val="en-GB"/>
        </w:rPr>
      </w:pPr>
      <w:r w:rsidRPr="00684778">
        <w:rPr>
          <w:rFonts w:ascii="Times New Roman" w:hAnsi="Times New Roman" w:cs="Times New Roman"/>
          <w:sz w:val="24"/>
          <w:szCs w:val="24"/>
        </w:rPr>
        <w:t xml:space="preserve">The fracture surface of UPR, UPR/GO, and UPR/rGO composites </w:t>
      </w:r>
      <w:r w:rsidR="006A3146" w:rsidRPr="00684778">
        <w:rPr>
          <w:rFonts w:ascii="Times New Roman" w:hAnsi="Times New Roman" w:cs="Times New Roman"/>
          <w:sz w:val="24"/>
          <w:szCs w:val="24"/>
        </w:rPr>
        <w:t xml:space="preserve">is </w:t>
      </w:r>
      <w:r w:rsidRPr="00684778">
        <w:rPr>
          <w:rFonts w:ascii="Times New Roman" w:hAnsi="Times New Roman" w:cs="Times New Roman"/>
          <w:sz w:val="24"/>
          <w:szCs w:val="24"/>
        </w:rPr>
        <w:t xml:space="preserve">investigated by SEM (Figure </w:t>
      </w:r>
      <w:r w:rsidR="002A0AAA">
        <w:rPr>
          <w:rFonts w:ascii="Times New Roman" w:hAnsi="Times New Roman" w:cs="Times New Roman"/>
          <w:sz w:val="24"/>
          <w:szCs w:val="24"/>
        </w:rPr>
        <w:t>5</w:t>
      </w:r>
      <w:r w:rsidR="00F50AC6">
        <w:rPr>
          <w:rFonts w:ascii="Times New Roman" w:hAnsi="Times New Roman" w:cs="Times New Roman"/>
          <w:sz w:val="24"/>
          <w:szCs w:val="24"/>
        </w:rPr>
        <w:t>.</w:t>
      </w:r>
      <w:r w:rsidRPr="00684778">
        <w:rPr>
          <w:rFonts w:ascii="Times New Roman" w:hAnsi="Times New Roman" w:cs="Times New Roman"/>
          <w:sz w:val="24"/>
          <w:szCs w:val="24"/>
        </w:rPr>
        <w:t xml:space="preserve">7). For neat UPR (Figure </w:t>
      </w:r>
      <w:r w:rsidR="002A0AAA">
        <w:rPr>
          <w:rFonts w:ascii="Times New Roman" w:hAnsi="Times New Roman" w:cs="Times New Roman"/>
          <w:sz w:val="24"/>
          <w:szCs w:val="24"/>
        </w:rPr>
        <w:t>5</w:t>
      </w:r>
      <w:r w:rsidR="00F50AC6">
        <w:rPr>
          <w:rFonts w:ascii="Times New Roman" w:hAnsi="Times New Roman" w:cs="Times New Roman"/>
          <w:sz w:val="24"/>
          <w:szCs w:val="24"/>
        </w:rPr>
        <w:t>.</w:t>
      </w:r>
      <w:r w:rsidRPr="00684778">
        <w:rPr>
          <w:rFonts w:ascii="Times New Roman" w:hAnsi="Times New Roman" w:cs="Times New Roman"/>
          <w:sz w:val="24"/>
          <w:szCs w:val="24"/>
        </w:rPr>
        <w:t xml:space="preserve">7 (e)), the fracture surface is flat and smooth with some stripes and debris which are the typical signs of a glassy material. There is no difference between UPR and UPR(THF/DMF), indicating that the addition of solvents doesn’t affect the fracture surface of UPR. Figure </w:t>
      </w:r>
      <w:r w:rsidR="002A0AAA">
        <w:rPr>
          <w:rFonts w:ascii="Times New Roman" w:hAnsi="Times New Roman" w:cs="Times New Roman"/>
          <w:sz w:val="24"/>
          <w:szCs w:val="24"/>
        </w:rPr>
        <w:t>5</w:t>
      </w:r>
      <w:r w:rsidR="00F50AC6">
        <w:rPr>
          <w:rFonts w:ascii="Times New Roman" w:hAnsi="Times New Roman" w:cs="Times New Roman"/>
          <w:sz w:val="24"/>
          <w:szCs w:val="24"/>
        </w:rPr>
        <w:t>.</w:t>
      </w:r>
      <w:r w:rsidRPr="00684778">
        <w:rPr>
          <w:rFonts w:ascii="Times New Roman" w:hAnsi="Times New Roman" w:cs="Times New Roman"/>
          <w:sz w:val="24"/>
          <w:szCs w:val="24"/>
        </w:rPr>
        <w:t xml:space="preserve">7(a) shows the fracture surface of UPR/rGO1.32, in which the dispersion of rGO through UPR matrix is homogeneous. Few cavities are observed, which </w:t>
      </w:r>
      <w:r w:rsidR="006A3146" w:rsidRPr="00684778">
        <w:rPr>
          <w:rFonts w:ascii="Times New Roman" w:hAnsi="Times New Roman" w:cs="Times New Roman"/>
          <w:sz w:val="24"/>
          <w:szCs w:val="24"/>
        </w:rPr>
        <w:t xml:space="preserve">is </w:t>
      </w:r>
      <w:r w:rsidRPr="00684778">
        <w:rPr>
          <w:rFonts w:ascii="Times New Roman" w:hAnsi="Times New Roman" w:cs="Times New Roman"/>
          <w:sz w:val="24"/>
          <w:szCs w:val="24"/>
        </w:rPr>
        <w:t xml:space="preserve">presumably due to the defect caused by vitamin C that is not removed after synthesis of UPR/rGO composite. Figure </w:t>
      </w:r>
      <w:r w:rsidR="002A0AAA">
        <w:rPr>
          <w:rFonts w:ascii="Times New Roman" w:hAnsi="Times New Roman" w:cs="Times New Roman"/>
          <w:sz w:val="24"/>
          <w:szCs w:val="24"/>
        </w:rPr>
        <w:t>5</w:t>
      </w:r>
      <w:r w:rsidR="00F50AC6">
        <w:rPr>
          <w:rFonts w:ascii="Times New Roman" w:hAnsi="Times New Roman" w:cs="Times New Roman"/>
          <w:sz w:val="24"/>
          <w:szCs w:val="24"/>
        </w:rPr>
        <w:t>.</w:t>
      </w:r>
      <w:r w:rsidRPr="00684778">
        <w:rPr>
          <w:rFonts w:ascii="Times New Roman" w:hAnsi="Times New Roman" w:cs="Times New Roman"/>
          <w:sz w:val="24"/>
          <w:szCs w:val="24"/>
        </w:rPr>
        <w:t xml:space="preserve">7(b), (c), and (d) show the fracture surface of UPR/rGO1.32, UPR/rGO1.32 (DMF), and UPR/GO0.96 under same magnification of 20 000. Compared to UPR/GO, the SEM images of UPR/rGO composites show much more reinforcements due to the GO or rGO contents. Moreover, few layers of GO sheets are observed in the UPR/GO0.96 composites. </w:t>
      </w:r>
      <w:r w:rsidR="00AC5013">
        <w:rPr>
          <w:rFonts w:ascii="Times New Roman" w:hAnsi="Times New Roman" w:cs="Times New Roman"/>
          <w:sz w:val="24"/>
          <w:szCs w:val="24"/>
        </w:rPr>
        <w:t>However</w:t>
      </w:r>
      <w:r w:rsidRPr="00684778">
        <w:rPr>
          <w:rFonts w:ascii="Times New Roman" w:hAnsi="Times New Roman" w:cs="Times New Roman"/>
          <w:sz w:val="24"/>
          <w:szCs w:val="24"/>
        </w:rPr>
        <w:t xml:space="preserve">, some aggregations can be seen in UPR/rGO1.32 and UPR/rGO1.32 (DMF) composites. This </w:t>
      </w:r>
      <w:r w:rsidR="006A3146" w:rsidRPr="00684778">
        <w:rPr>
          <w:rFonts w:ascii="Times New Roman" w:hAnsi="Times New Roman" w:cs="Times New Roman"/>
          <w:sz w:val="24"/>
          <w:szCs w:val="24"/>
        </w:rPr>
        <w:t xml:space="preserve">is </w:t>
      </w:r>
      <w:r w:rsidRPr="00684778">
        <w:rPr>
          <w:rFonts w:ascii="Times New Roman" w:hAnsi="Times New Roman" w:cs="Times New Roman"/>
          <w:sz w:val="24"/>
          <w:szCs w:val="24"/>
        </w:rPr>
        <w:t>presumably due to two reasons</w:t>
      </w:r>
      <w:r w:rsidRPr="00684778">
        <w:rPr>
          <w:rFonts w:ascii="Times New Roman" w:hAnsi="Times New Roman" w:cs="Times New Roman"/>
          <w:sz w:val="24"/>
          <w:szCs w:val="24"/>
          <w:lang w:val="en-GB"/>
        </w:rPr>
        <w:t>: 1) rGO tends to aggregated at higher concentration due to the van der Waals' force between rGO sheets</w:t>
      </w:r>
      <w:r w:rsidR="006A3146" w:rsidRPr="00684778">
        <w:rPr>
          <w:rFonts w:ascii="Times New Roman" w:hAnsi="Times New Roman" w:cs="Times New Roman"/>
          <w:sz w:val="24"/>
          <w:szCs w:val="24"/>
          <w:lang w:val="en-GB"/>
        </w:rPr>
        <w:t xml:space="preserve">, and </w:t>
      </w:r>
      <w:r w:rsidRPr="00684778">
        <w:rPr>
          <w:rFonts w:ascii="Times New Roman" w:hAnsi="Times New Roman" w:cs="Times New Roman"/>
          <w:sz w:val="24"/>
          <w:szCs w:val="24"/>
          <w:lang w:val="en-GB"/>
        </w:rPr>
        <w:t xml:space="preserve">2) </w:t>
      </w:r>
      <w:r w:rsidR="006A3146" w:rsidRPr="00684778">
        <w:rPr>
          <w:rFonts w:ascii="Times New Roman" w:hAnsi="Times New Roman" w:cs="Times New Roman"/>
          <w:sz w:val="24"/>
          <w:szCs w:val="24"/>
          <w:lang w:val="en-GB"/>
        </w:rPr>
        <w:t>t</w:t>
      </w:r>
      <w:r w:rsidRPr="00684778">
        <w:rPr>
          <w:rFonts w:ascii="Times New Roman" w:hAnsi="Times New Roman" w:cs="Times New Roman"/>
          <w:sz w:val="24"/>
          <w:szCs w:val="24"/>
          <w:lang w:val="en-GB"/>
        </w:rPr>
        <w:t>he removal of oxygen functional groups on GO sheets makes it easier to stack back together.</w:t>
      </w:r>
      <w:r w:rsidRPr="001A5452">
        <w:rPr>
          <w:rFonts w:ascii="Times New Roman" w:hAnsi="Times New Roman" w:cs="Times New Roman"/>
          <w:sz w:val="24"/>
          <w:szCs w:val="24"/>
          <w:lang w:val="en-GB"/>
        </w:rPr>
        <w:t xml:space="preserve"> </w:t>
      </w:r>
    </w:p>
    <w:p w14:paraId="018A0EC8" w14:textId="77777777" w:rsidR="007E4AF6" w:rsidRPr="001A5452" w:rsidRDefault="007E4AF6" w:rsidP="007E4AF6">
      <w:pPr>
        <w:spacing w:after="0" w:line="480" w:lineRule="auto"/>
        <w:rPr>
          <w:rFonts w:ascii="Times New Roman" w:hAnsi="Times New Roman" w:cs="Times New Roman"/>
          <w:sz w:val="24"/>
          <w:szCs w:val="24"/>
        </w:rPr>
      </w:pPr>
    </w:p>
    <w:p w14:paraId="2865CCEC" w14:textId="77777777" w:rsidR="007E4AF6" w:rsidRPr="001A5452" w:rsidRDefault="007E4AF6" w:rsidP="007E4AF6">
      <w:pPr>
        <w:spacing w:after="0" w:line="480" w:lineRule="auto"/>
        <w:jc w:val="center"/>
        <w:rPr>
          <w:rFonts w:ascii="Times New Roman" w:hAnsi="Times New Roman" w:cs="Times New Roman"/>
          <w:sz w:val="24"/>
          <w:szCs w:val="24"/>
        </w:rPr>
      </w:pPr>
      <w:r w:rsidRPr="001A5452">
        <w:rPr>
          <w:rFonts w:ascii="Times New Roman" w:hAnsi="Times New Roman" w:cs="Times New Roman"/>
          <w:noProof/>
          <w:sz w:val="24"/>
          <w:szCs w:val="24"/>
          <w:lang w:val="en-GB"/>
        </w:rPr>
        <w:drawing>
          <wp:inline distT="0" distB="0" distL="0" distR="0" wp14:anchorId="09DBA103" wp14:editId="4B56BCD7">
            <wp:extent cx="4629109" cy="6124417"/>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36503" cy="6134199"/>
                    </a:xfrm>
                    <a:prstGeom prst="rect">
                      <a:avLst/>
                    </a:prstGeom>
                    <a:noFill/>
                  </pic:spPr>
                </pic:pic>
              </a:graphicData>
            </a:graphic>
          </wp:inline>
        </w:drawing>
      </w:r>
    </w:p>
    <w:p w14:paraId="64735166" w14:textId="2A405D70" w:rsidR="007E4AF6" w:rsidRDefault="0020194E" w:rsidP="00EC12AF">
      <w:pPr>
        <w:pStyle w:val="Caption"/>
        <w:ind w:firstLine="0"/>
        <w:rPr>
          <w:rFonts w:cs="Times New Roman"/>
          <w:szCs w:val="24"/>
        </w:rPr>
      </w:pPr>
      <w:bookmarkStart w:id="188" w:name="_Toc518823444"/>
      <w:r>
        <w:t xml:space="preserve">Figure </w:t>
      </w:r>
      <w:r w:rsidR="002A0AAA">
        <w:t>5</w:t>
      </w:r>
      <w:r w:rsidRPr="0020194E">
        <w:t>.</w:t>
      </w:r>
      <w:r w:rsidR="00EC12AF" w:rsidRPr="0020194E">
        <w:fldChar w:fldCharType="begin"/>
      </w:r>
      <w:r w:rsidR="00EC12AF" w:rsidRPr="0020194E">
        <w:instrText xml:space="preserve"> SEQ Figure_5. \* ARABIC </w:instrText>
      </w:r>
      <w:r w:rsidR="00EC12AF" w:rsidRPr="0020194E">
        <w:fldChar w:fldCharType="separate"/>
      </w:r>
      <w:r w:rsidR="00551ED9" w:rsidRPr="0020194E">
        <w:rPr>
          <w:noProof/>
        </w:rPr>
        <w:t>7</w:t>
      </w:r>
      <w:r w:rsidR="00EC12AF" w:rsidRPr="0020194E">
        <w:fldChar w:fldCharType="end"/>
      </w:r>
      <w:r w:rsidR="007E4AF6" w:rsidRPr="0020194E">
        <w:rPr>
          <w:rFonts w:cs="Times New Roman"/>
          <w:szCs w:val="24"/>
        </w:rPr>
        <w:t>.</w:t>
      </w:r>
      <w:r w:rsidR="007E4AF6" w:rsidRPr="001A5452">
        <w:rPr>
          <w:rFonts w:cs="Times New Roman"/>
          <w:b w:val="0"/>
          <w:szCs w:val="24"/>
        </w:rPr>
        <w:t xml:space="preserve"> </w:t>
      </w:r>
      <w:r w:rsidR="007E4AF6" w:rsidRPr="001A5452">
        <w:rPr>
          <w:rFonts w:cs="Times New Roman"/>
          <w:szCs w:val="24"/>
        </w:rPr>
        <w:t>SEM images of the fracture surfaces of (a, b) UPR/rGO1.32, (c) UPR/rGO1.32 (DMF), (d) UPR/GO0.96, (e) UPR, and (f) UPR(THF/DMF)</w:t>
      </w:r>
      <w:bookmarkEnd w:id="188"/>
    </w:p>
    <w:p w14:paraId="7368A9AD" w14:textId="77777777" w:rsidR="0020194E" w:rsidRPr="0020194E" w:rsidRDefault="0020194E" w:rsidP="0020194E"/>
    <w:p w14:paraId="3706AF54" w14:textId="5A5C9252" w:rsidR="007E4AF6" w:rsidRPr="00AC5013" w:rsidRDefault="000D327D" w:rsidP="007E4AF6">
      <w:pPr>
        <w:pStyle w:val="Heading1"/>
        <w:spacing w:before="0"/>
        <w:rPr>
          <w:rFonts w:cs="Times New Roman"/>
          <w:szCs w:val="24"/>
        </w:rPr>
      </w:pPr>
      <w:bookmarkStart w:id="189" w:name="_Toc518823330"/>
      <w:r>
        <w:rPr>
          <w:rFonts w:cs="Times New Roman"/>
          <w:szCs w:val="24"/>
        </w:rPr>
        <w:t>5</w:t>
      </w:r>
      <w:r w:rsidR="00210BC4">
        <w:rPr>
          <w:rFonts w:cs="Times New Roman"/>
          <w:szCs w:val="24"/>
        </w:rPr>
        <w:t>.</w:t>
      </w:r>
      <w:r w:rsidR="007E4AF6" w:rsidRPr="001A5452">
        <w:rPr>
          <w:rFonts w:cs="Times New Roman"/>
          <w:szCs w:val="24"/>
        </w:rPr>
        <w:t xml:space="preserve">4. </w:t>
      </w:r>
      <w:r w:rsidR="007E4AF6" w:rsidRPr="00AC5013">
        <w:rPr>
          <w:rFonts w:cs="Times New Roman"/>
          <w:szCs w:val="24"/>
        </w:rPr>
        <w:t>Conclusion</w:t>
      </w:r>
      <w:bookmarkEnd w:id="189"/>
    </w:p>
    <w:p w14:paraId="5BF49AEB" w14:textId="5D3BACED" w:rsidR="0093058A" w:rsidRDefault="007E4AF6" w:rsidP="007E4AF6">
      <w:pPr>
        <w:spacing w:after="0" w:line="480" w:lineRule="auto"/>
        <w:jc w:val="both"/>
        <w:rPr>
          <w:rFonts w:ascii="Times New Roman" w:hAnsi="Times New Roman" w:cs="Times New Roman"/>
          <w:sz w:val="24"/>
          <w:szCs w:val="24"/>
        </w:rPr>
      </w:pPr>
      <w:r w:rsidRPr="00AC5013">
        <w:rPr>
          <w:rFonts w:ascii="Times New Roman" w:hAnsi="Times New Roman" w:cs="Times New Roman"/>
          <w:sz w:val="24"/>
          <w:szCs w:val="24"/>
        </w:rPr>
        <w:t xml:space="preserve">Graphene oxide (GO) was successfully reduced by L-ascorbic acid (vitamin C) at low temperature (40 </w:t>
      </w:r>
      <w:r w:rsidRPr="00AC5013">
        <w:rPr>
          <w:rFonts w:ascii="Times New Roman" w:hAnsi="Times New Roman" w:cs="Times New Roman"/>
          <w:sz w:val="24"/>
          <w:szCs w:val="24"/>
          <w:vertAlign w:val="superscript"/>
        </w:rPr>
        <w:t>o</w:t>
      </w:r>
      <w:r w:rsidRPr="00AC5013">
        <w:rPr>
          <w:rFonts w:ascii="Times New Roman" w:hAnsi="Times New Roman" w:cs="Times New Roman"/>
          <w:sz w:val="24"/>
          <w:szCs w:val="24"/>
        </w:rPr>
        <w:t xml:space="preserve">C) for 4 days. UPR/rGO films show </w:t>
      </w:r>
      <w:r w:rsidR="00214D2D">
        <w:rPr>
          <w:rFonts w:ascii="Times New Roman" w:hAnsi="Times New Roman" w:cs="Times New Roman"/>
          <w:sz w:val="24"/>
          <w:szCs w:val="24"/>
        </w:rPr>
        <w:t>that GO can enable insulating</w:t>
      </w:r>
      <w:r w:rsidR="0093058A">
        <w:rPr>
          <w:rFonts w:ascii="Times New Roman" w:hAnsi="Times New Roman" w:cs="Times New Roman"/>
          <w:sz w:val="24"/>
          <w:szCs w:val="24"/>
        </w:rPr>
        <w:t xml:space="preserve"> UPR into electrically conductive</w:t>
      </w:r>
      <w:r w:rsidR="00214D2D">
        <w:rPr>
          <w:rFonts w:ascii="Times New Roman" w:hAnsi="Times New Roman" w:cs="Times New Roman"/>
          <w:sz w:val="24"/>
          <w:szCs w:val="24"/>
        </w:rPr>
        <w:t xml:space="preserve"> by</w:t>
      </w:r>
      <w:r w:rsidR="0093058A">
        <w:rPr>
          <w:rFonts w:ascii="Times New Roman" w:hAnsi="Times New Roman" w:cs="Times New Roman"/>
          <w:sz w:val="24"/>
          <w:szCs w:val="24"/>
        </w:rPr>
        <w:t xml:space="preserve"> in one pot method. </w:t>
      </w:r>
      <w:r w:rsidRPr="00AC5013">
        <w:rPr>
          <w:rFonts w:ascii="Times New Roman" w:hAnsi="Times New Roman" w:cs="Times New Roman"/>
          <w:sz w:val="24"/>
          <w:szCs w:val="24"/>
        </w:rPr>
        <w:t>The morphology of UPR and its composites are investigated by SEM, which shows homogeneous dispersion of rGO in polymer matrix at 1.32 wt.%. However, some aggregations are observed in UPR/rGO1.32, implying that the dispersion of rGO in polymeric matrix with DMF solvent is better than that with THF/DMF solvents. This can further explain the results from thermal and dynamic mechanical properties. UPR/rGO1.32 (DMA) exhibits a higher value of electrical conductivity of 0.713 S m</w:t>
      </w:r>
      <w:r w:rsidRPr="00AC5013">
        <w:rPr>
          <w:rFonts w:ascii="Times New Roman" w:hAnsi="Times New Roman" w:cs="Times New Roman"/>
          <w:sz w:val="24"/>
          <w:szCs w:val="24"/>
          <w:vertAlign w:val="superscript"/>
        </w:rPr>
        <w:t>-1</w:t>
      </w:r>
      <w:r w:rsidRPr="00AC5013">
        <w:rPr>
          <w:rFonts w:ascii="Times New Roman" w:hAnsi="Times New Roman" w:cs="Times New Roman"/>
          <w:sz w:val="24"/>
          <w:szCs w:val="24"/>
        </w:rPr>
        <w:t xml:space="preserve">, and enhanced thermal stability with </w:t>
      </w:r>
      <w:r w:rsidR="000A3D6D" w:rsidRPr="00AC5013">
        <w:rPr>
          <w:rFonts w:ascii="Times New Roman" w:hAnsi="Times New Roman" w:cs="Times New Roman"/>
          <w:sz w:val="24"/>
          <w:szCs w:val="24"/>
        </w:rPr>
        <w:t>similar</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onset</m:t>
            </m:r>
          </m:sup>
        </m:sSubSup>
      </m:oMath>
      <w:r w:rsidRPr="00AC5013">
        <w:rPr>
          <w:rFonts w:ascii="Times New Roman" w:hAnsi="Times New Roman" w:cs="Times New Roman"/>
          <w:sz w:val="24"/>
          <w:szCs w:val="24"/>
        </w:rPr>
        <w:t xml:space="preserve">, higher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r>
          <w:rPr>
            <w:rFonts w:ascii="Cambria Math" w:hAnsi="Cambria Math" w:cs="Times New Roman"/>
            <w:sz w:val="24"/>
            <w:szCs w:val="24"/>
          </w:rPr>
          <m:t xml:space="preserve"> </m:t>
        </m:r>
      </m:oMath>
      <w:r w:rsidRPr="00AC5013">
        <w:rPr>
          <w:rFonts w:ascii="Times New Roman" w:hAnsi="Times New Roman" w:cs="Times New Roman"/>
          <w:sz w:val="24"/>
          <w:szCs w:val="24"/>
        </w:rPr>
        <w:t xml:space="preserve">(37 ºC over neat UPR), and higher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sidR="004B309F" w:rsidRPr="00AC5013">
        <w:rPr>
          <w:rFonts w:ascii="Times New Roman" w:hAnsi="Times New Roman" w:cs="Times New Roman"/>
          <w:szCs w:val="24"/>
        </w:rPr>
        <w:t xml:space="preserve"> </w:t>
      </w:r>
      <w:r w:rsidRPr="00AC5013">
        <w:rPr>
          <w:rFonts w:ascii="Times New Roman" w:hAnsi="Times New Roman" w:cs="Times New Roman"/>
          <w:sz w:val="24"/>
          <w:szCs w:val="24"/>
        </w:rPr>
        <w:t>(14 ºC over neat UPR).  Glass transition temperature (</w:t>
      </w:r>
      <w:r w:rsidRPr="00AC5013">
        <w:rPr>
          <w:rFonts w:ascii="Times New Roman" w:hAnsi="Times New Roman" w:cs="Times New Roman"/>
          <w:i/>
          <w:sz w:val="24"/>
          <w:szCs w:val="24"/>
        </w:rPr>
        <w:t>T</w:t>
      </w:r>
      <w:r w:rsidRPr="00AC5013">
        <w:rPr>
          <w:rFonts w:ascii="Times New Roman" w:hAnsi="Times New Roman" w:cs="Times New Roman"/>
          <w:i/>
          <w:sz w:val="24"/>
          <w:szCs w:val="24"/>
          <w:vertAlign w:val="subscript"/>
        </w:rPr>
        <w:t>g</w:t>
      </w:r>
      <w:r w:rsidRPr="00AC5013">
        <w:rPr>
          <w:rFonts w:ascii="Times New Roman" w:hAnsi="Times New Roman" w:cs="Times New Roman"/>
          <w:sz w:val="24"/>
          <w:szCs w:val="24"/>
        </w:rPr>
        <w:t xml:space="preserve">) decreases with the addition of reinforcements due to the reduced crosslinking density caused by the less amount of free reactive </w:t>
      </w:r>
      <w:r w:rsidR="00214D2D">
        <w:rPr>
          <w:rFonts w:ascii="Times New Roman" w:hAnsi="Times New Roman" w:cs="Times New Roman"/>
          <w:sz w:val="24"/>
          <w:szCs w:val="24"/>
        </w:rPr>
        <w:t>styrene monoers</w:t>
      </w:r>
      <w:r w:rsidRPr="00AC5013">
        <w:rPr>
          <w:rFonts w:ascii="Times New Roman" w:hAnsi="Times New Roman" w:cs="Times New Roman"/>
          <w:sz w:val="24"/>
          <w:szCs w:val="24"/>
        </w:rPr>
        <w:t xml:space="preserve"> for polymerization.</w:t>
      </w:r>
      <w:r w:rsidR="004B309F" w:rsidRPr="00AC5013">
        <w:rPr>
          <w:rFonts w:ascii="Times New Roman" w:hAnsi="Times New Roman" w:cs="Times New Roman"/>
          <w:sz w:val="24"/>
          <w:szCs w:val="24"/>
        </w:rPr>
        <w:t xml:space="preserve"> In contrast</w:t>
      </w:r>
      <w:r w:rsidRPr="00AC5013">
        <w:rPr>
          <w:rFonts w:ascii="Times New Roman" w:hAnsi="Times New Roman" w:cs="Times New Roman"/>
          <w:sz w:val="24"/>
          <w:szCs w:val="24"/>
        </w:rPr>
        <w:t xml:space="preserve">, the </w:t>
      </w:r>
      <w:r w:rsidR="00214D2D">
        <w:rPr>
          <w:rFonts w:ascii="Times New Roman" w:hAnsi="Times New Roman" w:cs="Times New Roman"/>
          <w:sz w:val="24"/>
          <w:szCs w:val="24"/>
        </w:rPr>
        <w:t>storage</w:t>
      </w:r>
      <w:r w:rsidRPr="00AC5013">
        <w:rPr>
          <w:rFonts w:ascii="Times New Roman" w:hAnsi="Times New Roman" w:cs="Times New Roman"/>
          <w:sz w:val="24"/>
          <w:szCs w:val="24"/>
        </w:rPr>
        <w:t xml:space="preserve"> modulus was enhanced with rGO due to the strong modulus of rGO, and the highest value is observed at UPR/rGO1.32(DMF). </w:t>
      </w:r>
      <w:r w:rsidR="0093058A">
        <w:rPr>
          <w:rFonts w:ascii="Times New Roman" w:hAnsi="Times New Roman" w:cs="Times New Roman"/>
          <w:sz w:val="24"/>
          <w:szCs w:val="24"/>
        </w:rPr>
        <w:t xml:space="preserve">Compared to the results from Chapter 4, UPR/rGO composites prepared by in one pot </w:t>
      </w:r>
      <w:r w:rsidR="000A3D6D">
        <w:rPr>
          <w:rFonts w:ascii="Times New Roman" w:hAnsi="Times New Roman" w:cs="Times New Roman"/>
          <w:sz w:val="24"/>
          <w:szCs w:val="24"/>
        </w:rPr>
        <w:t>method exhibit</w:t>
      </w:r>
      <w:r w:rsidR="0093058A">
        <w:rPr>
          <w:rFonts w:ascii="Times New Roman" w:hAnsi="Times New Roman" w:cs="Times New Roman"/>
          <w:sz w:val="24"/>
          <w:szCs w:val="24"/>
        </w:rPr>
        <w:t xml:space="preserve"> significant improvements on the </w:t>
      </w:r>
      <w:r w:rsidR="000A3D6D">
        <w:rPr>
          <w:rFonts w:ascii="Times New Roman" w:hAnsi="Times New Roman" w:cs="Times New Roman"/>
          <w:sz w:val="24"/>
          <w:szCs w:val="24"/>
        </w:rPr>
        <w:t>thermal stability</w:t>
      </w:r>
      <w:r w:rsidR="00214D2D">
        <w:rPr>
          <w:rFonts w:ascii="Times New Roman" w:hAnsi="Times New Roman" w:cs="Times New Roman"/>
          <w:sz w:val="24"/>
          <w:szCs w:val="24"/>
        </w:rPr>
        <w:t xml:space="preserve">. Moreover, the electrical conductivity at 0.96 wt.% is higher than that of UPR/rGO 1.0 wt.%. </w:t>
      </w:r>
      <w:r w:rsidR="000A3D6D">
        <w:rPr>
          <w:rFonts w:ascii="Times New Roman" w:hAnsi="Times New Roman" w:cs="Times New Roman"/>
          <w:sz w:val="24"/>
          <w:szCs w:val="24"/>
        </w:rPr>
        <w:t xml:space="preserve"> </w:t>
      </w:r>
    </w:p>
    <w:p w14:paraId="6E482979" w14:textId="33A697D9" w:rsidR="005E340B" w:rsidRDefault="007E4AF6" w:rsidP="00827B7B">
      <w:pPr>
        <w:spacing w:after="0" w:line="480" w:lineRule="auto"/>
        <w:ind w:firstLine="284"/>
        <w:jc w:val="both"/>
        <w:rPr>
          <w:rFonts w:ascii="Times New Roman" w:hAnsi="Times New Roman" w:cs="Times New Roman"/>
          <w:szCs w:val="24"/>
        </w:rPr>
      </w:pPr>
      <w:r w:rsidRPr="00AC5013">
        <w:rPr>
          <w:rFonts w:ascii="Times New Roman" w:hAnsi="Times New Roman" w:cs="Times New Roman"/>
          <w:sz w:val="24"/>
          <w:szCs w:val="24"/>
        </w:rPr>
        <w:t xml:space="preserve">In conclusion, UPR/rGO1.32(DMF) composites prepared in one pot method exhibit enhanced electrical conductivity, thermal stability, and dynamic storage modulus due to the good dispersion of GO and vitamin C in DMF solvent, successful reduction by vitamin C during synthesis of composite, and great interfacial interaction between GO and UPR. However, </w:t>
      </w:r>
      <w:r w:rsidR="00616A85">
        <w:rPr>
          <w:rFonts w:ascii="Times New Roman" w:hAnsi="Times New Roman" w:cs="Times New Roman"/>
          <w:sz w:val="24"/>
          <w:szCs w:val="24"/>
        </w:rPr>
        <w:t xml:space="preserve">it is hard to get </w:t>
      </w:r>
      <w:r w:rsidRPr="00AC5013">
        <w:rPr>
          <w:rFonts w:ascii="Times New Roman" w:hAnsi="Times New Roman" w:cs="Times New Roman"/>
          <w:sz w:val="24"/>
          <w:szCs w:val="24"/>
        </w:rPr>
        <w:t>samples</w:t>
      </w:r>
      <w:r w:rsidR="00616A85">
        <w:rPr>
          <w:rFonts w:ascii="Times New Roman" w:hAnsi="Times New Roman" w:cs="Times New Roman"/>
          <w:sz w:val="24"/>
          <w:szCs w:val="24"/>
        </w:rPr>
        <w:t xml:space="preserve"> with good shapes</w:t>
      </w:r>
      <w:r w:rsidRPr="00AC5013">
        <w:rPr>
          <w:rFonts w:ascii="Times New Roman" w:hAnsi="Times New Roman" w:cs="Times New Roman"/>
          <w:sz w:val="24"/>
          <w:szCs w:val="24"/>
        </w:rPr>
        <w:t xml:space="preserve"> due to the difficulties remo</w:t>
      </w:r>
      <w:r w:rsidR="00616A85">
        <w:rPr>
          <w:rFonts w:ascii="Times New Roman" w:hAnsi="Times New Roman" w:cs="Times New Roman"/>
          <w:sz w:val="24"/>
          <w:szCs w:val="24"/>
        </w:rPr>
        <w:t xml:space="preserve">val of solvents especially DMF. Moreover, the </w:t>
      </w:r>
      <w:r w:rsidR="005E340B">
        <w:rPr>
          <w:rFonts w:ascii="Times New Roman" w:hAnsi="Times New Roman" w:cs="Times New Roman"/>
          <w:sz w:val="24"/>
          <w:szCs w:val="24"/>
        </w:rPr>
        <w:t xml:space="preserve">unreacted </w:t>
      </w:r>
      <w:r w:rsidR="00616A85">
        <w:rPr>
          <w:rFonts w:ascii="Times New Roman" w:hAnsi="Times New Roman" w:cs="Times New Roman"/>
          <w:sz w:val="24"/>
          <w:szCs w:val="24"/>
        </w:rPr>
        <w:t xml:space="preserve">vitamin C </w:t>
      </w:r>
      <w:r w:rsidR="00827B7B">
        <w:rPr>
          <w:rFonts w:ascii="Times New Roman" w:hAnsi="Times New Roman" w:cs="Times New Roman"/>
          <w:sz w:val="24"/>
          <w:szCs w:val="24"/>
        </w:rPr>
        <w:t>cannot</w:t>
      </w:r>
      <w:r w:rsidR="005E340B">
        <w:rPr>
          <w:rFonts w:ascii="Times New Roman" w:hAnsi="Times New Roman" w:cs="Times New Roman"/>
          <w:sz w:val="24"/>
          <w:szCs w:val="24"/>
        </w:rPr>
        <w:t xml:space="preserve"> be removed from UPR/GO system, which would affect </w:t>
      </w:r>
      <w:r w:rsidR="005E340B" w:rsidRPr="005E340B">
        <w:rPr>
          <w:rFonts w:ascii="Times New Roman" w:hAnsi="Times New Roman" w:cs="Times New Roman"/>
          <w:i/>
          <w:sz w:val="24"/>
          <w:szCs w:val="24"/>
        </w:rPr>
        <w:t>T</w:t>
      </w:r>
      <w:r w:rsidR="005E340B" w:rsidRPr="005E340B">
        <w:rPr>
          <w:rFonts w:ascii="Times New Roman" w:hAnsi="Times New Roman" w:cs="Times New Roman"/>
          <w:i/>
          <w:sz w:val="24"/>
          <w:szCs w:val="24"/>
          <w:vertAlign w:val="subscript"/>
        </w:rPr>
        <w:t>g</w:t>
      </w:r>
      <w:r w:rsidR="005E340B" w:rsidRPr="005E340B">
        <w:rPr>
          <w:rFonts w:ascii="Times New Roman" w:hAnsi="Times New Roman" w:cs="Times New Roman"/>
          <w:i/>
          <w:sz w:val="24"/>
          <w:szCs w:val="24"/>
        </w:rPr>
        <w:t>.</w:t>
      </w:r>
      <w:r w:rsidR="005E340B">
        <w:rPr>
          <w:rFonts w:ascii="Times New Roman" w:hAnsi="Times New Roman" w:cs="Times New Roman"/>
          <w:sz w:val="24"/>
          <w:szCs w:val="24"/>
        </w:rPr>
        <w:t xml:space="preserve"> </w:t>
      </w:r>
    </w:p>
    <w:p w14:paraId="49691B81" w14:textId="0D54458F" w:rsidR="008153C4" w:rsidRPr="00E709EE" w:rsidRDefault="008153C4" w:rsidP="00E709EE">
      <w:pPr>
        <w:pStyle w:val="Heading1"/>
        <w:rPr>
          <w:sz w:val="40"/>
          <w:szCs w:val="40"/>
        </w:rPr>
      </w:pPr>
      <w:bookmarkStart w:id="190" w:name="_Toc518823331"/>
      <w:r w:rsidRPr="00E709EE">
        <w:rPr>
          <w:sz w:val="40"/>
          <w:szCs w:val="40"/>
        </w:rPr>
        <w:t>Chapter</w:t>
      </w:r>
      <w:r w:rsidR="002A0AAA">
        <w:rPr>
          <w:sz w:val="40"/>
          <w:szCs w:val="40"/>
        </w:rPr>
        <w:t xml:space="preserve"> 6</w:t>
      </w:r>
      <w:r w:rsidR="006F38AE" w:rsidRPr="00E709EE">
        <w:rPr>
          <w:sz w:val="40"/>
          <w:szCs w:val="40"/>
        </w:rPr>
        <w:t>: Synthesis and characterization of bio-based hyperbranched polyester and its nanocomposites with self-healing behavior</w:t>
      </w:r>
      <w:bookmarkEnd w:id="190"/>
    </w:p>
    <w:p w14:paraId="751A7A90" w14:textId="77777777" w:rsidR="00EC12AF" w:rsidRPr="00EC12AF" w:rsidRDefault="00EC12AF" w:rsidP="00EC12AF">
      <w:pPr>
        <w:pStyle w:val="NoSpacing"/>
      </w:pPr>
    </w:p>
    <w:p w14:paraId="359C13F8" w14:textId="3867CC63" w:rsidR="006F38AE" w:rsidRPr="001A5452" w:rsidRDefault="00880ECC" w:rsidP="00A22DC4">
      <w:pPr>
        <w:pStyle w:val="Heading1"/>
      </w:pPr>
      <w:bookmarkStart w:id="191" w:name="_Toc518823332"/>
      <w:r>
        <w:t>6</w:t>
      </w:r>
      <w:r w:rsidR="00BD1DD2">
        <w:t>.</w:t>
      </w:r>
      <w:r w:rsidR="006F38AE" w:rsidRPr="00864BFD">
        <w:t>1. Introduction</w:t>
      </w:r>
      <w:bookmarkEnd w:id="191"/>
    </w:p>
    <w:p w14:paraId="3FB6F0B4" w14:textId="24A774A8" w:rsidR="006F38AE" w:rsidRPr="001A5452"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Currently, the majority of organic chemicals and energy over the world are still derived from fossil fuels which have caused serious environmental problems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"10.1021/ef060097w", "ISBN" : "0887-0624", "ISSN" : "0887-0624", "PMID" : "25037399", "abstract" : "Conventional resources mainly fossil fuels are becoming limited because of the rapid increase in energy demand. This imbalance in energy demand and supply has placed immense pressure not only on consumer prices but also on the environment, prompting mankind to look for sustainable energy resources. Biomass is one such environmentally friendly renewable resource from which various useful chemicals and fuels can be produced. A system similar to a petroleum refinery is required to produce fuels and useful chemicals from biomass and is known as a biorefinery. Biorefineries have been categorized in three phases based on the flexibility of input, processing capabilities, and product generation. Phase I has less or no flexibility in any of the three aforementioned categories. Phase II, while having fixed input and processing capabilities, allows flexibility in product generation. Phase III allows flexibility in all the three processes and is based on the concept of high-value low-volume (HVLV) and low-value high-volume (LVHV) outputs. This paper reviews the concept of biorefinery, its types, future directions, and associated technical challenges. An approach of streamlining biorefineries with conventional refineries in producing conventional fuels is also presented. Furthermore, twelve platform chemicals that could be major outputs from an integrated biorefinery are also discussed.", "author" : [ { "dropping-particle" : "", "family" : "Fernando", "given" : "S", "non-dropping-particle" : "", "parse-names" : false, "suffix" : "" }, { "dropping-particle" : "", "family" : "Adhikari", "given" : "S", "non-dropping-particle" : "", "parse-names" : false, "suffix" : "" }, { "dropping-particle" : "", "family" : "Chandrapal", "given" : "C", "non-dropping-particle" : "", "parse-names" : false, "suffix" : "" }, { "dropping-particle" : "", "family" : "Murali", "given" : "N", "non-dropping-particle" : "", "parse-names" : false, "suffix" : "" } ], "container-title" : "Energy Fuels", "id" : "ITEM-1", "issued" : { "date-parts" : [ [ "2006" ] ] }, "page" : "1727-1737", "title" : "Biorefineries: Current Status, Challenges, and Future Direction", "type" : "article-journal", "volume" : "20" }, "uris" : [ "http://www.mendeley.com/documents/?uuid=a256e96f-b4a6-4ca0-a951-ad600c7f74df" ] }, { "id" : "ITEM-2", "itemData" : { "DOI" : "10.1016/j.ijbiomac.2015.10.040", "ISSN" : "18790003", "PMID" : "26492854", "abstract" : "A significantly growing interest is to design a new strategy for development of bio-polyesters from renewable resources due to limited fossil fuel reserves, rise of petrochemicals price and emission of green house gasses. Therefore, this review aims to present an overview on synthesis of biocompatible, biodegradable and cost effective polyesters from biomass and their prospective in different fields including packaging, coating, tissue engineering, drug delivery system and many more. Isosorbide, 2,4:3,5-di-O-methylene- d-mannitol, bicyclic diacetalyzed galactaric acid, 2,5-furandicarboxylic acid, citric, 2,3-O-methylene l-threitol, dimethyl 2,3-O-methylene l-threarate, betulin, dihydrocarvone, decalactone, pimaric acid, ricinoleic acid and sebacic acid, are some important monomers derived from biomass which are used for bio-based polyester manufacturing, consequently, replacing the petrochemical based polyesters. The last part of this review highlights some recent advances in polyester blends and composites in order to improve their properties for exceptional biomedical applications i.e. skin tissue engineering, guided bone regeneration, bone healing process, wound healing and wound acceleration.", "author" : [ { "dropping-particle" : "", "family" : "Zia", "given" : "Khalid Mahmood", "non-dropping-particle" : "", "parse-names" : false, "suffix" : "" }, { "dropping-particle" : "", "family" : "Noreen", "given" : "Aqdas", "non-dropping-particle" : "", "parse-names" : false, "suffix" : "" }, { "dropping-particle" : "", "family" : "Zuber", "given" : "Mohammad", "non-dropping-particle" : "", "parse-names" : false, "suffix" : "" }, { "dropping-particle" : "", "family" : "Tabasum", "given" : "Shazia", "non-dropping-particle" : "", "parse-names" : false, "suffix" : "" }, { "dropping-particle" : "", "family" : "Mujahid", "given" : "Mohammad", "non-dropping-particle" : "", "parse-names" : false, "suffix" : "" } ], "container-title" : "International Journal of Biological Macromolecules", "id" : "ITEM-2", "issued" : { "date-parts" : [ [ "2016" ] ] }, "page" : "1028-1040", "publisher" : "Elsevier B.V.", "title" : "Recent developments and future prospects on bio-based polyesters derived from renewable resources: A review", "type" : "article-journal", "volume" : "82" }, "uris" : [ "http://www.mendeley.com/documents/?uuid=6dfd969a-cb3e-4898-afc0-39552f4de086" ] } ], "mendeley" : { "formattedCitation" : "[226,227]", "plainTextFormattedCitation" : "[226,227]", "previouslyFormattedCitation" : "[226,227]"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[226,227]</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In order to solve this issue, scientists have been</w:t>
      </w:r>
      <w:r w:rsidRPr="001A5452">
        <w:rPr>
          <w:rFonts w:ascii="Times New Roman" w:eastAsia="DengXian" w:hAnsi="Times New Roman" w:cs="Times New Roman"/>
        </w:rPr>
        <w:t xml:space="preserve"> </w:t>
      </w:r>
      <w:r w:rsidRPr="001A5452">
        <w:rPr>
          <w:rFonts w:ascii="Times New Roman" w:eastAsia="DengXian" w:hAnsi="Times New Roman" w:cs="Times New Roman"/>
          <w:sz w:val="24"/>
          <w:szCs w:val="24"/>
        </w:rPr>
        <w:t>diligently looking for renewable candidates to replace/reduce the consumptions of the conventional fossil resources. Bio-based polymers are the products derived from renewable resources, namely biomass, such as plants, agricultural food, animal wastes, sugar</w:t>
      </w:r>
      <w:r w:rsidR="00296463">
        <w:rPr>
          <w:rFonts w:ascii="Times New Roman" w:eastAsia="DengXian" w:hAnsi="Times New Roman" w:cs="Times New Roman"/>
          <w:sz w:val="24"/>
          <w:szCs w:val="24"/>
        </w:rPr>
        <w:t xml:space="preserve"> and</w:t>
      </w:r>
      <w:r w:rsidRPr="001A5452">
        <w:rPr>
          <w:rFonts w:ascii="Times New Roman" w:eastAsia="DengXian" w:hAnsi="Times New Roman" w:cs="Times New Roman"/>
          <w:sz w:val="24"/>
          <w:szCs w:val="24"/>
        </w:rPr>
        <w:t xml:space="preserve"> trees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"10.1016/j.rser.2014.08.075", "ISBN" : "4322251730", "ISSN" : "13640321", "PMID" : "25037399", "abstract" : "Availability of cost-competitive biomass conversion technologies plays crucial role for successful realization of biorefinery for sustainable production of fuels and organic chemicals from biomass. The present article provides an outline of opportunities and socio-techno-economic challenges of various biomass processing technologies. The biomass processing technologies were classified into three broad categories: thermochemical, chemical and biochemical. This review article presents an overview of two potential thermochemical conversion processes, gasification and fast pyrolysis, for direct conversion of lignocellulosic biomass. The article further provides a brief review of chemical conversion of triglycerides by transesterification with methanol for production of biodiesel. The highly productive microalgae as an abundant source of triglycerides for biodiesel and various other fuels products were also reviewed. The present article also provides an outline of various steps involved in biochemical conversion of carbohydrates to alcoholic bio-fuels, bio-ethanol and bio-butanols and conversion of natures most abundant aromatic polymer, lignin, to value-added fuels and chemicals. Furthermore, an overview of production of hydrocarbon fuels through various biomass processing technologies such as hydrodeoxygenation of triglycerides, biosynthetic pathways and aqueous phase catalysis in hydrocarbon biorefinery were highlighted. The present article additionally provides economic comparisons of various biomass conversion technologies.", "author" : [ { "dropping-particle" : "", "family" : "Maity", "given" : "Sunil K.", "non-dropping-particle" : "", "parse-names" : false, "suffix" : "" } ], "container-title" : "Renewable and Sustainable Energy Reviews", "id" : "ITEM-1", "issued" : { "date-parts" : [ [ "2015" ] ] }, "page" : "1446-1466", "publisher" : "Elsevier", "title" : "Opportunities, recent trends and challenges of integrated biorefinery: Part II", "type" : "article-journal", "volume" : "43" }, "uris" : [ "http://www.mendeley.com/documents/?uuid=adb3ed0e-5f09-4a0c-80a2-5c3777557e9f" ] }, { "id" : "ITEM-2", "itemData" : { "DOI" : "10.1016/j.ijbiomac.2015.10.040", "ISSN" : "18790003", "PMID" : "26492854", "abstract" : "A significantly growing interest is to design a new strategy for development of bio-polyesters from renewable resources due to limited fossil fuel reserves, rise of petrochemicals price and emission of green house gasses. Therefore, this review aims to present an overview on synthesis of biocompatible, biodegradable and cost effective polyesters from biomass and their prospective in different fields including packaging, coating, tissue engineering, drug delivery system and many more. Isosorbide, 2,4:3,5-di-O-methylene- d-mannitol, bicyclic diacetalyzed galactaric acid, 2,5-furandicarboxylic acid, citric, 2,3-O-methylene l-threitol, dimethyl 2,3-O-methylene l-threarate, betulin, dihydrocarvone, decalactone, pimaric acid, ricinoleic acid and sebacic acid, are some important monomers derived from biomass which are used for bio-based polyester manufacturing, consequently, replacing the petrochemical based polyesters. The last part of this review highlights some recent advances in polyester blends and composites in order to improve their properties for exceptional biomedical applications i.e. skin tissue engineering, guided bone regeneration, bone healing process, wound healing and wound acceleration.", "author" : [ { "dropping-particle" : "", "family" : "Zia", "given" : "Khalid Mahmood", "non-dropping-particle" : "", "parse-names" : false, "suffix" : "" }, { "dropping-particle" : "", "family" : "Noreen", "given" : "Aqdas", "non-dropping-particle" : "", "parse-names" : false, "suffix" : "" }, { "dropping-particle" : "", "family" : "Zuber", "given" : "Mohammad", "non-dropping-particle" : "", "parse-names" : false, "suffix" : "" }, { "dropping-particle" : "", "family" : "Tabasum", "given" : "Shazia", "non-dropping-particle" : "", "parse-names" : false, "suffix" : "" }, { "dropping-particle" : "", "family" : "Mujahid", "given" : "Mohammad", "non-dropping-particle" : "", "parse-names" : false, "suffix" : "" } ], "container-title" : "International Journal of Biological Macromolecules", "id" : "ITEM-2", "issued" : { "date-parts" : [ [ "2016" ] ] }, "page" : "1028-1040", "publisher" : "Elsevier B.V.", "title" : "Recent developments and future prospects on bio-based polyesters derived from renewable resources: A review", "type" : "article-journal", "volume" : "82" }, "uris" : [ "http://www.mendeley.com/documents/?uuid=6dfd969a-cb3e-4898-afc0-39552f4de086" ] } ], "mendeley" : { "formattedCitation" : "[227,228]", "plainTextFormattedCitation" : "[227,228]", "previouslyFormattedCitation" : "[227,228]"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[227,228]</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Bio-based polymers that are able to be decomposed into H</w:t>
      </w:r>
      <w:r w:rsidRPr="001A5452">
        <w:rPr>
          <w:rFonts w:ascii="Times New Roman" w:eastAsia="DengXian" w:hAnsi="Times New Roman" w:cs="Times New Roman"/>
          <w:sz w:val="24"/>
          <w:szCs w:val="24"/>
          <w:vertAlign w:val="subscript"/>
        </w:rPr>
        <w:t>2</w:t>
      </w:r>
      <w:r w:rsidRPr="001A5452">
        <w:rPr>
          <w:rFonts w:ascii="Times New Roman" w:eastAsia="DengXian" w:hAnsi="Times New Roman" w:cs="Times New Roman"/>
          <w:sz w:val="24"/>
          <w:szCs w:val="24"/>
        </w:rPr>
        <w:t>O, CO</w:t>
      </w:r>
      <w:r w:rsidRPr="001A5452">
        <w:rPr>
          <w:rFonts w:ascii="Times New Roman" w:eastAsia="DengXian" w:hAnsi="Times New Roman" w:cs="Times New Roman"/>
          <w:sz w:val="24"/>
          <w:szCs w:val="24"/>
          <w:vertAlign w:val="subscript"/>
        </w:rPr>
        <w:t>2</w:t>
      </w:r>
      <w:r w:rsidRPr="001A5452">
        <w:rPr>
          <w:rFonts w:ascii="Times New Roman" w:eastAsia="DengXian" w:hAnsi="Times New Roman" w:cs="Times New Roman"/>
          <w:sz w:val="24"/>
          <w:szCs w:val="24"/>
        </w:rPr>
        <w:t xml:space="preserve">, and humus by bacteria or other living organisms, have been employed in biomedical and pharmaceutical applications like sutures, stents, drug delivery, and tissue engineering, </w:t>
      </w:r>
      <w:r w:rsidR="00296463">
        <w:rPr>
          <w:rFonts w:ascii="Times New Roman" w:eastAsia="DengXian" w:hAnsi="Times New Roman" w:cs="Times New Roman"/>
          <w:sz w:val="24"/>
          <w:szCs w:val="24"/>
        </w:rPr>
        <w:t>because of</w:t>
      </w:r>
      <w:r w:rsidRPr="001A5452">
        <w:rPr>
          <w:rFonts w:ascii="Times New Roman" w:eastAsia="DengXian" w:hAnsi="Times New Roman" w:cs="Times New Roman"/>
          <w:sz w:val="24"/>
          <w:szCs w:val="24"/>
        </w:rPr>
        <w:t xml:space="preserve"> their excellent biocompatible, biodegradable properties, and good mechanical properties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"10.1016/j.ijbiomac.2015.10.040", "ISSN" : "18790003", "PMID" : "26492854", "abstract" : "A significantly growing interest is to design a new strategy for development of bio-polyesters from renewable resources due to limited fossil fuel reserves, rise of petrochemicals price and emission of green house gasses. Therefore, this review aims to present an overview on synthesis of biocompatible, biodegradable and cost effective polyesters from biomass and their prospective in different fields including packaging, coating, tissue engineering, drug delivery system and many more. Isosorbide, 2,4:3,5-di-O-methylene- d-mannitol, bicyclic diacetalyzed galactaric acid, 2,5-furandicarboxylic acid, citric, 2,3-O-methylene l-threitol, dimethyl 2,3-O-methylene l-threarate, betulin, dihydrocarvone, decalactone, pimaric acid, ricinoleic acid and sebacic acid, are some important monomers derived from biomass which are used for bio-based polyester manufacturing, consequently, replacing the petrochemical based polyesters. The last part of this review highlights some recent advances in polyester blends and composites in order to improve their properties for exceptional biomedical applications i.e. skin tissue engineering, guided bone regeneration, bone healing process, wound healing and wound acceleration.", "author" : [ { "dropping-particle" : "", "family" : "Zia", "given" : "Khalid Mahmood", "non-dropping-particle" : "", "parse-names" : false, "suffix" : "" }, { "dropping-particle" : "", "family" : "Noreen", "given" : "Aqdas", "non-dropping-particle" : "", "parse-names" : false, "suffix" : "" }, { "dropping-particle" : "", "family" : "Zuber", "given" : "Mohammad", "non-dropping-particle" : "", "parse-names" : false, "suffix" : "" }, { "dropping-particle" : "", "family" : "Tabasum", "given" : "Shazia", "non-dropping-particle" : "", "parse-names" : false, "suffix" : "" }, { "dropping-particle" : "", "family" : "Mujahid", "given" : "Mohammad", "non-dropping-particle" : "", "parse-names" : false, "suffix" : "" } ], "container-title" : "International Journal of Biological Macromolecules", "id" : "ITEM-1", "issued" : { "date-parts" : [ [ "2016" ] ] }, "page" : "1028-1040", "publisher" : "Elsevier B.V.", "title" : "Recent developments and future prospects on bio-based polyesters derived from renewable resources: A review", "type" : "article-journal", "volume" : "82" }, "uris" : [ "http://www.mendeley.com/documents/?uuid=6dfd969a-cb3e-4898-afc0-39552f4de086" ] }, { "id" : "ITEM-2", "itemData" : { "DOI" : "10.1002/1521-4095(200012)12:23&lt;1841::AID-ADMA1841&gt;3.0.CO;2-E", "ISBN" : "1521-4095", "ISSN" : "09359648", "PMID" : "25246403", "abstract" : "Polylactic acid is proving to be a viable alternative to petrochemical-based,plrrsfics for many applications. It is produced from renewable resources and is biodegradable, decomposing to give H2O, CO2, and humus, the black material in soil. In addition, it has unique physical properties that make it useful in diverse applications including paper coating fibers, films, and packaging (see Figure).", "author" : [ { "dropping-particle" : "", "family" : "Drumright", "given" : "Ray E.", "non-dropping-particle" : "", "parse-names" : false, "suffix" : "" }, { "dropping-particle" : "", "family" : "Gruber", "given" : "Patrick R.", "non-dropping-particle" : "", "parse-names" : false, "suffix" : "" }, { "dropping-particle" : "", "family" : "Henton", "given" : "David E.", "non-dropping-particle" : "", "parse-names" : false, "suffix" : "" } ], "container-title" : "Advanced Materials", "id" : "ITEM-2", "issued" : { "date-parts" : [ [ "2000" ] ] }, "page" : "1841-1846", "title" : "Polylactic acid technology", "type" : "article-journal", "volume" : "12" }, "uris" : [ "http://www.mendeley.com/documents/?uuid=a9e2dad4-5f11-4e36-8a96-e90081a0eb82" ] }, { "id" : "ITEM-3", "itemData" : { "DOI" : "10.1107/S0365110X65002992", "ISBN" : "0141-3910", "ISSN" : "0891-5849", "PMID" : "17724175", "author" : [ { "dropping-particle" : "", "family" : "Lunt", "given" : "James", "non-dropping-particle" : "", "parse-names" : false, "suffix" : "" } ], "container-title" : "Polymer Degradation and Stability", "id" : "ITEM-3", "issued" : { "date-parts" : [ [ "1998" ] ] }, "page" : "145-152", "title" : "Large-scale production, properties and commercial applications of polylactic acid polymers", "type" : "article-journal", "volume" : "3910" }, "uris" : [ "http://www.mendeley.com/documents/?uuid=86b40787-5d72-4a2e-bd50-aba69c4ed0ff" ] } ], "mendeley" : { "formattedCitation" : "[227,229,230]", "plainTextFormattedCitation" : "[227,229,230]", "previouslyFormattedCitation" : "[227,229,230]"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[227,229,230]</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w:t>
      </w:r>
    </w:p>
    <w:p w14:paraId="683CFA89" w14:textId="01BE5E41" w:rsidR="006F38AE" w:rsidRPr="001A5452" w:rsidRDefault="006F38AE" w:rsidP="006F38AE">
      <w:pPr>
        <w:spacing w:after="0" w:line="480" w:lineRule="auto"/>
        <w:ind w:firstLine="360"/>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Scientists noticed that most natural tissues possess </w:t>
      </w:r>
      <w:r w:rsidRPr="001A5452">
        <w:rPr>
          <w:rFonts w:ascii="Times New Roman" w:eastAsia="DengXian" w:hAnsi="Times New Roman" w:cs="Times New Roman"/>
          <w:color w:val="000000"/>
          <w:sz w:val="24"/>
          <w:szCs w:val="24"/>
        </w:rPr>
        <w:t xml:space="preserve">healing ability </w:t>
      </w:r>
      <w:r w:rsidRPr="001A5452">
        <w:rPr>
          <w:rFonts w:ascii="Times New Roman" w:eastAsia="DengXian" w:hAnsi="Times New Roman" w:cs="Times New Roman"/>
          <w:sz w:val="24"/>
          <w:szCs w:val="24"/>
        </w:rPr>
        <w:t xml:space="preserve">upon damages. For example, a minor wound on human’s skin can be self-healed over time </w:t>
      </w:r>
      <w:r w:rsidRPr="001A5452">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"ITEM-1", "issue" : "40", "issued" : { "date-parts" : [ [ "2013" ] ] }, "page" : "5785-5790", "title" : "A rapid and efficient self-healing thermo-reversible elastomer crosslinked with graphene oxide", "type" : "article-journal", "volume" : "25" }, "uris" : [ "http://www.mendeley.com/documents/?uuid=c6119f47-655c-4db2-9140-d5126b5d384c" ] } ], "mendeley" : { "formattedCitation" : "[135]", "plainTextFormattedCitation" : "[135]", "previouslyFormattedCitation" : "[135]"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[135]</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Inspired by nature, self-healing polymers are developed based on reversible bonds, such as hydrogen bonds, п–п stacking, or certain metal–ligand coordination bonds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"10.1038/nmat2891", "ISBN" : "1476-1122", "ISSN" : "1476-1122", "PMID" : "21157495", "abstract" : "New materials that have the ability to reversibly adapt to their environment and possess a wide range of responses ranging from self-healing to mechanical work are continually emerging. These adaptive systems have the potential to revolutionize technologies such as sensors and actuators, as well as numerous biomedical applications. We will describe the emergence of a new trend in the design of adaptive materials that involves the use of reversible chemistry (both non-covalent and covalent) to programme a response that originates at the most fundamental (molecular) level. Materials that make use of this approach - structurally dynamic polymers - produce macroscopic responses from a change in the material's molecular architecture (that is, the rearrangement or reorganization of the polymer components, or polymeric aggregates). This design approach requires careful selection of the reversible/dynamic bond used in the construction of the material to control its environmental responsiveness.", "author" : [ { "dropping-particle" : "", "family" : "Wojtecki", "given" : "Rudy J.", "non-dropping-particle" : "", "parse-names" : false, "suffix" : "" }, { "dropping-particle" : "", "family" : "Meador", "given" : "Michael A.", "non-dropping-particle" : "", "parse-names" : false, "suffix" : "" }, { "dropping-particle" : "", "family" : "Rowan", "given" : "Stuart J.", "non-dropping-particle" : "", "parse-names" : false, "suffix" : "" } ], "container-title" : "Nature Materials", "id" : "ITEM-1", "issue" : "1", "issued" : { "date-parts" : [ [ "2011" ] ] }, "page" : "14-27", "publisher" : "Nature Publishing Group", "title" : "Using the dynamic bond to access macroscopically responsive structurally dynamic polymers", "type" : "article-journal", "volume" : "10" }, "uris" : [ "http://www.mendeley.com/documents/?uuid=63283832-cdcb-4618-a865-be19ef7130a3" ] } ], "mendeley" : { "formattedCitation" : "[231]", "plainTextFormattedCitation" : "[231]", "previouslyFormattedCitation" : "[231]"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[231]</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which can associate and dissociate automatically or under external stimuli such as heat or light. This unique capability could be employed for designs on the extension of materials’ lifetime, personalized electronics such as portable and wearable energy storage devices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"ITEM-1", "issue" : "40", "issued" : { "date-parts" : [ [ "2013" ] ] }, "page" : "5785-5790", "title" : "A rapid and efficient self-healing thermo-reversible elastomer crosslinked with graphene oxide", "type" : "article-journal", "volume" : "25" }, "uris" : [ "http://www.mendeley.com/documents/?uuid=c6119f47-655c-4db2-9140-d5126b5d384c" ] }, { "id" : "ITEM-2", "itemData" : { "DOI" : "10.1038/nmat2891", "ISBN" : "1476-1122", "ISSN" : "1476-1122", "PMID" : "21157495", "abstract" : "New materials that have the ability to reversibly adapt to their environment and possess a wide range of responses ranging from self-healing to mechanical work are continually emerging. These adaptive systems have the potential to revolutionize technologies such as sensors and actuators, as well as numerous biomedical applications. We will describe the emergence of a new trend in the design of adaptive materials that involves the use of reversible chemistry (both non-covalent and covalent) to programme a response that originates at the most fundamental (molecular) level. Materials that make use of this approach - structurally dynamic polymers - produce macroscopic responses from a change in the material's molecular architecture (that is, the rearrangement or reorganization of the polymer components, or polymeric aggregates). This design approach requires careful selection of the reversible/dynamic bond used in the construction of the material to control its environmental responsiveness.", "author" : [ { "dropping-particle" : "", "family" : "Wojtecki", "given" : "Rudy J.", "non-dropping-particle" : "", "parse-names" : false, "suffix" : "" }, { "dropping-particle" : "", "family" : "Meador", "given" : "Michael A.", "non-dropping-particle" : "", "parse-names" : false, "suffix" : "" }, { "dropping-particle" : "", "family" : "Rowan", "given" : "Stuart J.", "non-dropping-particle" : "", "parse-names" : false, "suffix" : "" } ], "container-title" : "Nature Materials", "id" : "ITEM-2", "issue" : "1", "issued" : { "date-parts" : [ [ "2011" ] ] }, "page" : "14-27", "publisher" : "Nature Publishing Group", "title" : "Using the dynamic bond to access macroscopically responsive structurally dynamic polymers", "type" : "article-journal", "volume" : "10" }, "uris" : [ "http://www.mendeley.com/documents/?uuid=63283832-cdcb-4618-a865-be19ef7130a3" ] }, { "id" : "ITEM-3", "itemData" : { "DOI" : "10.1038/415817a", "ISBN" : "0028-0836", "ISSN" : "0028-0836", "PMID" : "11236987", "abstract" : " Structural polymers are susceptible to damage in the form of cracks, which form deep within the structure where detection is difficult and repair is almost impossible. Cracking leads to mechanical degradation(1-3) of fibre-reinforced polymer composites; in microelectronic polymeric components it can also lead to electrical failure(4). Microcracking induced by thermal and mechanical fatigue is also a long-standing problem in polymer adhesives(5). Regardless of the application, once cracks have formed within polymeric materials, the integrity of the structure is significantly compromised. Experiments exploring the concept of self-repair have been previously reported(6-8), but the only successful crack-healing methods that have been reported so far require some form of manual intervention(10-18). Here we report a structural polymeric material with the ability to autonomically heal cracks. The material incorporates a microencapsulated healing agent that is released upon crack intrusion. Polymerization of the healing agent is then triggered by contact with an embedded catalyst, bonding the crack faces. Our fracture experiments yield as much as 75% recovery in toughness, and we expect that our approach will be applicable to other brittle materials systems (including ceramics and glasses).", "author" : [ { "dropping-particle" : "", "family" : "Bollinger", "given" : "J", "non-dropping-particle" : "", "parse-names" : false, "suffix" : "" }, { "dropping-particle" : "", "family" : "Britton", "given" : "J", "non-dropping-particle" : "", "parse-names" : false, "suffix" : "" }, { "dropping-particle" : "", "family" : "Gisin", "given" : "N", "non-dropping-particle" : "", "parse-names" : false, "suffix" : "" }, { "dropping-particle" : "", "family" : "Knight", "given" : "P", "non-dropping-particle" : "", "parse-names" : false, "suffix" : "" }, { "dropping-particle" : "", "family" : "Kwiat", "given" : "P", "non-dropping-particle" : "", "parse-names" : false, "suffix" : "" }, { "dropping-particle" : "", "family" : "Percival", "given" : "I", "non-dropping-particle" : "", "parse-names" : false, "suffix" : "" } ], "container-title" : "Nature", "id" : "ITEM-3", "issue" : "February", "issued" : { "date-parts" : [ [ "2001" ] ] }, "page" : "1804-1807", "title" : "Autonomic healing of polymer composites", "type" : "article-journal", "volume" : "409" }, "uris" : [ "http://www.mendeley.com/documents/?uuid=cc9bd8b1-290e-4a55-b88f-0f9bc99e1e1e" ] }, { "id" : "ITEM-4", "itemData" : { "DOI" : "10.1039/b711716g", "ISBN" : "1744-683X", "ISSN" : "1744-683X", "PMID" : "39749158431", "abstract" : "The ability of materials to self-heal from mechanical and thermally induced damage is explored in this paper and has significance in the field of fracture and fatigue. The history and evolution of several self-repair systems is examined including nano-beam healing elements, passive self-healing, autonomic self-healing and ballistic self-repair. Self-healing mechanisms utilized in the design of these unusual materials draw much information from the related field of polymer\u2013polymer interfaces and crack healing. The relationship of material damage to material healing is examined in a manner to provide an understanding of the kinetics and damage reversal processes necessary to impart self-healing characteristics. In self-healing systems, there are transitions from hard-to-soft matter in ballistic impact and solvent bonding and conversely, soft-to-hard matter transitions in high rate yielding materials and shear-thickening fluids. These transitions are examined in terms of a new theory of the glass transition and yielding, viz., the twinkling fractal theory of the hard-to-soft matter transition. Success in the design of self-healing materials has important consequences for material safety, product performance and enhanced fatigue lifetime.", "author" : [ { "dropping-particle" : "", "family" : "Wool", "given" : "Richard P.", "non-dropping-particle" : "", "parse-names" : false, "suffix" : "" } ], "container-title" : "Soft Matter", "id" : "ITEM-4", "issue" : "3", "issued" : { "date-parts" : [ [ "2008" ] ] }, "page" : "400-418", "title" : "Self-healing materials: a review", "type" : "article-journal", "volume" : "4" }, "uris" : [ "http://www.mendeley.com/documents/?uuid=b70e4637-6397-439a-99a8-656a861b6b7c" ] }, { "id" : "ITEM-5", "itemData" : { "DOI" : "10.1038/nchem.1314", "ISBN" : "1755-4330", "ISSN" : "1755-4330", "PMID" : "22614381", "abstract" : "The development of polymers that can spontaneously repair themselves after mechanical damage would significantly improve the safety, lifetime, energy efficiency and environmental impact of man-made materials. Most approaches to self-healing materials require the input of external energy, healing agents, solvent or plasticizer. Despite intense research in this area, the synthesis of a stiff material with intrinsic self-healing ability remains a key challenge. Here, we show a design of multiphase supramolecular thermoplastic elastomers that combine high modulus and toughness with spontaneous healing capability. The designed hydrogen-bonding brush polymers self-assemble into a hard-soft microphase-separated system, combining the enhanced stiffness and toughness of nanocomposites with the self-healing capability of dynamic supramolecular assemblies. In contrast to previous self-healing polymers, this new system spontaneously self-heals as a single-component solid material at ambient conditions, without the need for any external stimulus, healing agent, plasticizer or solvent.", "author" : [ { "dropping-particle" : "", "family" : "Chen", "given" : "Yulin", "non-dropping-particle" : "", "parse-names" : false, "suffix" : "" }, { "dropping-particle" : "", "family" : "Kushner", "given" : "Aaron M.", "non-dropping-particle" : "", "parse-names" : false, "suffix" : "" }, { "dropping-particle" : "", "family" : "Williams", "given" : "Gregory A.", "non-dropping-particle" : "", "parse-names" : false, "suffix" : "" }, { "dropping-particle" : "", "family" : "Guan", "given" : "Zhibin", "non-dropping-particle" : "", "parse-names" : false, "suffix" : "" } ], "container-title" : "Nature Chemistry", "id" : "ITEM-5", "issue" : "6", "issued" : { "date-parts" : [ [ "2012" ] ] }, "page" : "467-472", "publisher" : "Nature Publishing Group", "title" : "Multiphase design of autonomic self-healing thermoplastic elastomers", "type" : "article-journal", "volume" : "4" }, "uris" : [ "http://www.mendeley.com/documents/?uuid=9d7ddfb1-82ee-4428-8cfa-49568e00a682" ] }, { "id" : "ITEM-6", "itemData" : { "DOI" : "10.1039/b904502n", "ISBN" : "0306-0012", "ISSN" : "0306-0012", "PMID" : "20502798", "abstract" : "Given the extensive use of polymers in the modern age with applications ranging from aerospace components to microcircuitry, the ability to regain the mechanical and physical characteristics of complex pristine materials after damage is an attractive proposition. This tutorial review focusses upon the key chemical concepts that have been successfully utilised in the design of healable polymeric materials.", "author" : [ { "dropping-particle" : "", "family" : "Burattini", "given" : "Stefano", "non-dropping-particle" : "", "parse-names" : false, "suffix" : "" }, { "dropping-particle" : "", "family" : "Greenland", "given" : "Barnaby W.", "non-dropping-particle" : "", "parse-names" : false, "suffix" : "" }, { "dropping-particle" : "", "family" : "Chappell", "given" : "David", "non-dropping-particle" : "", "parse-names" : false, "suffix" : "" }, { "dropping-particle" : "", "family" : "Colquhoun", "given" : "Howard M.", "non-dropping-particle" : "", "parse-names" : false, "suffix" : "" }, { "dropping-particle" : "", "family" : "Hayes", "given" : "Wayne", "non-dropping-particle" : "", "parse-names" : false, "suffix" : "" } ], "container-title" : "Chemical Society Reviews", "id" : "ITEM-6", "issue" : "6", "issued" : { "date-parts" : [ [ "2010" ] ] }, "page" : "1973-1985", "title" : "Healable polymeric materials: a tutorial review", "type" : "article-journal", "volume" : "39" }, "uris" : [ "http://www.mendeley.com/documents/?uuid=c5148c1a-55a3-407e-8a90-390d9ae81e1b" ] }, { "id" : "ITEM-7", "itemData" : { "DOI" : "10.1038/ncomms10310", "ISBN" : "9788578110796", "ISSN" : "2041-1723", "PMID" : "26691661", "abstract" : "Superior self-healability and stretchability are critical elements for the practical wide-scale adoption of personalized electronics such as portable and wearable energy storage devices. However, the low healing efficiency of self-healable supercapacitors and the small strain of stretchable supercapacitors are fundamentally limited by conventional polyvinyl alcohol-based acidic electrolytes, which are intrinsically neither self-healable nor highly stretchable. Here we report an electrolyte comprising polyacrylic acid dual crosslinked by hydrogen bonding and vinyl hybrid silica nanoparticles, which displays all superior functions and provides a solution to the intrinsic self-healability and high stretchability problems of a supercapacitor. Supercapacitors with this electrolyte are non-autonomic self-healable, retaining the capacitance completely even after 20 cycles of breaking/healing. These supercapacitors are stretched up to 600% strain with enhanced performance using a designed facile electrode fabrication procedure.", "author" : [ { "dropping-particle" : "", "family" : "Huang", "given" : "Yan", "non-dropping-particle" : "", "parse-names" : false, "suffix" : "" }, { "dropping-particle" : "", "family" : "Zhong", "given" : "Ming", "non-dropping-particle" : "", "parse-names" : false, "suffix" : "" }, { "dropping-particle" : "", "family" : "Huang", "given" : "Yang", "non-dropping-particle" : "", "parse-names" : false, "suffix" : "" }, { "dropping-particle" : "", "family" : "Zhu", "given" : "Minshen", "non-dropping-particle" : "", "parse-names" : false, "suffix" : "" }, { "dropping-particle" : "", "family" : "Pei", "given" : "Zengxia", "non-dropping-particle" : "", "parse-names" : false, "suffix" : "" }, { "dropping-particle" : "", "family" : "Wang", "given" : "Zifeng", "non-dropping-particle" : "", "parse-names" : false, "suffix" : "" }, { "dropping-particle" : "", "family" : "Xue", "given" : "Qi", "non-dropping-particle" : "", "parse-names" : false, "suffix" : "" }, { "dropping-particle" : "", "family" : "Xie", "given" : "Xuming", "non-dropping-particle" : "", "parse-names" : false, "suffix" : "" }, { "dropping-particle" : "", "family" : "Zhi", "given" : "Chunyi", "non-dropping-particle" : "", "parse-names" : false, "suffix" : "" } ], "container-title" : "Nature Communications", "id" : "ITEM-7", "issued" : { "date-parts" : [ [ "2015" ] ] }, "page" : "1-7", "publisher" : "Nature Publishing Group", "title" : "A self-healable and highly stretchable supercapacitor based on a dual crosslinked polyelectrolyte", "type" : "article-journal", "volume" : "6" }, "uris" : [ "http://www.mendeley.com/documents/?uuid=39a9c3db-fa84-4b01-ac67-a19c02173656" ] }, { "id" : "ITEM-8", "itemData" : { "DOI" : "10.1002/adma.201503870", "ISBN" : "9781479923069", "ISSN" : "15214095", "PMID" : "26524195", "abstract" : "A photoactivated-strengthening polymer network is reported. This approach incorporates dynamic bonds into the network architecture, which enables a secondary polymerization triggered by UV light. Three attributes of this material are demonstrated, including: i) there is simultaneous photoinduced strengthening and healing after the material is severed, ii) bulk-property changes are spatially confined via photopatterning, and iii) there is permanent shape change post-irradiation.", "author" : [ { "dropping-particle" : "", "family" : "Gordon", "given" : "Melissa B.", "non-dropping-particle" : "", "parse-names" : false, "suffix" : "" }, { "dropping-particle" : "", "family" : "French", "given" : "Jonathan M.", "non-dropping-particle" : "", "parse-names" : false, "suffix" : "" }, { "dropping-particle" : "", "family" : "Wagner", "given" : "Norman J.", "non-dropping-particle" : "", "parse-names" : false, "suffix" : "" }, { "dropping-particle" : "", "family" : "Kloxin", "given" : "Christopher J.", "non-dropping-particle" : "", "parse-names" : false, "suffix" : "" } ], "container-title" : "Advanced Materials", "id" : "ITEM-8", "issue" : "48", "issued" : { "date-parts" : [ [ "2015" ] ] }, "page" : "8007-8010", "title" : "Dynamic Bonds in Covalently Crosslinked Polymer Networks for Photoactivated Strengthening and Healing", "type" : "article-journal", "volume" : "27" }, "uris" : [ "http://www.mendeley.com/documents/?uuid=7bef200a-7887-468e-91ab-f3a99212ce5e" ] }, { "id" : "ITEM-9", "itemData" : { "DOI" : "10.1126/science.1065879", "ISBN" : "1095-9203 (Electronic)\\r0036-8075 (Linking)", "ISSN" : "00368075", "PMID" : "11872836", "author" : [ { "dropping-particle" : "", "family" : "Chen, X., Matheus A. Dam, Kanji Ono, Ajit Mal, Hongbin Shen, Steven R. Nutt, Kevin Sheran", "given" : "Fred Wudl", "non-dropping-particle" : "", "parse-names" : false, "suffix" : "" } ], "container-title" : "Science", "id" : "ITEM-9", "issue" : "5560", "issued" : { "date-parts" : [ [ "2002" ] ] }, "page" : "1698-1702", "title" : "A Thermally Re-mendable Cross-Linked Polymeric Material", "type" : "article-journal", "volume" : "295" }, "uris" : [ "http://www.mendeley.com/documents/?uuid=921358c1-7412-4f83-88c8-e5e325dfdea2" ] }, { "id" : "ITEM-10", "itemData" : { "DOI" : "10.1039/B713953P", "ISBN" : "10.1039/B713953P", "ISSN" : "0959-9428", "PMID" : "37149040371", "abstract" : "Recent advances in polymer and materials chemistry have led to the development of materials that exhibit the ability to undergo repair. Depending on the structure and chemical composition of the material, the repair process can occur either as a result of external stimuli or autonomously and can be a one-time event or an indefinitely repeatable process. Several systems have been demonstrated recently in the literature; however, a larger number of polymeric systems have the potential to exhibit similar mending capability. These polymeric systems all share one property in common-reversibility, either in the polymerization process or in the cross-linking process. This Feature Article will outline the various known systems that encompass the ability to mend, either by external stimuli or autonomously. In addition, several non-reversible composite systems will be presented that exhibit one-time autonomous healing.", "author" : [ { "dropping-particle" : "", "family" : "Bergman", "given" : "Sheba D.", "non-dropping-particle" : "", "parse-names" : false, "suffix" : "" }, { "dropping-particle" : "", "family" : "Wudl", "given" : "Fred", "non-dropping-particle" : "", "parse-names" : false, "suffix" : "" } ], "container-title" : "J. Mater. Chem.", "id" : "ITEM-10", "issue" : "1", "issued" : { "date-parts" : [ [ "2008" ] ] }, "page" : "41-62", "title" : "Mendable polymers", "type" : "article-journal", "volume" : "18" }, "uris" : [ "http://www.mendeley.com/documents/?uuid=13990491-6938-4a16-95ff-0364b9db2a6d" ] } ], "mendeley" : { "formattedCitation" : "[135,137,231\u2013238]", "plainTextFormattedCitation" : "[135,137,231\u2013238]", "previouslyFormattedCitation" : "[135,137,231\u2013238]"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[135,137,231–238]</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Owing to the unique properties and chemical architecture, hyperbranched polymers can be used in many applications like rheological agents, drug carriers, self-healing devices, and energy transfer</w:t>
      </w:r>
      <w:r w:rsidR="00296463">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"10.1002/pi.2993", "ISSN" : "09598103", "author" : [ { "dropping-particle" : "", "family" : "Cao", "given" : "Hongliang", "non-dropping-particle" : "", "parse-names" : false, "suffix" : "" }, { "dropping-particle" : "", "family" : "Zheng", "given" : "Yu", "non-dropping-particle" : "", "parse-names" : false, "suffix" : "" }, { "dropping-particle" : "", "family" : "Zhou", "given" : "Jian", "non-dropping-particle" : "", "parse-names" : false, "suffix" : "" }, { "dropping-particle" : "", "family" : "Wang", "given" : "Wenxin", "non-dropping-particle" : "", "parse-names" : false, "suffix" : "" }, { "dropping-particle" : "", "family" : "Pandit", "given" : "Abhay", "non-dropping-particle" : "", "parse-names" : false, "suffix" : "" } ], "container-title" : "Polymer International", "id" : "ITEM-1", "issued" : { "date-parts" : [ [ "2011" ] ] }, "page" : "630-634", "title" : "A novel hyperbranched polyester made from aconitic acid (B3) and di(ethylene glycol) (A2)", "type" : "article-journal", "volume" : "60" }, "uris" : [ "http://www.mendeley.com/documents/?uuid=1cf7efbc-2752-4c72-a696-10ba3bfb7a61" ] }, { "id" : "ITEM-2", "itemData" : { "DOI" : "10.1126/science.8134834", "ISBN" : "0036-8075", "ISSN" : "0036-8075", "PMID" : "8134834", "abstract" : "The interaction of polymers with their environment depends largely on the functional groups they carry. Interfaces between different polymers or between polymers and other surfaces can be strengthened through the design of molecular interactions such as hydrogen bonding and through the control of polymer architecture. The placement of functional groups at polymer chain ends or in well-defined segments can determine the ultimate properties. Three-dimensional synthetic polymers such as dendrimers can be fashioned to encapsulate reactive sites or provide highly controlled surfaces and interfaces.", "author" : [ { "dropping-particle" : "", "family" : "Frechet", "given" : "J M", "non-dropping-particle" : "", "parse-names" : false, "suffix" : "" } ], "container-title" : "Science", "id" : "ITEM-2", "issue" : "5154", "issued" : { "date-parts" : [ [ "1994" ] ] }, "page" : "1710-1715", "title" : "Functional polymers and dendrimers: reactivity, molecular architecture, and interfacial energy", "type" : "article-journal", "volume" : "263" }, "uris" : [ "http://www.mendeley.com/documents/?uuid=0f21835a-929a-4a07-af09-ad4395439024" ] }, { "id" : "ITEM-3", "itemData" : { "DOI" : "10.1002/pola.10301", "ISBN" : "1099-0518", "ISSN" : "0887624X", "abstract" : "A brief historical perspective relating the discovery of dendrimers and other dendritic polymers is presented. Dendritic polymers are recognized as the fourth major class of macromolecular architecture consisting of four sub- classes, namely, (1) random hyperbranched, (2) dendrigrafts, (3) dendrons, and (4) dendrimers. The previous literature is reviewed with anecdotal events leading to implications for dendrimers in the emerging science of nanotechnology. \u00a9 2002 Wiley Periodicals, Inc. J Polym Sci Part A: Polym Chem 40: 2719\u20132728, 2002", "author" : [ { "dropping-particle" : "", "family" : "Tomalia", "given" : "Donald A.", "non-dropping-particle" : "", "parse-names" : false, "suffix" : "" }, { "dropping-particle" : "", "family" : "Fr\u00e9chet", "given" : "Jean M J", "non-dropping-particle" : "", "parse-names" : false, "suffix" : "" } ], "container-title" : "Journal of Polymer Science, Part A: Polymer Chemistry", "id" : "ITEM-3", "issue" : "16", "issued" : { "date-parts" : [ [ "2002" ] ] }, "page" : "2719-2728", "title" : "Discovery of dendrimers and dendritic polymers: A brief historical perspective", "type" : "article-journal", "volume" : "40" }, "uris" : [ "http://www.mendeley.com/documents/?uuid=f56edd62-0efd-4652-99a3-32efc865fe4d" ] } ], "mendeley" : { "formattedCitation" : "[4,109,110]", "plainTextFormattedCitation" : "[4,109,110]", "previouslyFormattedCitation" : "[4,109,110]"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[4,109,110]</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w:t>
      </w:r>
      <w:bookmarkStart w:id="192" w:name="OLE_LINK2"/>
      <w:bookmarkStart w:id="193" w:name="OLE_LINK3"/>
    </w:p>
    <w:p w14:paraId="06644F1C" w14:textId="76D1C56F" w:rsidR="006F38AE" w:rsidRPr="001A5452" w:rsidRDefault="006F38AE" w:rsidP="006F38AE">
      <w:pPr>
        <w:spacing w:after="0" w:line="480" w:lineRule="auto"/>
        <w:ind w:firstLine="360"/>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At present, bio-based hyperbranched polyesters (HBPEs) are generously synthesized by condensation polymerization of AB</w:t>
      </w:r>
      <w:r w:rsidRPr="001A5452">
        <w:rPr>
          <w:rFonts w:ascii="Times New Roman" w:eastAsia="DengXian" w:hAnsi="Times New Roman" w:cs="Times New Roman"/>
          <w:i/>
          <w:sz w:val="24"/>
          <w:szCs w:val="24"/>
          <w:vertAlign w:val="subscript"/>
        </w:rPr>
        <w:t>x</w:t>
      </w:r>
      <w:r w:rsidRPr="001A5452">
        <w:rPr>
          <w:rFonts w:ascii="Times New Roman" w:eastAsia="DengXian" w:hAnsi="Times New Roman" w:cs="Times New Roman"/>
          <w:sz w:val="24"/>
          <w:szCs w:val="24"/>
        </w:rPr>
        <w:t>-type</w:t>
      </w:r>
      <w:r w:rsidRPr="001A5452">
        <w:rPr>
          <w:rFonts w:ascii="Times New Roman" w:eastAsia="DengXian" w:hAnsi="Times New Roman" w:cs="Times New Roman"/>
          <w:i/>
          <w:sz w:val="24"/>
          <w:szCs w:val="24"/>
          <w:vertAlign w:val="subscript"/>
        </w:rPr>
        <w:t xml:space="preserve"> </w:t>
      </w:r>
      <w:r w:rsidRPr="001A5452">
        <w:rPr>
          <w:rFonts w:ascii="Times New Roman" w:eastAsia="DengXian" w:hAnsi="Times New Roman" w:cs="Times New Roman"/>
          <w:sz w:val="24"/>
          <w:szCs w:val="24"/>
        </w:rPr>
        <w:t>(</w:t>
      </w:r>
      <w:r w:rsidRPr="001A5452">
        <w:rPr>
          <w:rFonts w:ascii="Times New Roman" w:eastAsia="DengXian" w:hAnsi="Times New Roman" w:cs="Times New Roman"/>
          <w:i/>
          <w:sz w:val="24"/>
          <w:szCs w:val="24"/>
        </w:rPr>
        <w:t>x</w:t>
      </w:r>
      <w:r w:rsidRPr="001A5452">
        <w:rPr>
          <w:rFonts w:ascii="Times New Roman" w:eastAsia="DengXian" w:hAnsi="Times New Roman" w:cs="Times New Roman"/>
          <w:sz w:val="24"/>
          <w:szCs w:val="24"/>
        </w:rPr>
        <w:t xml:space="preserve"> ≥ 2) monomers </w:t>
      </w:r>
      <w:r w:rsidRPr="001A5452">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"10.1002/pi.2993", "ISSN" : "09598103", "author" : [ { "dropping-particle" : "", "family" : "Cao", "given" : "Hongliang", "non-dropping-particle" : "", "parse-names" : false, "suffix" : "" }, { "dropping-particle" : "", "family" : "Zheng", "given" : "Yu", "non-dropping-particle" : "", "parse-names" : false, "suffix" : "" }, { "dropping-particle" : "", "family" : "Zhou", "given" : "Jian", "non-dropping-particle" : "", "parse-names" : false, "suffix" : "" }, { "dropping-particle" : "", "family" : "Wang", "given" : "Wenxin", "non-dropping-particle" : "", "parse-names" : false, "suffix" : "" }, { "dropping-particle" : "", "family" : "Pandit", "given" : "Abhay", "non-dropping-particle" : "", "parse-names" : false, "suffix" : "" } ], "container-title" : "Polymer International", "id" : "ITEM-1", "issued" : { "date-parts" : [ [ "2011" ] ] }, "page" : "630-634", "title" : "A novel hyperbranched polyester made from aconitic acid (B3) and di(ethylene glycol) (A2)", "type" : "article-journal", "volume" : "60" }, "uris" : [ "http://www.mendeley.com/documents/?uuid=1cf7efbc-2752-4c72-a696-10ba3bfb7a61" ] }, { "id" : "ITEM-2", "itemData" : { "DOI" : "10.1021/ma102023a", "ISBN" : "0024-9297", "ISSN" : "00249297", "author" : [ { "dropping-particle" : "", "family" : "Xue", "given" : "Zheng", "non-dropping-particle" : "", "parse-names" : false, "suffix" : "" }, { "dropping-particle" : "", "family" : "Finke", "given" : "Aaron D.", "non-dropping-particle" : "", "parse-names" : false, "suffix" : "" }, { "dropping-particle" : "", "family" : "Moore", "given" : "Jeffrey S.", "non-dropping-particle" : "", "parse-names" : false, "suffix" : "" } ], "container-title" : "Macromolecules", "id" : "ITEM-2", "issued" : { "date-parts" : [ [ "2010" ] ] }, "page" : "9277-9282", "title" : "Synthesis of hyperbranched poly(m-phenylene)s via suzuki polycondensation of a branched AB2 monomer", "type" : "article-journal", "volume" : "43" }, "uris" : [ "http://www.mendeley.com/documents/?uuid=a643ea34-4a3b-4505-a526-37bdbd993117" ] }, { "id" : "ITEM-3", "itemData" : { "DOI" : "10.1021/ma00047a001", "ISBN" : "0024-9297", "ISSN" : "00323934", "abstract" : "Highly branched polyphenylenes were synthesized from AB1 type monomers, e.g., 3,s dibromophenylboronic acid (1A) and 3,bdihalophenyl Grignard reagents (1B and 2). Monomers 1 and 2 were polymerized by Pd(0) and Ni(I1) catalyzed aryl-aryl coupling reactions, respectively. Polymers obtained from 1 had molecular weights in the 5000-35 OOO range with polydispersities less than 1.5. They are thermally stable to 550 O C and soluble in many organic solvents. 19C NMR indicates about 70% branching efficiency. A Tg at 236 O C was observed, but the polymer was brittle and did not form films. The melt viscosity of polystyrene was reduced, and the modulus was improved as a bromo functional hyperbranched polymer was added. The bromo polymer was metalated with butyllithium. The resulting lithio polymer reacted with various electrophiles to provide polymers with other end groups which control solubility aa well as thermal properties. Some of these derivatives were used as multifunctional initiators to prepare star polymers, for example, via ring-opening polymerization of propiolactone and anionic polymerization of methyl methacrylate.", "author" : [ { "dropping-particle" : "", "family" : "Kim", "given" : "Y. H.", "non-dropping-particle" : "", "parse-names" : false, "suffix" : "" }, { "dropping-particle" : "", "family" : "Webster", "given" : "O. W.", "non-dropping-particle" : "", "parse-names" : false, "suffix" : "" } ], "container-title" : "Macromolecules", "id" : "ITEM-3", "issued" : { "date-parts" : [ [ "1992" ] ] }, "page" : "5561-5572", "title" : "Hyperbranched polyphenylenes", "type" : "article-journal", "volume" : "25" }, "uris" : [ "http://www.mendeley.com/documents/?uuid=d10e9241-7543-44cb-8b5c-1cc9fa090f68" ] }, { "id" : "ITEM-4", "itemData" : { "author" : [ { "dropping-particle" : "", "family" : "Feast", "given" : "W. James", "non-dropping-particle" : "", "parse-names" : false, "suffix" : "" }, { "dropping-particle" : "", "family" : "Stainton", "given" : "Neil M", "non-dropping-particle" : "", "parse-names" : false, "suffix" : "" }, { "dropping-particle" : "", "family" : "Station", "given" : "Neil M.", "non-dropping-particle" : "", "parse-names" : false, "suffix" : "" } ], "id" : "ITEM-4", "issue" : "3", "issued" : { "date-parts" : [ [ "1995" ] ] }, "page" : "405-411", "title" : "Synthesis, Structure and Properties of some hyperbranched polyesters", "type" : "article-journal", "volume" : "5" }, "uris" : [ "http://www.mendeley.com/documents/?uuid=340efe09-88f4-4b7b-a5a0-feb44183a71f" ] }, { "id" : "ITEM-5", "itemData" : { "DOI" : "10.1021/acs.macromol.6b00994", "ISBN" : "0024-9297", "ISSN" : "15205835", "abstract" : "This article presents the first synthesis of high-molecular-weight hyperbranched polymers (over half a million) in the homopolymerization of a polymerizable trithiocarbonate chain transfer agent (i.e., transmer). Traditional reversible additionfragmentation chain transfer (RAFT) homopolymerization of transmers that used thermal initiator as radical source has been reported to only produce hyperbranched polymers with relatively low molecular weights (&lt;= 10(4)). The first part of this study extensively varied the experimental parameters in RAFT polymerization but could only marginally improve the polymer molecular weights. It was found that the vinyl focal groups were gradually consumed during the polymerization and the radical termination reactions were mainly happening between propagating radicals and primary radicals from the thermal initiator, which failed to increase the polymer molecular weight. In the second part, a new strategy was explored that used copper catalyst to activate the alkyl trithiocarbonate to generate radicals without the use of thermal initiator. This new initiation system eliminated the presence of primary radicals and ensured radical termination reactions only happening between propagating radicals, resulting in the production of hyperbranched polymers with very high molecular weight. When a small amount of atom transfer radical polymerization (ATRP) inimer was added, the concurrent ATRP/RAFT homopolymerization of transmer achieved faster polymerization rate and produced hyperbranched polymers with both high molecular weight and high degree of branching.", "author" : [ { "dropping-particle" : "", "family" : "Wang", "given" : "Xiaofeng", "non-dropping-particle" : "", "parse-names" : false, "suffix" : "" }, { "dropping-particle" : "", "family" : "Shi", "given" : "Yi", "non-dropping-particle" : "", "parse-names" : false, "suffix" : "" }, { "dropping-particle" : "", "family" : "Graff", "given" : "Robert W.", "non-dropping-particle" : "", "parse-names" : false, "suffix" : "" }, { "dropping-particle" : "", "family" : "Cao", "given" : "Xiaosong", "non-dropping-particle" : "", "parse-names" : false, "suffix" : "" }, { "dropping-particle" : "", "family" : "Gao", "given" : "Haifeng", "non-dropping-particle" : "", "parse-names" : false, "suffix" : "" } ], "container-title" : "Macromolecules", "id" : "ITEM-5", "issue" : "17", "issued" : { "date-parts" : [ [ "2016" ] ] }, "page" : "6471-6479", "title" : "Synthesis of Hyperbranched Polymers with High Molecular Weight in the Homopolymerization of Polymerizable Trithiocarbonate Transfer Agent without Thermal Initiator", "type" : "article-journal", "volume" : "49" }, "uris" : [ "http://www.mendeley.com/documents/?uuid=30c569c6-68c8-41fb-a4cb-88bb2ca7db63" ] } ], "mendeley" : { "formattedCitation" : "[4,111\u2013114]", "plainTextFormattedCitation" : "[4,111\u2013114]", "previouslyFormattedCitation" : "[4,111\u2013114]"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[4,111–114]</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or A</w:t>
      </w:r>
      <w:r w:rsidRPr="001A5452">
        <w:rPr>
          <w:rFonts w:ascii="Times New Roman" w:eastAsia="DengXian" w:hAnsi="Times New Roman" w:cs="Times New Roman"/>
          <w:i/>
          <w:sz w:val="24"/>
          <w:szCs w:val="24"/>
          <w:vertAlign w:val="subscript"/>
        </w:rPr>
        <w:t>n</w:t>
      </w:r>
      <w:r w:rsidRPr="001A5452">
        <w:rPr>
          <w:rFonts w:ascii="Times New Roman" w:eastAsia="DengXian" w:hAnsi="Times New Roman" w:cs="Times New Roman"/>
          <w:sz w:val="24"/>
          <w:szCs w:val="24"/>
        </w:rPr>
        <w:t xml:space="preserve"> and B</w:t>
      </w:r>
      <w:r w:rsidRPr="001A5452">
        <w:rPr>
          <w:rFonts w:ascii="Times New Roman" w:eastAsia="DengXian" w:hAnsi="Times New Roman" w:cs="Times New Roman"/>
          <w:i/>
          <w:sz w:val="24"/>
          <w:szCs w:val="24"/>
          <w:vertAlign w:val="subscript"/>
        </w:rPr>
        <w:t>m</w:t>
      </w:r>
      <w:r w:rsidRPr="001A5452">
        <w:rPr>
          <w:rFonts w:ascii="Times New Roman" w:eastAsia="DengXian" w:hAnsi="Times New Roman" w:cs="Times New Roman"/>
          <w:sz w:val="24"/>
          <w:szCs w:val="24"/>
        </w:rPr>
        <w:t xml:space="preserve"> </w:t>
      </w:r>
      <w:r w:rsidR="000A3D6D">
        <w:rPr>
          <w:rFonts w:ascii="Times New Roman" w:eastAsia="DengXian" w:hAnsi="Times New Roman" w:cs="Times New Roman"/>
          <w:sz w:val="24"/>
          <w:szCs w:val="24"/>
        </w:rPr>
        <w:t>(</w:t>
      </w:r>
      <w:r w:rsidR="000A3D6D" w:rsidRPr="000A3D6D">
        <w:rPr>
          <w:rFonts w:ascii="Times New Roman" w:eastAsia="DengXian" w:hAnsi="Times New Roman" w:cs="Times New Roman"/>
          <w:i/>
          <w:sz w:val="24"/>
          <w:szCs w:val="24"/>
        </w:rPr>
        <w:t>n, m</w:t>
      </w:r>
      <w:r w:rsidR="000A3D6D">
        <w:rPr>
          <w:rFonts w:ascii="Times New Roman" w:eastAsia="DengXian" w:hAnsi="Times New Roman" w:cs="Times New Roman"/>
          <w:sz w:val="24"/>
          <w:szCs w:val="24"/>
        </w:rPr>
        <w:t xml:space="preserve"> is the number of functional groups for polymerizaiton) </w:t>
      </w:r>
      <w:r w:rsidRPr="001A5452">
        <w:rPr>
          <w:rFonts w:ascii="Times New Roman" w:eastAsia="DengXian" w:hAnsi="Times New Roman" w:cs="Times New Roman"/>
          <w:sz w:val="24"/>
          <w:szCs w:val="24"/>
        </w:rPr>
        <w:t xml:space="preserve">monomers </w:t>
      </w:r>
      <w:r w:rsidRPr="001A5452">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"10.1088/0954-0083/13/2/304", "ISBN" : "0954-0083", "ISSN" : "09540083", "abstract" : "A review with 30 refs.  Hyperbranched arom. polyamides and copolymers were prepd. by direct polycondensation in the presence of condensation agents.  Three strategies were described: (1) self-polycondensation of ABx-type monomers, (2) copolymn. of AB2 and AB monomers and (3) polymn. of A2 and B3 monomers.  The self-polycondensation of ABx monomers proceeded without gelation to form sol. powdery polymers.  The degree of branching of the hyperbranched polyamides was greatly influenced by the structure of the monomers.  Copolymn. of AB2 and AB monomers allowed control of the branching d. of the resulting polymers.  Spectroscopic measurements revealed that the copolymers were composed of five kinds of repeating units.  The good soly. and adequate soln. viscosity of the copolymers allowed the prepn. of transparent yellow films by casting the copolymer soln. onto a glass plate.  The polymn. of A2 and B3 monomers was also investigated as a novel route to prep. hyperbranched polyamides without using ABx-type monomers.  Gelation during the polymn. could be avoided by the optimization of the reaction conditions.  The structure and properties of the resulting polymers were compared with the hyperbranched polyamide prepd. from the corresponding AB2 monomer. [on SciFinder(R)]", "author" : [ { "dropping-particle" : "", "family" : "Jikei", "given" : "Mitsutoshi", "non-dropping-particle" : "", "parse-names" : false, "suffix" : "" }, { "dropping-particle" : "", "family" : "Kakimoto", "given" : "Masa-aki", "non-dropping-particle" : "", "parse-names" : false, "suffix" : "" } ], "container-title" : "High Performance Polymers", "id" : "ITEM-1", "issued" : { "date-parts" : [ [ "2001" ] ] }, "page" : "33-43", "title" : "Hyperbranched aromatic polyamides prepared by direct polycondensation", "type" : "article-journal", "volume" : "13" }, "uris" : [ "http://www.mendeley.com/documents/?uuid=a00d3bb6-0a57-44ec-b3ca-2be2ba4e9a49" ] }, { "id" : "ITEM-2", "itemData" : { "DOI" : "10.1002/pola", "ISBN" : "0887-624X", "ISSN" : "00323934", "PMID" : "269090300007", "abstract" : "Well-defined trifluoromethylated poly(phenylene oxide)s were synthesized via nucleophilic aromatic substitution (SNAr) reaction by a chain-growth polymerization manner. Poly- merization of potassium 4-fluoro-3-(trifluoromethyl)phenolate in the presence of an appropriate initiator yielded polymers with molecular weights of ?4000 and polydispersity indices of &lt;1.2, which were characterized by 1H nuclear magnetic resonance spectroscopy and gel permeation chromatography. Initiating sites for atom transfer radical polymerization (ATRP) were intro- duced at the either side of chain ends of the poly(phenylene ox- ide), and used for ATRP of styrene and methyl methacrylate, yielding well-defined rod-coil block copolymers. Differential scan- ning calorimetry study indicated that the well-defined trifluoro- methylated poly(phenylene oxide)s showed high crystallinity and were immiscible with polystyrene. V", "author" : [ { "dropping-particle" : "", "family" : "Kudo", "given" : "Hiroto", "non-dropping-particle" : "", "parse-names" : false, "suffix" : "" }, { "dropping-particle" : "", "family" : "Maruyama", "given" : "Ken", "non-dropping-particle" : "", "parse-names" : false, "suffix" : "" }, { "dropping-particle" : "", "family" : "Shindo", "given" : "Syoko", "non-dropping-particle" : "", "parse-names" : false, "suffix" : "" }, { "dropping-particle" : "", "family" : "Nishikubo", "given" : "Tadatomi", "non-dropping-particle" : "", "parse-names" : false, "suffix" : "" }, { "dropping-particle" : "", "family" : "Nishimura", "given" : "Isao", "non-dropping-particle" : "", "parse-names" : false, "suffix" : "" } ], "container-title" : "Journal of Polymer Science Part A: Polymer Chemistry", "id" : "ITEM-2", "issue" : "1", "issued" : { "date-parts" : [ [ "2006" ] ] }, "page" : "3640-3649", "title" : "Syntheses and properties of hyperbranched polybenzoxazole by thermal cyclodehydration of hyperbranched poly[o-(t-butoxycarbonyl)amide] via A2+B3 Approach", "type" : "article-journal", "volume" : "44" }, "uris" : [ "http://www.mendeley.com/documents/?uuid=b584d434-9c5f-4113-87bf-54ca8fea2f3f" ] }, { "id" : "ITEM-3", "itemData" : { "DOI" : "10.1002/1099-0518(200012)38:1+&lt;4850::AID-POLA230&gt;3.0.CO;2-G", "ISBN" : "0887-624X", "ISSN" : "0887624X", "abstract" : "Hyperbranched polymers consisting of arom. or aliph. polyether cores and epoxide chain-end peripheries were prepd. by proton transfer polymn. AB2 diepoxyphenol monomer 1 proved to be well suited for the prepn. of hyperbranched arom. polymer 2 by this proton transfer polymn. The use of chloride-ion catalysis, rather than conventional base catalysis, for the prepn. of polymers from diepoxyphenol 1 offered a unique method to control the ultimate mol. wt. of the polymer product through variations of the initial concn. of monomer 1 in THF. An alternative route to hyperbranched polyether epoxies made use of com. available or easily prepd. aliph. monomers of the types AB2, AB3, and A2 + B3. Although these aliph. polymns. can be initiated with a base, chloride-ion catalysis proved most effective for controlling the polymn. The hyperbranched epoxies were characterized by NMR spectroscopy, gel permeation chromatog., and multi-angle laser light scattering. Chem. modification of the polymers after polymn. was carried out via nucleophilic addn. on the epoxide groups or derivatization of the hydroxy substituents within the hyperbranched polymer structure. Spectroscopic measurements suggested that some such ring-opened materials may adopt reverse unimol. micellar structures in appropriate soln. environments.", "author" : [ { "dropping-particle" : "", "family" : "Emrick", "given" : "Todd", "non-dropping-particle" : "", "parse-names" : false, "suffix" : "" }, { "dropping-particle" : "", "family" : "Chang", "given" : "Han-ting", "non-dropping-particle" : "", "parse-names" : false, "suffix" : "" }, { "dropping-particle" : "", "family" : "Frechet", "given" : "Jean M J", "non-dropping-particle" : "", "parse-names" : false, "suffix" : "" } ], "container-title" : "Journal of Polymer Science Part A: Polymer Chemistry", "id" : "ITEM-3", "issued" : { "date-parts" : [ [ "2000" ] ] }, "page" : "4850-4869", "title" : "The Preparation of Hyperbranched Aromatic and Aliphatic Polyether Epoxies by Chloride-Catalyzed Proton Transfer Polymerization from ABn and A2+B3 Monomers", "type" : "article-journal", "volume" : "38" }, "uris" : [ "http://www.mendeley.com/documents/?uuid=a9db1380-0612-44b8-9f69-c1d90635536b" ] }, { "id" : "ITEM-4", "itemData" : { "DOI" : "10.1021/ma990687b", "ISBN" : "0024-9297", "ISSN" : "0024-9297", "abstract" : "Branched polyethers were prepd. by A2 + B3 polymn. approach using 1,2,7,8-diepoxyoctane as the A2 monomer and 1,1,1-tris(hydroxymethyl)ethane as the B3 monomer in the presence of tetrabutylammonium chloride catalyst. The epoxy content of the polymer increased with increasing the starting relative ratio of the diepoxide to the triol. The hyperbranched nature of the polymer was revealed by 1H-NMR spectra.", "author" : [ { "dropping-particle" : "", "family" : "Emrick", "given" : "T", "non-dropping-particle" : "", "parse-names" : false, "suffix" : "" }, { "dropping-particle" : "", "family" : "Chang", "given" : "H T", "non-dropping-particle" : "", "parse-names" : false, "suffix" : "" }, { "dropping-particle" : "", "family" : "Frechet", "given" : "J M J", "non-dropping-particle" : "", "parse-names" : false, "suffix" : "" } ], "container-title" : "Macromolecules", "id" : "ITEM-4", "issued" : { "date-parts" : [ [ "1999" ] ] }, "page" : "6380-6382", "title" : "An A2+ B3 approach to hyperbranched aliphatic polyethers containing chain end epoxy substituents", "type" : "article-journal", "volume" : "32" }, "uris" : [ "http://www.mendeley.com/documents/?uuid=b75f127e-cd9e-4942-916f-504c59253062" ] }, { "id" : "ITEM-5", "itemData" : { "DOI" : "10.1021/ma047580v", "ISSN" : "00249297", "author" : [ { "dropping-particle" : "", "family" : "Lin", "given" : "Qin", "non-dropping-particle" : "", "parse-names" : false, "suffix" : "" }, { "dropping-particle" : "", "family" : "Long", "given" : "Timothy E.", "non-dropping-particle" : "", "parse-names" : false, "suffix" : "" }, { "dropping-particle" : "", "family" : "Wu", "given" : "Decheng", "non-dropping-particle" : "", "parse-names" : false, "suffix" : "" }, { "dropping-particle" : "", "family" : "Liu", "given" : "Ye", "non-dropping-particle" : "", "parse-names" : false, "suffix" : "" }, { "dropping-particle" : "", "family" : "Chen", "given" : "Ling", "non-dropping-particle" : "", "parse-names" : false, "suffix" : "" }, { "dropping-particle" : "Bin", "family" : "He", "given" : "Chao", "non-dropping-particle" : "", "parse-names" : false, "suffix" : "" }, { "dropping-particle" : "", "family" : "Chung", "given" : "Tai Shung", "non-dropping-particle" : "", "parse-names" : false, "suffix" : "" }, { "dropping-particle" : "", "family" : "Goh", "given" : "Suat Hong", "non-dropping-particle" : "", "parse-names" : false, "suffix" : "" }, { "dropping-particle" : "", "family" : "Lin", "given" : "Qin", "non-dropping-particle" : "", "parse-names" : false, "suffix" : "" }, { "dropping-particle" : "", "family" : "Long", "given" : "Timothy E.", "non-dropping-particle" : "", "parse-names" : false, "suffix" : "" } ], "container-title" : "Macromolecules", "id" : "ITEM-5", "issued" : { "date-parts" : [ [ "2003" ] ] }, "page" : "9809-9816", "title" : "polymerization of A2 with B3 monomers: a facile approach to hyperbranched poly(aryl ester)s", "type" : "article-journal", "volume" : "36" }, "uris" : [ "http://www.mendeley.com/documents/?uuid=8f1466b8-73bc-42a2-94d6-9bc841c5a221" ] } ], "mendeley" : { "formattedCitation" : "[5,115\u2013118]", "plainTextFormattedCitation" : "[5,115\u2013118]", "previouslyFormattedCitation" : "[5,115\u2013118]"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[5,115–118]</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AB</w:t>
      </w:r>
      <w:r w:rsidRPr="001A5452">
        <w:rPr>
          <w:rFonts w:ascii="Times New Roman" w:eastAsia="DengXian" w:hAnsi="Times New Roman" w:cs="Times New Roman"/>
          <w:i/>
          <w:sz w:val="24"/>
          <w:szCs w:val="24"/>
          <w:vertAlign w:val="subscript"/>
        </w:rPr>
        <w:t>x</w:t>
      </w:r>
      <w:r w:rsidRPr="001A5452">
        <w:rPr>
          <w:rFonts w:ascii="Times New Roman" w:eastAsia="DengXian" w:hAnsi="Times New Roman" w:cs="Times New Roman"/>
          <w:sz w:val="24"/>
          <w:szCs w:val="24"/>
        </w:rPr>
        <w:t xml:space="preserve">–type monomers are very limited in the commercial industries, so there are </w:t>
      </w:r>
      <w:r w:rsidR="00296463">
        <w:rPr>
          <w:rFonts w:ascii="Times New Roman" w:eastAsia="DengXian" w:hAnsi="Times New Roman" w:cs="Times New Roman"/>
          <w:sz w:val="24"/>
          <w:szCs w:val="24"/>
        </w:rPr>
        <w:t xml:space="preserve">more </w:t>
      </w:r>
      <w:r w:rsidRPr="001A5452">
        <w:rPr>
          <w:rFonts w:ascii="Times New Roman" w:eastAsia="DengXian" w:hAnsi="Times New Roman" w:cs="Times New Roman"/>
          <w:sz w:val="24"/>
          <w:szCs w:val="24"/>
        </w:rPr>
        <w:t>works based on the copolymerization of commercial A</w:t>
      </w:r>
      <w:r w:rsidRPr="001A5452">
        <w:rPr>
          <w:rFonts w:ascii="Times New Roman" w:eastAsia="DengXian" w:hAnsi="Times New Roman" w:cs="Times New Roman"/>
          <w:i/>
          <w:sz w:val="24"/>
          <w:szCs w:val="24"/>
          <w:vertAlign w:val="subscript"/>
        </w:rPr>
        <w:t>n</w:t>
      </w:r>
      <w:r w:rsidRPr="001A5452">
        <w:rPr>
          <w:rFonts w:ascii="Times New Roman" w:eastAsia="DengXian" w:hAnsi="Times New Roman" w:cs="Times New Roman"/>
          <w:sz w:val="24"/>
          <w:szCs w:val="24"/>
        </w:rPr>
        <w:t xml:space="preserve"> and B</w:t>
      </w:r>
      <w:r w:rsidRPr="001A5452">
        <w:rPr>
          <w:rFonts w:ascii="Times New Roman" w:eastAsia="DengXian" w:hAnsi="Times New Roman" w:cs="Times New Roman"/>
          <w:i/>
          <w:sz w:val="24"/>
          <w:szCs w:val="24"/>
          <w:vertAlign w:val="subscript"/>
        </w:rPr>
        <w:t>m</w:t>
      </w:r>
      <w:r w:rsidRPr="001A5452">
        <w:rPr>
          <w:rFonts w:ascii="Times New Roman" w:eastAsia="DengXian" w:hAnsi="Times New Roman" w:cs="Times New Roman"/>
          <w:sz w:val="24"/>
          <w:szCs w:val="24"/>
        </w:rPr>
        <w:t xml:space="preserve"> monomers which are more available in the industry markets and can be used directly</w:t>
      </w:r>
      <w:r w:rsidRPr="001A5452">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"10.1088/0954-0083/13/2/304", "ISBN" : "0954-0083", "ISSN" : "09540083", "abstract" : "A review with 30 refs.  Hyperbranched arom. polyamides and copolymers were prepd. by direct polycondensation in the presence of condensation agents.  Three strategies were described: (1) self-polycondensation of ABx-type monomers, (2) copolymn. of AB2 and AB monomers and (3) polymn. of A2 and B3 monomers.  The self-polycondensation of ABx monomers proceeded without gelation to form sol. powdery polymers.  The degree of branching of the hyperbranched polyamides was greatly influenced by the structure of the monomers.  Copolymn. of AB2 and AB monomers allowed control of the branching d. of the resulting polymers.  Spectroscopic measurements revealed that the copolymers were composed of five kinds of repeating units.  The good soly. and adequate soln. viscosity of the copolymers allowed the prepn. of transparent yellow films by casting the copolymer soln. onto a glass plate.  The polymn. of A2 and B3 monomers was also investigated as a novel route to prep. hyperbranched polyamides without using ABx-type monomers.  Gelation during the polymn. could be avoided by the optimization of the reaction conditions.  The structure and properties of the resulting polymers were compared with the hyperbranched polyamide prepd. from the corresponding AB2 monomer. [on SciFinder(R)]", "author" : [ { "dropping-particle" : "", "family" : "Jikei", "given" : "Mitsutoshi", "non-dropping-particle" : "", "parse-names" : false, "suffix" : "" }, { "dropping-particle" : "", "family" : "Kakimoto", "given" : "Masa-aki", "non-dropping-particle" : "", "parse-names" : false, "suffix" : "" } ], "container-title" : "High Performance Polymers", "id" : "ITEM-1", "issued" : { "date-parts" : [ [ "2001" ] ] }, "page" : "33-43", "title" : "Hyperbranched aromatic polyamides prepared by direct polycondensation", "type" : "article-journal", "volume" : "13" }, "uris" : [ "http://www.mendeley.com/documents/?uuid=a00d3bb6-0a57-44ec-b3ca-2be2ba4e9a49" ] }, { "id" : "ITEM-2", "itemData" : { "DOI" : "10.1002/pola", "ISBN" : "0887-624X", "ISSN" : "00323934", "PMID" : "269090300007", "abstract" : "Well-defined trifluoromethylated poly(phenylene oxide)s were synthesized via nucleophilic aromatic substitution (SNAr) reaction by a chain-growth polymerization manner. Poly- merization of potassium 4-fluoro-3-(trifluoromethyl)phenolate in the presence of an appropriate initiator yielded polymers with molecular weights of ?4000 and polydispersity indices of &lt;1.2, which were characterized by 1H nuclear magnetic resonance spectroscopy and gel permeation chromatography. Initiating sites for atom transfer radical polymerization (ATRP) were intro- duced at the either side of chain ends of the poly(phenylene ox- ide), and used for ATRP of styrene and methyl methacrylate, yielding well-defined rod-coil block copolymers. Differential scan- ning calorimetry study indicated that the well-defined trifluoro- methylated poly(phenylene oxide)s showed high crystallinity and were immiscible with polystyrene. V", "author" : [ { "dropping-particle" : "", "family" : "Kudo", "given" : "Hiroto", "non-dropping-particle" : "", "parse-names" : false, "suffix" : "" }, { "dropping-particle" : "", "family" : "Maruyama", "given" : "Ken", "non-dropping-particle" : "", "parse-names" : false, "suffix" : "" }, { "dropping-particle" : "", "family" : "Shindo", "given" : "Syoko", "non-dropping-particle" : "", "parse-names" : false, "suffix" : "" }, { "dropping-particle" : "", "family" : "Nishikubo", "given" : "Tadatomi", "non-dropping-particle" : "", "parse-names" : false, "suffix" : "" }, { "dropping-particle" : "", "family" : "Nishimura", "given" : "Isao", "non-dropping-particle" : "", "parse-names" : false, "suffix" : "" } ], "container-title" : "Journal of Polymer Science Part A: Polymer Chemistry", "id" : "ITEM-2", "issue" : "1", "issued" : { "date-parts" : [ [ "2006" ] ] }, "page" : "3640-3649", "title" : "Syntheses and properties of hyperbranched polybenzoxazole by thermal cyclodehydration of hyperbranched poly[o-(t-butoxycarbonyl)amide] via A2+B3 Approach", "type" : "article-journal", "volume" : "44" }, "uris" : [ "http://www.mendeley.com/documents/?uuid=b584d434-9c5f-4113-87bf-54ca8fea2f3f" ] }, { "id" : "ITEM-3", "itemData" : { "DOI" : "10.1002/1099-0518(200012)38:1+&lt;4850::AID-POLA230&gt;3.0.CO;2-G", "ISBN" : "0887-624X", "ISSN" : "0887624X", "abstract" : "Hyperbranched polymers consisting of arom. or aliph. polyether cores and epoxide chain-end peripheries were prepd. by proton transfer polymn. AB2 diepoxyphenol monomer 1 proved to be well suited for the prepn. of hyperbranched arom. polymer 2 by this proton transfer polymn. The use of chloride-ion catalysis, rather than conventional base catalysis, for the prepn. of polymers from diepoxyphenol 1 offered a unique method to control the ultimate mol. wt. of the polymer product through variations of the initial concn. of monomer 1 in THF. An alternative route to hyperbranched polyether epoxies made use of com. available or easily prepd. aliph. monomers of the types AB2, AB3, and A2 + B3. Although these aliph. polymns. can be initiated with a base, chloride-ion catalysis proved most effective for controlling the polymn. The hyperbranched epoxies were characterized by NMR spectroscopy, gel permeation chromatog., and multi-angle laser light scattering. Chem. modification of the polymers after polymn. was carried out via nucleophilic addn. on the epoxide groups or derivatization of the hydroxy substituents within the hyperbranched polymer structure. Spectroscopic measurements suggested that some such ring-opened materials may adopt reverse unimol. micellar structures in appropriate soln. environments.", "author" : [ { "dropping-particle" : "", "family" : "Emrick", "given" : "Todd", "non-dropping-particle" : "", "parse-names" : false, "suffix" : "" }, { "dropping-particle" : "", "family" : "Chang", "given" : "Han-ting", "non-dropping-particle" : "", "parse-names" : false, "suffix" : "" }, { "dropping-particle" : "", "family" : "Frechet", "given" : "Jean M J", "non-dropping-particle" : "", "parse-names" : false, "suffix" : "" } ], "container-title" : "Journal of Polymer Science Part A: Polymer Chemistry", "id" : "ITEM-3", "issued" : { "date-parts" : [ [ "2000" ] ] }, "page" : "4850-4869", "title" : "The Preparation of Hyperbranched Aromatic and Aliphatic Polyether Epoxies by Chloride-Catalyzed Proton Transfer Polymerization from ABn and A2+B3 Monomers", "type" : "article-journal", "volume" : "38" }, "uris" : [ "http://www.mendeley.com/documents/?uuid=a9db1380-0612-44b8-9f69-c1d90635536b" ] }, { "id" : "ITEM-4", "itemData" : { "DOI" : "10.1021/ma990687b", "ISBN" : "0024-9297", "ISSN" : "0024-9297", "abstract" : "Branched polyethers were prepd. by A2 + B3 polymn. approach using 1,2,7,8-diepoxyoctane as the A2 monomer and 1,1,1-tris(hydroxymethyl)ethane as the B3 monomer in the presence of tetrabutylammonium chloride catalyst. The epoxy content of the polymer increased with increasing the starting relative ratio of the diepoxide to the triol. The hyperbranched nature of the polymer was revealed by 1H-NMR spectra.", "author" : [ { "dropping-particle" : "", "family" : "Emrick", "given" : "T", "non-dropping-particle" : "", "parse-names" : false, "suffix" : "" }, { "dropping-particle" : "", "family" : "Chang", "given" : "H T", "non-dropping-particle" : "", "parse-names" : false, "suffix" : "" }, { "dropping-particle" : "", "family" : "Frechet", "given" : "J M J", "non-dropping-particle" : "", "parse-names" : false, "suffix" : "" } ], "container-title" : "Macromolecules", "id" : "ITEM-4", "issued" : { "date-parts" : [ [ "1999" ] ] }, "page" : "6380-6382", "title" : "An A2+ B3 approach to hyperbranched aliphatic polyethers containing chain end epoxy substituents", "type" : "article-journal", "volume" : "32" }, "uris" : [ "http://www.mendeley.com/documents/?uuid=b75f127e-cd9e-4942-916f-504c59253062" ] }, { "id" : "ITEM-5", "itemData" : { "DOI" : "10.1021/ma047580v", "ISSN" : "00249297", "author" : [ { "dropping-particle" : "", "family" : "Lin", "given" : "Qin", "non-dropping-particle" : "", "parse-names" : false, "suffix" : "" }, { "dropping-particle" : "", "family" : "Long", "given" : "Timothy E.", "non-dropping-particle" : "", "parse-names" : false, "suffix" : "" }, { "dropping-particle" : "", "family" : "Wu", "given" : "Decheng", "non-dropping-particle" : "", "parse-names" : false, "suffix" : "" }, { "dropping-particle" : "", "family" : "Liu", "given" : "Ye", "non-dropping-particle" : "", "parse-names" : false, "suffix" : "" }, { "dropping-particle" : "", "family" : "Chen", "given" : "Ling", "non-dropping-particle" : "", "parse-names" : false, "suffix" : "" }, { "dropping-particle" : "Bin", "family" : "He", "given" : "Chao", "non-dropping-particle" : "", "parse-names" : false, "suffix" : "" }, { "dropping-particle" : "", "family" : "Chung", "given" : "Tai Shung", "non-dropping-particle" : "", "parse-names" : false, "suffix" : "" }, { "dropping-particle" : "", "family" : "Goh", "given" : "Suat Hong", "non-dropping-particle" : "", "parse-names" : false, "suffix" : "" }, { "dropping-particle" : "", "family" : "Lin", "given" : "Qin", "non-dropping-particle" : "", "parse-names" : false, "suffix" : "" }, { "dropping-particle" : "", "family" : "Long", "given" : "Timothy E.", "non-dropping-particle" : "", "parse-names" : false, "suffix" : "" } ], "container-title" : "Macromolecules", "id" : "ITEM-5", "issued" : { "date-parts" : [ [ "2003" ] ] }, "page" : "9809-9816", "title" : "polymerization of A2 with B3 monomers: a facile approach to hyperbranched poly(aryl ester)s", "type" : "article-journal", "volume" : "36" }, "uris" : [ "http://www.mendeley.com/documents/?uuid=8f1466b8-73bc-42a2-94d6-9bc841c5a221" ] } ], "mendeley" : { "formattedCitation" : "[5,115\u2013118]", "plainTextFormattedCitation" : "[5,115\u2013118]", "previouslyFormattedCitation" : "[5,115\u2013118]"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[5,115–118]</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Besides of normal condensation polymerizations, </w:t>
      </w:r>
      <w:bookmarkStart w:id="194" w:name="OLE_LINK4"/>
      <w:bookmarkStart w:id="195" w:name="OLE_LINK5"/>
      <w:r w:rsidRPr="001A5452">
        <w:rPr>
          <w:rFonts w:ascii="Times New Roman" w:eastAsia="DengXian" w:hAnsi="Times New Roman" w:cs="Times New Roman"/>
          <w:sz w:val="24"/>
          <w:szCs w:val="24"/>
        </w:rPr>
        <w:t>self-condensation vinyl polymerization</w:t>
      </w:r>
      <w:bookmarkEnd w:id="194"/>
      <w:bookmarkEnd w:id="195"/>
      <w:r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"10.1016/j.progpolymsci.2003.12.002", "ISBN" : "0079-6700", "ISSN" : "00796700", "PMID" : "17305842", "abstract" : "Over the past 15 years, hyperbranched polymers have received much attention due to their unique chemical and physical properties as well as their potential applications in coatings, additives, drug and gene delivery, macromolecular building blocks, nanotechnology, and supramolecular science. Hyperbranched polymers can be prepared by means of single-monomer methodology (SMM) and double-monomer methodology (DMM). In SMM, the polymerization of an ABn or latent ABn monomer leads to hyperbranched macromolecules. SMM consists of at least four components: (1) polycondensation of ABn monomers; (2) self-condensing vinyl polymerization; (3) self-condensing ring-opening polymerization; (4) proton-transfer polymerization. In DMM, direct polymerization of two suitable monomers or a monomer pair gives rise to hyperbranched polymers. A classical example of DMM, the polymerization of A2 and Bn (n&gt;2) monomers, is well known. Recently, a novel DMM based on the in situ formation of ABn intermediates from specific monomer pairs has been developed. This form of DMM is designated as 'couple-monomer methodology' (CMM) to clearly represent the method of polymerization. Many commercially available chemicals can be used as the monomers in these systems, which should extend the availability and accessibility of hyperbranched polymers with various new end groups, architectures and properties. Because a number of comprehensive reviews have been published on SMM, research involving DMM is emphasized here. In addition, recent developments in the modification, functionalization and application of hyperbranched polymers are described. ?? 2004 Elsevier Ltd. All rights reserved.", "author" : [ { "dropping-particle" : "", "family" : "Gao", "given" : "C.", "non-dropping-particle" : "", "parse-names" : false, "suffix" : "" }, { "dropping-particle" : "", "family" : "Yan", "given" : "D.", "non-dropping-particle" : "", "parse-names" : false, "suffix" : "" } ], "container-title" : "Progress in Polymer Science (Oxford)", "id" : "ITEM-1", "issue" : "3", "issued" : { "date-parts" : [ [ "2004" ] ] }, "page" : "183-275", "title" : "Hyperbranched polymers: From synthesis to applications", "type" : "article-journal", "volume" : "29" }, "uris" : [ "http://www.mendeley.com/documents/?uuid=8bbb48f3-3119-46e9-8246-abc40d1c16ee" ] }, { "id" : "ITEM-2", "itemData" : { "DOI" : "DOI 10.1126/science.269.5227.1080", "ISBN" : "0036-8075", "ISSN" : "0036-8075", "PMID" : "17755528", "abstract" : "Self-condensing vinyl polymerization was used to produce dendritic polymers with both highly branched structures and numerous reactive groups. A vinyl monomer will undergo self-polymerization if it contains a pendant group that can be transformed into an initialing moiety by the action of an external stimulus. The self-polymerization combines features of a classical vinyl polymerization process with those of a polycondensation because growth is accomplished by the coupling of reactive oligomers. Highly branched, irregular dendritic structures with a multiplicity of reactive functionalities are obtained by polymerization of 3-(1-chloroethyl)-ethenylbenzene.", "author" : [ { "dropping-particle" : "", "family" : "Frechet", "given" : "J M J", "non-dropping-particle" : "", "parse-names" : false, "suffix" : "" }, { "dropping-particle" : "", "family" : "Henmi", "given" : "M", "non-dropping-particle" : "", "parse-names" : false, "suffix" : "" }, { "dropping-particle" : "", "family" : "Gitsov", "given" : "I", "non-dropping-particle" : "", "parse-names" : false, "suffix" : "" }, { "dropping-particle" : "", "family" : "Aoshima", "given" : "S", "non-dropping-particle" : "", "parse-names" : false, "suffix" : "" }, { "dropping-particle" : "", "family" : "Leduc", "given" : "M R", "non-dropping-particle" : "", "parse-names" : false, "suffix" : "" }, { "dropping-particle" : "", "family" : "Grubbs", "given" : "R B", "non-dropping-particle" : "", "parse-names" : false, "suffix" : "" } ], "container-title" : "Science", "id" : "ITEM-2", "issue" : "5227", "issued" : { "date-parts" : [ [ "1995" ] ] }, "page" : "1080-1083", "title" : "Self-Condensing Vinyl Polymerization - an Approach to Dendritic Materials", "type" : "article-journal", "volume" : "269" }, "uris" : [ "http://www.mendeley.com/documents/?uuid=5855f31d-63e3-4a6e-89fa-59c6c53da5c6" ] }, { "id" : "ITEM-3", "itemData" : { "DOI" : "10.1016/S0032-3861(01)00494-3", "ISBN" : "0032-3861", "ISSN" : "00323861", "abstract" : "A series of hyperbranched polyacrylates were synthesized by self-condensing vinyl polymn. (SCVP) of 2-[(2-bromobutyryl)oxy]ethyl acrylate (BBEA). A tetrafunctional atom transfer radical polymn. (ATRP) initiator (THABI) capped with bromoisobutyrate, which has higher reactivity than the initiating site of monomer, was used as core-forming mols. The structure and properties of the obtained polymers were characterized by NMR and SEC/RALLS/DV/RI. The effect of the tetrafunctional initiator on mol. wt. and mol. wt. distribution of polymers was studied. [on SciFinder (R)]", "author" : [ { "dropping-particle" : "", "family" : "Hong", "given" : "C Y", "non-dropping-particle" : "", "parse-names" : false, "suffix" : "" }, { "dropping-particle" : "", "family" : "Pan", "given" : "C Y", "non-dropping-particle" : "", "parse-names" : false, "suffix" : "" } ], "container-title" : "Polymer", "id" : "ITEM-3", "issued" : { "date-parts" : [ [ "2001" ] ] }, "page" : "9385-9391", "title" : "Synthesis and characterization of hyperbranched polyacrylates in the presence of a tetrafunctional initiator with higher reactivity than monomer by self-condensing vinyl polymerization", "type" : "article-journal", "volume" : "42" }, "uris" : [ "http://www.mendeley.com/documents/?uuid=427d1cc6-baa9-4466-8185-71cdd5ec15ca" ] }, { "id" : "ITEM-4", "itemData" : { "DOI" : "10.1021/ma9513877", "ISSN" : "0024-9297", "abstract" : "The homopolymn. of p-(chloromethyl)styrene (I), by use of Atom Transfer Radical Polymn., ATRP, provided hyperbranched polymers. The polymers are highly functionalized, with the no. of Cl end functionalities equal to the no. of repeat units in the polymer. Copolymers of I with styrene formed a branched polymer with a viscosity lower than a linear analog of similar mol. wt.", "author" : [ { "dropping-particle" : "", "family" : "Gaynor", "given" : "Scott G.", "non-dropping-particle" : "", "parse-names" : false, "suffix" : "" }, { "dropping-particle" : "", "family" : "Edelman", "given" : "Shane", "non-dropping-particle" : "", "parse-names" : false, "suffix" : "" }, { "dropping-particle" : "", "family" : "Matyjaszewski", "given" : "Krzysztof", "non-dropping-particle" : "", "parse-names" : false, "suffix" : "" } ], "container-title" : "Macromolecules", "id" : "ITEM-4", "issued" : { "date-parts" : [ [ "1996" ] ] }, "page" : "1079-1081", "title" : "Synthesis of Branched and Hyperbranched Polystyrenes", "type" : "article-journal", "volume" : "29" }, "uris" : [ "http://www.mendeley.com/documents/?uuid=688bec1a-10b2-4498-aa63-ebe08afa1356" ] } ], "mendeley" : { "formattedCitation" : "[119\u2013122]", "plainTextFormattedCitation" : "[119\u2013122]", "previouslyFormattedCitation" : "[119\u2013122]"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[119–122]</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and self-condensation ring-opening polymerization can also be employed for synthesis of hyperbranched polymers </w:t>
      </w:r>
      <w:r w:rsidRPr="001A5452">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"10.1002/(SICI)1521-3927(19990801)20:8&lt;453::AID-MARC453&gt;3.0.CO;2-B", "ISSN" : "1022-1336", "author" : [ { "dropping-particle" : "", "family" : "Magnusson", "given" : "Hel\u00e9ne", "non-dropping-particle" : "", "parse-names" : false, "suffix" : "" }, { "dropping-particle" : "", "family" : "Malmstr\u00f6m", "given" : "Eva", "non-dropping-particle" : "", "parse-names" : false, "suffix" : "" }, { "dropping-particle" : "", "family" : "Hult", "given" : "Anders", "non-dropping-particle" : "", "parse-names" : false, "suffix" : "" } ], "container-title" : "Macromolecular rapid communications", "id" : "ITEM-1", "issued" : { "date-parts" : [ [ "1999" ] ] }, "page" : "453-457", "title" : "Synthesis of hyperbranched aliphatic polyethers via cationic ring-opening polymerization of 3-ethyl-3-(hydroxymethyl) oxetane", "type" : "article-journal", "volume" : "20" }, "uris" : [ "http://www.mendeley.com/documents/?uuid=46032b26-d68d-4fb9-8069-8d224ed10365" ] }, { "id" : "ITEM-2", "itemData" : { "DOI" : "10.1021/ma971222t", "ISBN" : "0024-9297", "ISSN" : "0024-9297", "author" : [ { "dropping-particle" : "", "family" : "Suzuki", "given" : "Masato", "non-dropping-particle" : "", "parse-names" : false, "suffix" : "" }, { "dropping-particle" : "", "family" : "Yoshida", "given" : "Satoshi", "non-dropping-particle" : "", "parse-names" : false, "suffix" : "" }, { "dropping-particle" : "", "family" : "Shiraga", "given" : "Koichi", "non-dropping-particle" : "", "parse-names" : false, "suffix" : "" }, { "dropping-particle" : "", "family" : "Saegusa", "given" : "Takeo", "non-dropping-particle" : "", "parse-names" : false, "suffix" : "" } ], "container-title" : "Macromolecules", "id" : "ITEM-2", "issued" : { "date-parts" : [ [ "1998" ] ] }, "page" : "1716-1719", "title" : "New Ring-Opening Polymerization via a \u03c0 -Allylpalladium Complex . 5 . Multibranching Polymerization of Cyclic Carbamate To Produce Hyperbranched Dendritic Polyamine", "type" : "article-journal", "volume" : "31" }, "uris" : [ "http://www.mendeley.com/documents/?uuid=210bac87-a306-433b-87de-041b7b8be925" ] }, { "id" : "ITEM-3", "itemData" : { "DOI" : "10.1021/ma990090w", "ISBN" : "0024-9297", "ISSN" : "00249297", "abstract" : "Glycidol represents a latent cyclic AB2-type monomer that can be polymerized in a ring-opening multibranching polymerization (ROMBP). Hyperbranched aliphatic polyethers with controlled molecular weights and narrow molecular weight distribution have been prepared via anionic polymerization of glycidol with rapid cation-exchange equilibrium. 1,1,1-Tris(hydroxymethyl)propane (TMP) was partially deprotonated (10%) and used as initiator for the anionic polymerization carried out under slow addition conditions to minimize polymerization without initiator as well as cyclization. 13C NMR spectra were employed to assess the degree of branching (DB), which was in the range 0.53?0.59. 13C NMR, MALDI-TOF mass spectrometry, vapor pressure osmometry (VPO), and GPC were used to characterize molecular weights and polydispersities of the polyols formed, showing good agreement. n for the polymers prepared was in the range 15?83 (M?n = 1250?6500), and M?w/M?n obtained was 1.13?1.47, being exceptionally low for hyperbranched polymers. MALDI-TOF spectra evidenced complete attachment of the hyperbranched structures to the TMP initiator and the absence of macrocyclics as well as hyperbranched macromolecules without initiator, due to the slow addition. The hyperbranched polyethers prepared showed Tg's between ?20 and ? 26 \u00b0C. Glycidol represents a latent cyclic AB2-type monomer that can be polymerized in a ring-opening multibranching polymerization (ROMBP). Hyperbranched aliphatic polyethers with controlled molecular weights and narrow molecular weight distribution have been prepared via anionic polymerization of glycidol with rapid cation-exchange equilibrium. 1,1,1-Tris(hydroxymethyl)propane (TMP) was partially deprotonated (10%) and used as initiator for the anionic polymerization carried out under slow addition conditions to minimize polymerization without initiator as well as cyclization. 13C NMR spectra were employed to assess the degree of branching (DB), which was in the range 0.53?0.59. 13C NMR, MALDI-TOF mass spectrometry, vapor pressure osmometry (VPO), and GPC were used to characterize molecular weights and polydispersities of the polyols formed, showing good agreement. n for the polymers prepared was in the range 15?83 (M?n = 1250?6500), and M?w/M?n obtained was 1.13?1.47, being exceptionally low for hyperbranched polymers. MALDI-TOF spectra evidenced complete attachment of the hyperbranched structures to the TMP initiator and the absence of macrocyclics as well a\u2026", "author" : [ { "dropping-particle" : "", "family" : "Sunder", "given" : "Alexander", "non-dropping-particle" : "", "parse-names" : false, "suffix" : "" }, { "dropping-particle" : "", "family" : "Hanselmann", "given" : "Ralf", "non-dropping-particle" : "", "parse-names" : false, "suffix" : "" }, { "dropping-particle" : "", "family" : "Frey", "given" : "Holger", "non-dropping-particle" : "", "parse-names" : false, "suffix" : "" }, { "dropping-particle" : "", "family" : "M\u00fclhaupt", "given" : "Rolf", "non-dropping-particle" : "", "parse-names" : false, "suffix" : "" } ], "container-title" : "Macromolecules", "id" : "ITEM-3", "issued" : { "date-parts" : [ [ "1999" ] ] }, "page" : "4240-4246", "title" : "Controlled synthesis of hyperbranched polyglycerols by ring-opening multibranching polymerization", "type" : "article-journal", "volume" : "32" }, "uris" : [ "http://www.mendeley.com/documents/?uuid=61819f95-307d-42cf-bf1e-ea6f77073c56" ] }, { "id" : "ITEM-4", "itemData" : { "DOI" : "10.1021/ma990785x", "ISSN" : "0024-9297", "author" : [ { "dropping-particle" : "", "family" : "Liu", "given" : "Mingjun", "non-dropping-particle" : "", "parse-names" : false, "suffix" : "" }, { "dropping-particle" : "", "family" : "Vladimirov", "given" : "Nikolay", "non-dropping-particle" : "", "parse-names" : false, "suffix" : "" }, { "dropping-particle" : "", "family" : "Fr\u00e9chet", "given" : "Jean M. J.", "non-dropping-particle" : "", "parse-names" : false, "suffix" : "" } ], "container-title" : "Macromolecules", "id" : "ITEM-4", "issued" : { "date-parts" : [ [ "1999" ] ] }, "page" : "6881-6884", "title" : "A new approach to hyperbranched polymers by ring-opening polymerization of an AB nonomer: 4-(2-hydroxyethyl)-\u03b5-caprolactone", "type" : "article-journal", "volume" : "32" }, "uris" : [ "http://www.mendeley.com/documents/?uuid=7c472974-8392-409a-875a-0babf3994cb5" ] }, { "id" : "ITEM-5", "itemData" : { "DOI" : "10.1002/1521-3927(20000601)21:9&lt;557::AID-MARC557&gt;3.0.CO;2-K", "ISSN" : "1022-1336", "author" : [ { "dropping-particle" : "", "family" : "Yan", "given" : "Deyue", "non-dropping-particle" : "", "parse-names" : false, "suffix" : "" }, { "dropping-particle" : "", "family" : "Hou", "given" : "Jian", "non-dropping-particle" : "", "parse-names" : false, "suffix" : "" }, { "dropping-particle" : "", "family" : "Zhu", "given" : "Xinyuan", "non-dropping-particle" : "", "parse-names" : false, "suffix" : "" }, { "dropping-particle" : "", "family" : "Kosman", "given" : "Joseph J.", "non-dropping-particle" : "", "parse-names" : false, "suffix" : "" }, { "dropping-particle" : "", "family" : "Wu", "given" : "Huey-Shen", "non-dropping-particle" : "", "parse-names" : false, "suffix" : "" } ], "container-title" : "Macromolecular Rapid Communications", "id" : "ITEM-5", "issued" : { "date-parts" : [ [ "2000" ] ] }, "page" : "557-561", "title" : "A new approach to control crystallinity of resulting polymers: Self-condensing ring opening polymerization", "type" : "article-journal", "volume" : "21" }, "uris" : [ "http://www.mendeley.com/documents/?uuid=2c632b2c-35d8-4341-8fa1-fd7729e3d2df" ] }, { "id" : "ITEM-6", "itemData" : { "DOI" : "10.1021/ma00051a055", "ISBN" : "0024929719", "ISSN" : "0024-9297", "abstract" : "Recently, hyperbranched dendritic macromolecules are attracting much attention due to their specific structures and characteristics. These molecules with regular branch-ing have been prepared by a stepwise method, Le., repetition of reactions and subsequent purification.'I2 Another synthetic method recently developed is poly-condensation or polyaddition of a AB,, type monomer although the product polymer has imperfect bran~hing.~ The present paper presents a new concept for chain polymerization, adequately termed 'multibranching po-lymerization (MBP)\", which provides a dendritic polymer involving the initiator as the core (Scheme I). The most characteristic aspect of MBP is multiplication of the propagating ends at every step of propagation. Our previous exploration of Pd-catalyzed ring-opening polymerization4 suggested to us an idea of MBP as well as a monomer structure for it, i.e., 5,5-dimethyl-6-ethenylperhydro-l,3-oxazin-2-one (I). The key point of the monomer design is that 1 has an amidic proton which is a dormant propagating end (vide infra).5 In agreement with our plan, 1 was polymerized at room temperature in THF with the aid of Pd~(dba)&amp;HC13-2dppe, as catalyst, to produce dendritic polyamine 2 together with evolution of COz (Scheme 11). As espected, primary or secondary amines worked as the initiators for the polymerization to manipulate mo-lecular weights of the product polymers. Table I shows representative results employing benzylamine, as initiator. l H NMR spectra of reaction mixtures revealed that the monomer was almost quantitatively converted to the polymer. Purification to exclude ligands from the polymer allowed the low molecular weight part to escape. There-fore, as lower molecular weight polymer were produced, the isolate yields were reduced and the DP values became higher than those calculated on the feed ratio of the initiator to monomer. The control reaction without any initiators proceeded slowly, but insoluble product was obtained6 (run 4); however, its IR spectrum was completely identical with that OP the soluble polymer produced with the initiator. The polymer structure was identified by 13C and lH NMR spectra, as compared with models such as neopen-tylamine, N-allylneopentylamine, and NJV-diallylneo-pentylamine. These spectra indicated that the polymer has incomplete branching consisting of not only primary and tertiary but also secondary amino moieties; the former ar a polymer end and a branching junction, respectively, a\u2026", "author" : [ { "dropping-particle" : "", "family" : "Suzuki", "given" : "Masato", "non-dropping-particle" : "", "parse-names" : false, "suffix" : "" }, { "dropping-particle" : "", "family" : "Ii", "given" : "Atsuhiko", "non-dropping-particle" : "", "parse-names" : false, "suffix" : "" }, { "dropping-particle" : "", "family" : "Saegusai", "given" : "Takeo", "non-dropping-particle" : "", "parse-names" : false, "suffix" : "" } ], "container-title" : "Macromolecules", "id" : "ITEM-6", "issued" : { "date-parts" : [ [ "1992" ] ] }, "page" : "7071-7072", "title" : "Multibranching Polymerization: Palladium-Catalyzed Ringopening Polymerization of Cyclic Carbamate To Produce Hyperbranched Dendritic Polyamine", "type" : "article-journal", "volume" : "25" }, "uris" : [ "http://www.mendeley.com/documents/?uuid=fca1b8c2-773c-4882-b0b6-a3783c1af01d" ] } ], "mendeley" : { "formattedCitation" : "[123\u2013128]", "plainTextFormattedCitation" : "[123\u2013128]", "previouslyFormattedCitation" : "[123\u2013128]"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[123–128]</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w:t>
      </w:r>
    </w:p>
    <w:p w14:paraId="513BA9E1" w14:textId="05C5454E" w:rsidR="006F38AE" w:rsidRDefault="006F38AE" w:rsidP="006F38AE">
      <w:pPr>
        <w:spacing w:after="0" w:line="480" w:lineRule="auto"/>
        <w:ind w:firstLine="360"/>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To our knowledge, the work on the synthesis of HBPE from 100% bio-based monomers is very rare in </w:t>
      </w:r>
      <w:r w:rsidR="00296463">
        <w:rPr>
          <w:rFonts w:ascii="Times New Roman" w:eastAsia="DengXian" w:hAnsi="Times New Roman" w:cs="Times New Roman"/>
          <w:sz w:val="24"/>
          <w:szCs w:val="24"/>
        </w:rPr>
        <w:t xml:space="preserve">the </w:t>
      </w:r>
      <w:r w:rsidRPr="001A5452">
        <w:rPr>
          <w:rFonts w:ascii="Times New Roman" w:eastAsia="DengXian" w:hAnsi="Times New Roman" w:cs="Times New Roman"/>
          <w:sz w:val="24"/>
          <w:szCs w:val="24"/>
        </w:rPr>
        <w:t>literature. In this chapter, 100% bio-based HBPE are synthesized from diol (Pripol 2030) and trimer acid (Pripol 1040), which exhibit</w:t>
      </w:r>
      <w:r w:rsidR="00321F07">
        <w:rPr>
          <w:rFonts w:ascii="Times New Roman" w:eastAsia="DengXian" w:hAnsi="Times New Roman" w:cs="Times New Roman"/>
          <w:sz w:val="24"/>
          <w:szCs w:val="24"/>
        </w:rPr>
        <w:t>s</w:t>
      </w:r>
      <w:r w:rsidRPr="001A5452">
        <w:rPr>
          <w:rFonts w:ascii="Times New Roman" w:eastAsia="DengXian" w:hAnsi="Times New Roman" w:cs="Times New Roman"/>
          <w:sz w:val="24"/>
          <w:szCs w:val="24"/>
        </w:rPr>
        <w:t xml:space="preserve"> excellent durability and partially self-healing behavior. p-</w:t>
      </w:r>
      <w:r w:rsidR="00321F07">
        <w:rPr>
          <w:rFonts w:ascii="Times New Roman" w:eastAsia="DengXian" w:hAnsi="Times New Roman" w:cs="Times New Roman"/>
          <w:sz w:val="24"/>
          <w:szCs w:val="24"/>
        </w:rPr>
        <w:t>p</w:t>
      </w:r>
      <w:r w:rsidRPr="001A5452">
        <w:rPr>
          <w:rFonts w:ascii="Times New Roman" w:eastAsia="DengXian" w:hAnsi="Times New Roman" w:cs="Times New Roman"/>
          <w:sz w:val="24"/>
          <w:szCs w:val="24"/>
        </w:rPr>
        <w:t xml:space="preserve">henylenediamine (PPD) was used to reduce GO and the resultant poly-PPD-reduced GO hybrid (P-rGO) displayed a good stability in ethanol for </w:t>
      </w:r>
      <w:r w:rsidR="00321F07">
        <w:rPr>
          <w:rFonts w:ascii="Times New Roman" w:eastAsia="DengXian" w:hAnsi="Times New Roman" w:cs="Times New Roman"/>
          <w:sz w:val="24"/>
          <w:szCs w:val="24"/>
        </w:rPr>
        <w:t xml:space="preserve">several </w:t>
      </w:r>
      <w:r w:rsidRPr="001A5452">
        <w:rPr>
          <w:rFonts w:ascii="Times New Roman" w:eastAsia="DengXian" w:hAnsi="Times New Roman" w:cs="Times New Roman"/>
          <w:sz w:val="24"/>
          <w:szCs w:val="24"/>
        </w:rPr>
        <w:t xml:space="preserve">weeks. P-rGO hybrid was used to prepare HBPE nanocomposites through </w:t>
      </w:r>
      <w:r w:rsidRPr="001A5452">
        <w:rPr>
          <w:rFonts w:ascii="Times New Roman" w:eastAsia="DengXian" w:hAnsi="Times New Roman" w:cs="Times New Roman"/>
          <w:i/>
          <w:sz w:val="24"/>
          <w:szCs w:val="24"/>
        </w:rPr>
        <w:t>in-situ</w:t>
      </w:r>
      <w:r w:rsidRPr="001A5452">
        <w:rPr>
          <w:rFonts w:ascii="Times New Roman" w:eastAsia="DengXian" w:hAnsi="Times New Roman" w:cs="Times New Roman"/>
          <w:sz w:val="24"/>
          <w:szCs w:val="24"/>
        </w:rPr>
        <w:t xml:space="preserve"> polymerization. The influence of P-rGO on the</w:t>
      </w:r>
      <w:r w:rsidRPr="001A5452">
        <w:rPr>
          <w:rFonts w:ascii="Times New Roman" w:eastAsia="DengXian" w:hAnsi="Times New Roman" w:cs="Times New Roman"/>
        </w:rPr>
        <w:t xml:space="preserve"> </w:t>
      </w:r>
      <w:r w:rsidRPr="001A5452">
        <w:rPr>
          <w:rFonts w:ascii="Times New Roman" w:eastAsia="DengXian" w:hAnsi="Times New Roman" w:cs="Times New Roman"/>
          <w:sz w:val="24"/>
          <w:szCs w:val="24"/>
        </w:rPr>
        <w:t>self-healing ability, hysteresis, mechanical, thermal, and dynamical properties of HBPE was also investigated.</w:t>
      </w:r>
    </w:p>
    <w:p w14:paraId="46DE0397" w14:textId="77777777" w:rsidR="003A480C" w:rsidRPr="001A5452" w:rsidRDefault="003A480C" w:rsidP="006F38AE">
      <w:pPr>
        <w:spacing w:after="0" w:line="480" w:lineRule="auto"/>
        <w:ind w:firstLine="360"/>
        <w:jc w:val="both"/>
        <w:rPr>
          <w:rFonts w:ascii="Times New Roman" w:eastAsia="DengXian" w:hAnsi="Times New Roman" w:cs="Times New Roman"/>
          <w:sz w:val="24"/>
          <w:szCs w:val="24"/>
        </w:rPr>
      </w:pPr>
    </w:p>
    <w:p w14:paraId="78F10C3A" w14:textId="425D1F9C" w:rsidR="006F38AE" w:rsidRPr="001A5452" w:rsidRDefault="00880ECC" w:rsidP="00A22DC4">
      <w:pPr>
        <w:pStyle w:val="Heading1"/>
      </w:pPr>
      <w:bookmarkStart w:id="196" w:name="_Toc518823333"/>
      <w:bookmarkEnd w:id="192"/>
      <w:bookmarkEnd w:id="193"/>
      <w:r>
        <w:t>6</w:t>
      </w:r>
      <w:r w:rsidR="00BD1DD2">
        <w:t>.</w:t>
      </w:r>
      <w:r w:rsidR="006F38AE" w:rsidRPr="001A5452">
        <w:t>2. Experiment</w:t>
      </w:r>
      <w:bookmarkEnd w:id="196"/>
    </w:p>
    <w:p w14:paraId="526F1810" w14:textId="64040936" w:rsidR="006F38AE" w:rsidRPr="001A5452" w:rsidRDefault="00880ECC" w:rsidP="00A22DC4">
      <w:pPr>
        <w:pStyle w:val="Heading2"/>
      </w:pPr>
      <w:bookmarkStart w:id="197" w:name="_Toc518823334"/>
      <w:r>
        <w:t>6</w:t>
      </w:r>
      <w:r w:rsidR="00BD1DD2">
        <w:t>.</w:t>
      </w:r>
      <w:r w:rsidR="006F38AE" w:rsidRPr="001A5452">
        <w:t>2.1. Materials</w:t>
      </w:r>
      <w:bookmarkEnd w:id="197"/>
    </w:p>
    <w:p w14:paraId="0AFAF58F" w14:textId="39ED0E64"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Pripol 2030 (diol, molecular weight ~ 306 g mol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and Pripol 1040 (75% trimer, 25% dimer, molecular weight ~715 g mol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were provided by Croda International Plc. Ethyl alcohol (absolute, 99.8%) was purchased from Fisher Scientific. </w:t>
      </w:r>
      <w:r w:rsidRPr="00880ECC">
        <w:rPr>
          <w:rFonts w:ascii="Times New Roman" w:eastAsia="DengXian" w:hAnsi="Times New Roman" w:cs="Times New Roman"/>
          <w:sz w:val="24"/>
          <w:szCs w:val="24"/>
        </w:rPr>
        <w:t>Graphite flakes</w:t>
      </w:r>
      <w:r w:rsidR="005D1B4D" w:rsidRPr="00880ECC">
        <w:rPr>
          <w:rFonts w:ascii="Times New Roman" w:eastAsia="DengXian" w:hAnsi="Times New Roman" w:cs="Times New Roman"/>
          <w:sz w:val="24"/>
          <w:szCs w:val="24"/>
        </w:rPr>
        <w:t xml:space="preserve"> (Sigma-Aldrich, &lt;20μm)</w:t>
      </w:r>
      <w:r w:rsidRPr="00880ECC">
        <w:rPr>
          <w:rFonts w:ascii="Times New Roman" w:eastAsia="DengXian" w:hAnsi="Times New Roman" w:cs="Times New Roman"/>
          <w:sz w:val="24"/>
          <w:szCs w:val="24"/>
        </w:rPr>
        <w:t xml:space="preserve">, </w:t>
      </w:r>
      <w:r w:rsidRPr="00880ECC">
        <w:rPr>
          <w:rFonts w:ascii="Times New Roman" w:eastAsia="DengXian" w:hAnsi="Times New Roman" w:cs="Times New Roman"/>
          <w:i/>
          <w:sz w:val="24"/>
          <w:szCs w:val="24"/>
        </w:rPr>
        <w:t>p</w:t>
      </w:r>
      <w:r w:rsidRPr="00880ECC">
        <w:rPr>
          <w:rFonts w:ascii="Times New Roman" w:eastAsia="DengXian" w:hAnsi="Times New Roman" w:cs="Times New Roman"/>
          <w:sz w:val="24"/>
          <w:szCs w:val="24"/>
        </w:rPr>
        <w:t>-</w:t>
      </w:r>
      <w:r w:rsidRPr="001A5452">
        <w:rPr>
          <w:rFonts w:ascii="Times New Roman" w:eastAsia="DengXian" w:hAnsi="Times New Roman" w:cs="Times New Roman"/>
          <w:sz w:val="24"/>
          <w:szCs w:val="24"/>
        </w:rPr>
        <w:t>phenylenediamine (PPD), hydrochloric acid (0.1M), p-toluenesulfonyl isocyanate (TSI, 96%), potassium hydrogen phthalate (KHP), tetrabutylammonium hydroxide solution (1M in methanol), ethyl alcohol (95%, ACS spectrophotometric grade), acetonitrile (≥ 99.9%, HPLC plus) and methanol (≥ 99.9%, HPLC) were purchased from Sigma-Aldrich. Potassium hydroxide (99.98% metals basis, 85% min pellets) was purchased from Alfa Aesar.</w:t>
      </w:r>
    </w:p>
    <w:p w14:paraId="6DB2B7C9" w14:textId="77777777" w:rsidR="003A480C" w:rsidRPr="001A5452" w:rsidRDefault="003A480C" w:rsidP="006F38AE">
      <w:pPr>
        <w:spacing w:after="0" w:line="480" w:lineRule="auto"/>
        <w:jc w:val="both"/>
        <w:rPr>
          <w:rFonts w:ascii="Times New Roman" w:eastAsia="DengXian" w:hAnsi="Times New Roman" w:cs="Times New Roman"/>
          <w:sz w:val="24"/>
          <w:szCs w:val="24"/>
        </w:rPr>
      </w:pPr>
    </w:p>
    <w:p w14:paraId="58AB16F6" w14:textId="2B258028" w:rsidR="006F38AE" w:rsidRPr="001A5452" w:rsidRDefault="00880ECC" w:rsidP="00EA1575">
      <w:pPr>
        <w:pStyle w:val="Heading2"/>
      </w:pPr>
      <w:bookmarkStart w:id="198" w:name="_Toc518823335"/>
      <w:r>
        <w:t>6</w:t>
      </w:r>
      <w:r w:rsidR="00BD1DD2">
        <w:t>.</w:t>
      </w:r>
      <w:r w:rsidR="006F38AE" w:rsidRPr="001A5452">
        <w:t>2.2. Synthesis of hyperbranched polyester (HBPE) through condensation polymerization</w:t>
      </w:r>
      <w:bookmarkEnd w:id="198"/>
    </w:p>
    <w:p w14:paraId="369CB50F" w14:textId="0A857D6F"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Pripol 2030 (11.60 g, 0.0758 mol of hydroxyl) and Pripol 1040 (20 g, 0.0758 mol of carboxyl) were mixed in a 500 ml three-necked flask equipped with a reflux condenser under mechanically stirring. The reaction was carried out under nitrogen gas (N</w:t>
      </w:r>
      <w:r w:rsidRPr="001A5452">
        <w:rPr>
          <w:rFonts w:ascii="Times New Roman" w:eastAsia="DengXian" w:hAnsi="Times New Roman" w:cs="Times New Roman"/>
          <w:sz w:val="24"/>
          <w:szCs w:val="24"/>
          <w:vertAlign w:val="subscript"/>
        </w:rPr>
        <w:t>2</w:t>
      </w:r>
      <w:r w:rsidRPr="001A5452">
        <w:rPr>
          <w:rFonts w:ascii="Times New Roman" w:eastAsia="DengXian" w:hAnsi="Times New Roman" w:cs="Times New Roman"/>
          <w:sz w:val="24"/>
          <w:szCs w:val="24"/>
        </w:rPr>
        <w:t>) at 120 °C for 8 hours and stopped by cooling down prior to gel point. The obtained product was denoted as HBPE pre-polymer. Then, the pre-polymer was transferred into a PTFE petri dish followed by further curing at 140 °C in a vacuum oven for 30 hours. Finally, cured HBPE was washed by ethanol for 4 times to remove the free species like un reacted monomers, and dried at room temperature for further tests.</w:t>
      </w:r>
    </w:p>
    <w:p w14:paraId="1A3AEE86" w14:textId="77777777" w:rsidR="003A480C" w:rsidRPr="001A5452" w:rsidRDefault="003A480C" w:rsidP="006F38AE">
      <w:pPr>
        <w:spacing w:after="0" w:line="480" w:lineRule="auto"/>
        <w:jc w:val="both"/>
        <w:rPr>
          <w:rFonts w:ascii="Times New Roman" w:eastAsia="DengXian" w:hAnsi="Times New Roman" w:cs="Times New Roman"/>
          <w:sz w:val="24"/>
          <w:szCs w:val="24"/>
        </w:rPr>
      </w:pPr>
    </w:p>
    <w:p w14:paraId="34DAC42F" w14:textId="50FB84F5" w:rsidR="006F38AE" w:rsidRPr="001A5452" w:rsidRDefault="00880ECC" w:rsidP="00EA1575">
      <w:pPr>
        <w:pStyle w:val="Heading2"/>
      </w:pPr>
      <w:bookmarkStart w:id="199" w:name="_Toc518823336"/>
      <w:r>
        <w:t>6</w:t>
      </w:r>
      <w:r w:rsidR="00BD1DD2">
        <w:t>.</w:t>
      </w:r>
      <w:r w:rsidR="006F38AE" w:rsidRPr="001A5452">
        <w:t>2.3. Preparation of poly(p-phenylenediamine)-reduced GO hybrid (P-rGO)</w:t>
      </w:r>
      <w:bookmarkEnd w:id="199"/>
    </w:p>
    <w:p w14:paraId="47A520B5" w14:textId="1FF6A9B1"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GO was synthesized from graphite flakes by </w:t>
      </w:r>
      <w:r w:rsidR="0033210F">
        <w:rPr>
          <w:rFonts w:ascii="Times New Roman" w:eastAsia="DengXian" w:hAnsi="Times New Roman" w:cs="Times New Roman"/>
          <w:sz w:val="24"/>
          <w:szCs w:val="24"/>
        </w:rPr>
        <w:t>Hummers</w:t>
      </w:r>
      <w:r w:rsidRPr="001A5452">
        <w:rPr>
          <w:rFonts w:ascii="Times New Roman" w:eastAsia="DengXian" w:hAnsi="Times New Roman" w:cs="Times New Roman"/>
          <w:sz w:val="24"/>
          <w:szCs w:val="24"/>
        </w:rPr>
        <w:t xml:space="preserve"> method </w:t>
      </w:r>
      <w:r w:rsidRPr="001A5452">
        <w:rPr>
          <w:rFonts w:ascii="Times New Roman" w:eastAsia="DengXian" w:hAnsi="Times New Roman" w:cs="Times New Roman"/>
          <w:sz w:val="24"/>
          <w:szCs w:val="24"/>
        </w:rPr>
        <w:fldChar w:fldCharType="begin" w:fldLock="1"/>
      </w:r>
      <w:r w:rsidR="0076089E">
        <w:rPr>
          <w:rFonts w:ascii="Times New Roman" w:eastAsia="DengXian" w:hAnsi="Times New Roman" w:cs="Times New Roman"/>
          <w:sz w:val="24"/>
          <w:szCs w:val="24"/>
        </w:rPr>
        <w:instrText>ADDIN CSL_CITATION { "citationItems" : [ { "id" : "ITEM-1", "itemData" : { "DOI" : "10.1021/nn1006368", "ISBN" : "1936-0851", "ISSN" : "1936-086X", "PMID" : "20731455", "abstract" : "An improved method for the preparation of graphene oxide (GO) is described. Currently, Hummers' method (KMnO(4), NaNO(3), H(2)SO(4)) is the most common method used for preparing graphene oxide. We have found that excluding the NaNO(3), increasing the amount of KMnO(4), and performing the reaction in a 9:1 mixture of H(2)SO(4)/H(3)PO(4) improves the efficiency of the oxidation process. This improved method provides a greater amount of hydrophilic oxidized graphene material as compared to Hummers' method or Hummers' method with additional KMnO(4). Moreover, even though the GO produced by our method is more oxidized than that prepared by Hummers' method, when both are reduced in the same chamber with hydrazine, chemically converted graphene (CCG) produced from this new method is equivalent in its electrical conductivity. In contrast to Hummers' method, the new method does not generate toxic gas and the temperature is easily controlled. This improved synthesis of GO may be important for large-scale production of GO as well as the construction of devices composed of the subsequent CCG.", "author" : [ { "dropping-particle" : "", "family" : "Daniela C. Marcano", "given" : "Dmitry V. Kosynkin", "non-dropping-particle" : "", "parse-names" : false, "suffix" : "" } ], "container-title" : "Acs Nano", "id" : "ITEM-1", "issue" : "8", "issued" : { "date-parts" : [ [ "2010" ] ] }, "page" : "4806-4814", "title" : "Improved Synthesis of Graphene Oxide", "type" : "article-journal", "volume" : "4" }, "uris" : [ "http://www.mendeley.com/documents/?uuid=db8b51aa-2cfb-4741-ae74-e57e62eda52e" ] } ], "mendeley" : { "formattedCitation" : "[187]", "plainTextFormattedCitation" : "[187]", "previouslyFormattedCitation" : "[187]"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76089E" w:rsidRPr="0076089E">
        <w:rPr>
          <w:rFonts w:ascii="Times New Roman" w:eastAsia="DengXian" w:hAnsi="Times New Roman" w:cs="Times New Roman"/>
          <w:noProof/>
          <w:sz w:val="24"/>
          <w:szCs w:val="24"/>
        </w:rPr>
        <w:t>[187]</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To prepare P-rGO, the reduction of GO and polymerization of PPD were carried out simultaneously in one pot. In detail, 250 mL of GO aqueous dispersion (1 mg ml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was measured. Then the pH value of GO dispersion was adjusted to ~2 by diluted HCl. The same amount of PPD aqueous solution (1 mg ml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was mixed with the GO dispersion. The mixture was magnetically agitated for 24 hours at 75 °C. The black hybrid product (denoted as P-rGO) was collected and washed with water (4 times) and acetone (2 times) by </w:t>
      </w:r>
      <w:r w:rsidR="00B12AFB" w:rsidRPr="001A5452">
        <w:rPr>
          <w:rFonts w:ascii="Times New Roman" w:eastAsia="DengXian" w:hAnsi="Times New Roman" w:cs="Times New Roman"/>
          <w:sz w:val="24"/>
          <w:szCs w:val="24"/>
        </w:rPr>
        <w:t>centrifug</w:t>
      </w:r>
      <w:r w:rsidR="00B12AFB">
        <w:rPr>
          <w:rFonts w:ascii="Times New Roman" w:eastAsia="DengXian" w:hAnsi="Times New Roman" w:cs="Times New Roman"/>
          <w:sz w:val="24"/>
          <w:szCs w:val="24"/>
        </w:rPr>
        <w:t>ation</w:t>
      </w:r>
      <w:r w:rsidRPr="001A5452">
        <w:rPr>
          <w:rFonts w:ascii="Times New Roman" w:eastAsia="DengXian" w:hAnsi="Times New Roman" w:cs="Times New Roman"/>
          <w:sz w:val="24"/>
          <w:szCs w:val="24"/>
        </w:rPr>
        <w:t>. The washed P-rGO was transferred into ethyl alcohol by solvent exchange and the concentration of P-rGO alcoholic suspension was measured as 0.19 mg ml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w:t>
      </w:r>
    </w:p>
    <w:p w14:paraId="395D1108" w14:textId="77777777" w:rsidR="00B12AFB" w:rsidRPr="001A5452" w:rsidRDefault="00B12AFB" w:rsidP="006F38AE">
      <w:pPr>
        <w:spacing w:after="0" w:line="480" w:lineRule="auto"/>
        <w:jc w:val="both"/>
        <w:rPr>
          <w:rFonts w:ascii="Times New Roman" w:eastAsia="DengXian" w:hAnsi="Times New Roman" w:cs="Times New Roman"/>
          <w:sz w:val="24"/>
          <w:szCs w:val="24"/>
        </w:rPr>
      </w:pPr>
    </w:p>
    <w:p w14:paraId="24E48D3B" w14:textId="1C912CBF" w:rsidR="006F38AE" w:rsidRPr="001A5452" w:rsidRDefault="00880ECC" w:rsidP="00EA1575">
      <w:pPr>
        <w:pStyle w:val="Heading2"/>
      </w:pPr>
      <w:bookmarkStart w:id="200" w:name="_Toc518823337"/>
      <w:r>
        <w:t>6</w:t>
      </w:r>
      <w:r w:rsidR="00BD1DD2">
        <w:t>.</w:t>
      </w:r>
      <w:r w:rsidR="006F38AE" w:rsidRPr="001A5452">
        <w:t>2.4. Synthesis of HBPE/P-rGO nanocomposites</w:t>
      </w:r>
      <w:bookmarkEnd w:id="200"/>
      <w:r w:rsidR="006F38AE" w:rsidRPr="001A5452">
        <w:t xml:space="preserve"> </w:t>
      </w:r>
    </w:p>
    <w:p w14:paraId="6F0AE33A" w14:textId="79797707"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HBPE/P-rGO nanocomposites were synthesized through </w:t>
      </w:r>
      <w:r w:rsidRPr="001A5452">
        <w:rPr>
          <w:rFonts w:ascii="Times New Roman" w:eastAsia="DengXian" w:hAnsi="Times New Roman" w:cs="Times New Roman"/>
          <w:i/>
          <w:sz w:val="24"/>
          <w:szCs w:val="24"/>
        </w:rPr>
        <w:t>in-situ</w:t>
      </w:r>
      <w:r w:rsidRPr="001A5452">
        <w:rPr>
          <w:rFonts w:ascii="Times New Roman" w:eastAsia="DengXian" w:hAnsi="Times New Roman" w:cs="Times New Roman"/>
          <w:sz w:val="24"/>
          <w:szCs w:val="24"/>
        </w:rPr>
        <w:t xml:space="preserve"> polymerization. In detail, Pripol 2030 (11.60 g, 0.0758 mol of hydroxyl), Pripol 1040 (20 g, 0.0758 mol of carboxyl), and </w:t>
      </w:r>
      <w:r w:rsidRPr="001A5452">
        <w:rPr>
          <w:rFonts w:ascii="Times New Roman" w:eastAsia="DengXian" w:hAnsi="Times New Roman" w:cs="Times New Roman"/>
        </w:rPr>
        <w:t xml:space="preserve"> an </w:t>
      </w:r>
      <w:r w:rsidRPr="001A5452">
        <w:rPr>
          <w:rFonts w:ascii="Times New Roman" w:eastAsia="DengXian" w:hAnsi="Times New Roman" w:cs="Times New Roman"/>
          <w:sz w:val="24"/>
          <w:szCs w:val="24"/>
        </w:rPr>
        <w:t xml:space="preserve">appropriated amount of P-rGO </w:t>
      </w:r>
      <w:r w:rsidR="00B12AFB">
        <w:rPr>
          <w:rFonts w:ascii="Times New Roman" w:eastAsia="DengXian" w:hAnsi="Times New Roman" w:cs="Times New Roman"/>
          <w:sz w:val="24"/>
          <w:szCs w:val="24"/>
        </w:rPr>
        <w:t xml:space="preserve">were </w:t>
      </w:r>
      <w:r w:rsidRPr="001A5452">
        <w:rPr>
          <w:rFonts w:ascii="Times New Roman" w:eastAsia="DengXian" w:hAnsi="Times New Roman" w:cs="Times New Roman"/>
          <w:sz w:val="24"/>
          <w:szCs w:val="24"/>
        </w:rPr>
        <w:t>mixed in a 500 ml three-necked flask equipped with a reflux condenser under mechanical stirring. The mixture was heated up to 120 °C, and kept for 8 hours under N</w:t>
      </w:r>
      <w:r w:rsidRPr="001A5452">
        <w:rPr>
          <w:rFonts w:ascii="Times New Roman" w:eastAsia="DengXian" w:hAnsi="Times New Roman" w:cs="Times New Roman"/>
          <w:sz w:val="24"/>
          <w:szCs w:val="24"/>
          <w:vertAlign w:val="subscript"/>
        </w:rPr>
        <w:t>2</w:t>
      </w:r>
      <w:r w:rsidRPr="001A5452">
        <w:rPr>
          <w:rFonts w:ascii="Times New Roman" w:eastAsia="DengXian" w:hAnsi="Times New Roman" w:cs="Times New Roman"/>
          <w:sz w:val="24"/>
          <w:szCs w:val="24"/>
        </w:rPr>
        <w:t xml:space="preserve"> and then transferred into a PTFE petri dish for further curing </w:t>
      </w:r>
      <w:r w:rsidR="00B12AFB">
        <w:rPr>
          <w:rFonts w:ascii="Times New Roman" w:eastAsia="DengXian" w:hAnsi="Times New Roman" w:cs="Times New Roman"/>
          <w:sz w:val="24"/>
          <w:szCs w:val="24"/>
        </w:rPr>
        <w:t>under</w:t>
      </w:r>
      <w:r w:rsidR="00B12AFB"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t xml:space="preserve">vacuum at 140 °C for 30 hours. The final products were washed by ethanol for 4 times, and dried at room temperature. </w:t>
      </w:r>
    </w:p>
    <w:p w14:paraId="643DB03D" w14:textId="77777777" w:rsidR="00B12AFB" w:rsidRPr="001A5452" w:rsidRDefault="00B12AFB" w:rsidP="006F38AE">
      <w:pPr>
        <w:spacing w:after="0" w:line="480" w:lineRule="auto"/>
        <w:jc w:val="both"/>
        <w:rPr>
          <w:rFonts w:ascii="Times New Roman" w:eastAsia="DengXian" w:hAnsi="Times New Roman" w:cs="Times New Roman"/>
          <w:sz w:val="24"/>
          <w:szCs w:val="24"/>
        </w:rPr>
      </w:pPr>
    </w:p>
    <w:p w14:paraId="0FBC1D43" w14:textId="22B47036" w:rsidR="006F38AE" w:rsidRPr="001A5452" w:rsidRDefault="00880ECC" w:rsidP="00EA1575">
      <w:pPr>
        <w:pStyle w:val="Heading2"/>
      </w:pPr>
      <w:bookmarkStart w:id="201" w:name="_Toc518823338"/>
      <w:r>
        <w:t>6</w:t>
      </w:r>
      <w:r w:rsidR="00BD1DD2">
        <w:t>.</w:t>
      </w:r>
      <w:r w:rsidR="006F38AE" w:rsidRPr="001A5452">
        <w:t>2.5. Characterization</w:t>
      </w:r>
      <w:bookmarkEnd w:id="201"/>
    </w:p>
    <w:p w14:paraId="3EBB4A1D" w14:textId="0CDB1C29" w:rsidR="006F38AE" w:rsidRPr="001A5452" w:rsidRDefault="00880ECC" w:rsidP="00EA1575">
      <w:pPr>
        <w:pStyle w:val="Heading3"/>
      </w:pPr>
      <w:bookmarkStart w:id="202" w:name="_Toc518823339"/>
      <w:r>
        <w:t>6</w:t>
      </w:r>
      <w:r w:rsidR="00BD1DD2">
        <w:t>.</w:t>
      </w:r>
      <w:r w:rsidR="00EA1575">
        <w:t xml:space="preserve">2.5.1. </w:t>
      </w:r>
      <w:r w:rsidR="006F38AE" w:rsidRPr="001A5452">
        <w:t>Nuclear magnetic resonance (NMR) spectroscopy</w:t>
      </w:r>
      <w:bookmarkEnd w:id="202"/>
      <w:r w:rsidR="006F38AE" w:rsidRPr="001A5452">
        <w:t xml:space="preserve"> </w:t>
      </w:r>
    </w:p>
    <w:p w14:paraId="32170BE9" w14:textId="3AE35E26"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Prior to NMR analysis, HBPE pre-polymer was washed by ethanol in order to remove the unreacted monomers. After drying in a desiccator at room temperature for 24 hours, HBPE pre-polymer was dissolved in deuterated chloroform (CDCl</w:t>
      </w:r>
      <w:r w:rsidRPr="001A5452">
        <w:rPr>
          <w:rFonts w:ascii="Times New Roman" w:eastAsia="DengXian" w:hAnsi="Times New Roman" w:cs="Times New Roman"/>
          <w:sz w:val="24"/>
          <w:szCs w:val="24"/>
          <w:vertAlign w:val="subscript"/>
        </w:rPr>
        <w:t>3</w:t>
      </w:r>
      <w:r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H NMR and </w:t>
      </w:r>
      <w:r w:rsidRPr="001A5452">
        <w:rPr>
          <w:rFonts w:ascii="Times New Roman" w:eastAsia="DengXian" w:hAnsi="Times New Roman" w:cs="Times New Roman"/>
          <w:sz w:val="24"/>
          <w:szCs w:val="24"/>
          <w:vertAlign w:val="superscript"/>
        </w:rPr>
        <w:t>13</w:t>
      </w:r>
      <w:r w:rsidRPr="001A5452">
        <w:rPr>
          <w:rFonts w:ascii="Times New Roman" w:eastAsia="DengXian" w:hAnsi="Times New Roman" w:cs="Times New Roman"/>
          <w:sz w:val="24"/>
          <w:szCs w:val="24"/>
        </w:rPr>
        <w:t xml:space="preserve">C NMR were performed on </w:t>
      </w:r>
      <w:r w:rsidR="00B12AFB">
        <w:rPr>
          <w:rFonts w:ascii="Times New Roman" w:eastAsia="DengXian" w:hAnsi="Times New Roman" w:cs="Times New Roman"/>
          <w:sz w:val="24"/>
          <w:szCs w:val="24"/>
        </w:rPr>
        <w:t xml:space="preserve">a </w:t>
      </w:r>
      <w:r w:rsidRPr="001A5452">
        <w:rPr>
          <w:rFonts w:ascii="Times New Roman" w:eastAsia="DengXian" w:hAnsi="Times New Roman" w:cs="Times New Roman"/>
          <w:sz w:val="24"/>
          <w:szCs w:val="24"/>
        </w:rPr>
        <w:t>Bruker DRX nuclear magnetic resonance spectroscope at 25 °C, operating at 400 MHz and 125 MHz, respectively. The spectrometer was equipped with an inverse geometry 5 mm VSP probe with a single z-gradient. The software TOPSPIN 1.3 was used for data analysis.</w:t>
      </w:r>
    </w:p>
    <w:p w14:paraId="3F9FADE6" w14:textId="77777777" w:rsidR="00B12AFB" w:rsidRPr="001A5452" w:rsidRDefault="00B12AFB" w:rsidP="006F38AE">
      <w:pPr>
        <w:spacing w:after="0" w:line="480" w:lineRule="auto"/>
        <w:jc w:val="both"/>
        <w:rPr>
          <w:rFonts w:ascii="Times New Roman" w:eastAsia="DengXian" w:hAnsi="Times New Roman" w:cs="Times New Roman"/>
          <w:sz w:val="24"/>
          <w:szCs w:val="24"/>
        </w:rPr>
      </w:pPr>
    </w:p>
    <w:p w14:paraId="3930A729" w14:textId="75C0EA7B" w:rsidR="006F38AE" w:rsidRPr="001A5452" w:rsidRDefault="00880ECC" w:rsidP="00EA1575">
      <w:pPr>
        <w:pStyle w:val="Heading3"/>
      </w:pPr>
      <w:bookmarkStart w:id="203" w:name="_Toc518823340"/>
      <w:r>
        <w:t>6</w:t>
      </w:r>
      <w:r w:rsidR="00BD1DD2">
        <w:t>.</w:t>
      </w:r>
      <w:r w:rsidR="00EA1575">
        <w:t xml:space="preserve">2.5.2. </w:t>
      </w:r>
      <w:r w:rsidR="006F38AE" w:rsidRPr="001A5452">
        <w:t>Gel permeation chromatography (GPC)</w:t>
      </w:r>
      <w:bookmarkEnd w:id="203"/>
      <w:r w:rsidR="006F38AE" w:rsidRPr="001A5452">
        <w:t xml:space="preserve"> </w:t>
      </w:r>
    </w:p>
    <w:p w14:paraId="1A89AE9B" w14:textId="0CD81151"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GPC of HBPE pre-polymer was carried out on </w:t>
      </w:r>
      <w:r w:rsidR="00B12AFB">
        <w:rPr>
          <w:rFonts w:ascii="Times New Roman" w:eastAsia="DengXian" w:hAnsi="Times New Roman" w:cs="Times New Roman"/>
          <w:sz w:val="24"/>
          <w:szCs w:val="24"/>
        </w:rPr>
        <w:t xml:space="preserve">a </w:t>
      </w:r>
      <w:r w:rsidRPr="001A5452">
        <w:rPr>
          <w:rFonts w:ascii="Times New Roman" w:eastAsia="DengXian" w:hAnsi="Times New Roman" w:cs="Times New Roman"/>
          <w:sz w:val="24"/>
          <w:szCs w:val="24"/>
        </w:rPr>
        <w:t xml:space="preserve">Viscotek GPC max with Waters 410 RI detector and Gilson 831 column heater at 25 °C. The instrument was calibrated with polystyrene standards, and THF was used as the solvent. </w:t>
      </w:r>
    </w:p>
    <w:p w14:paraId="430B2B06" w14:textId="77777777" w:rsidR="00B12AFB" w:rsidRPr="001A5452" w:rsidRDefault="00B12AFB" w:rsidP="006F38AE">
      <w:pPr>
        <w:spacing w:after="0" w:line="480" w:lineRule="auto"/>
        <w:jc w:val="both"/>
        <w:rPr>
          <w:rFonts w:ascii="Times New Roman" w:eastAsia="DengXian" w:hAnsi="Times New Roman" w:cs="Times New Roman"/>
          <w:sz w:val="24"/>
          <w:szCs w:val="24"/>
        </w:rPr>
      </w:pPr>
    </w:p>
    <w:p w14:paraId="2EFC3A90" w14:textId="260D9A01" w:rsidR="006F38AE" w:rsidRPr="001A5452" w:rsidRDefault="00880ECC" w:rsidP="00EA1575">
      <w:pPr>
        <w:pStyle w:val="Heading3"/>
      </w:pPr>
      <w:bookmarkStart w:id="204" w:name="_Toc518823341"/>
      <w:r>
        <w:t>6</w:t>
      </w:r>
      <w:r w:rsidR="00BD1DD2">
        <w:t>.</w:t>
      </w:r>
      <w:r w:rsidR="00EA1575">
        <w:t xml:space="preserve">2.5.3. </w:t>
      </w:r>
      <w:r w:rsidR="006F38AE" w:rsidRPr="001A5452">
        <w:t>Potentiometric titration of end groups of HBPE pre-polymer</w:t>
      </w:r>
      <w:bookmarkEnd w:id="204"/>
      <w:r w:rsidR="006F38AE" w:rsidRPr="001A5452">
        <w:t xml:space="preserve"> </w:t>
      </w:r>
    </w:p>
    <w:p w14:paraId="1D5F8061" w14:textId="70112146" w:rsidR="006F38AE" w:rsidRPr="000A3D6D" w:rsidRDefault="00401CA2" w:rsidP="006E7C3E">
      <w:pPr>
        <w:spacing w:after="0" w:line="480" w:lineRule="auto"/>
        <w:jc w:val="both"/>
        <w:rPr>
          <w:rFonts w:ascii="Times New Roman" w:eastAsia="DengXian" w:hAnsi="Times New Roman" w:cs="Times New Roman"/>
          <w:sz w:val="24"/>
          <w:szCs w:val="24"/>
        </w:rPr>
      </w:pPr>
      <w:r w:rsidRPr="00401CA2">
        <w:rPr>
          <w:rFonts w:ascii="Times New Roman" w:eastAsia="DengXian" w:hAnsi="Times New Roman" w:cs="Times New Roman"/>
          <w:sz w:val="24"/>
          <w:szCs w:val="24"/>
        </w:rPr>
        <w:t>To</w:t>
      </w:r>
      <w:r w:rsidR="006F38AE" w:rsidRPr="00401CA2">
        <w:rPr>
          <w:rFonts w:ascii="Times New Roman" w:eastAsia="DengXian" w:hAnsi="Times New Roman" w:cs="Times New Roman"/>
          <w:sz w:val="24"/>
          <w:szCs w:val="24"/>
        </w:rPr>
        <w:t xml:space="preserve"> d</w:t>
      </w:r>
      <w:r w:rsidR="006F38AE" w:rsidRPr="006E7C3E">
        <w:rPr>
          <w:rFonts w:ascii="Times New Roman" w:eastAsia="DengXian" w:hAnsi="Times New Roman" w:cs="Times New Roman"/>
          <w:sz w:val="24"/>
          <w:szCs w:val="24"/>
        </w:rPr>
        <w:t>etermine the amount of hydroxyl (-OH) group, the titration was carried out in accordance with ASTM Standard E1899-08 using reaction with p-toluenesulfonyl isocyanate to form</w:t>
      </w:r>
      <w:r w:rsidR="00BD1DD2">
        <w:rPr>
          <w:rFonts w:ascii="Times New Roman" w:eastAsia="DengXian" w:hAnsi="Times New Roman" w:cs="Times New Roman"/>
          <w:sz w:val="24"/>
          <w:szCs w:val="24"/>
        </w:rPr>
        <w:t xml:space="preserve"> acidic carbamate (TSI, Scheme 7.1</w:t>
      </w:r>
      <w:r w:rsidR="006F38AE" w:rsidRPr="006E7C3E">
        <w:rPr>
          <w:rFonts w:ascii="Times New Roman" w:eastAsia="DengXian" w:hAnsi="Times New Roman" w:cs="Times New Roman"/>
          <w:sz w:val="24"/>
          <w:szCs w:val="24"/>
        </w:rPr>
        <w:t>), and potentiometric titration with 0.1 mol L</w:t>
      </w:r>
      <w:r w:rsidR="006F38AE" w:rsidRPr="006E7C3E">
        <w:rPr>
          <w:rFonts w:ascii="Times New Roman" w:eastAsia="DengXian" w:hAnsi="Times New Roman" w:cs="Times New Roman"/>
          <w:sz w:val="24"/>
          <w:szCs w:val="24"/>
          <w:vertAlign w:val="superscript"/>
        </w:rPr>
        <w:t>-1</w:t>
      </w:r>
      <w:r w:rsidR="006F38AE" w:rsidRPr="006E7C3E">
        <w:rPr>
          <w:rFonts w:ascii="Times New Roman" w:eastAsia="DengXian" w:hAnsi="Times New Roman" w:cs="Times New Roman"/>
          <w:sz w:val="24"/>
          <w:szCs w:val="24"/>
        </w:rPr>
        <w:t xml:space="preserve"> tetrabutylammonium hydroxide (Bu</w:t>
      </w:r>
      <w:r w:rsidR="006F38AE" w:rsidRPr="006E7C3E">
        <w:rPr>
          <w:rFonts w:ascii="Times New Roman" w:eastAsia="DengXian" w:hAnsi="Times New Roman" w:cs="Times New Roman"/>
          <w:sz w:val="24"/>
          <w:szCs w:val="24"/>
          <w:vertAlign w:val="subscript"/>
        </w:rPr>
        <w:t>4</w:t>
      </w:r>
      <w:r w:rsidR="006F38AE" w:rsidRPr="006E7C3E">
        <w:rPr>
          <w:rFonts w:ascii="Times New Roman" w:eastAsia="DengXian" w:hAnsi="Times New Roman" w:cs="Times New Roman"/>
          <w:sz w:val="24"/>
          <w:szCs w:val="24"/>
        </w:rPr>
        <w:t>NOH) methanol/2-propanol solution. Prior to the</w:t>
      </w:r>
      <w:r w:rsidR="006F38AE" w:rsidRPr="000A3D6D">
        <w:rPr>
          <w:rFonts w:ascii="Times New Roman" w:eastAsia="DengXian" w:hAnsi="Times New Roman" w:cs="Times New Roman"/>
        </w:rPr>
        <w:t xml:space="preserve"> </w:t>
      </w:r>
      <w:r w:rsidR="006F38AE" w:rsidRPr="000A3D6D">
        <w:rPr>
          <w:rFonts w:ascii="Times New Roman" w:eastAsia="DengXian" w:hAnsi="Times New Roman" w:cs="Times New Roman"/>
          <w:sz w:val="24"/>
          <w:szCs w:val="24"/>
        </w:rPr>
        <w:t>titration, the concentration of Bu</w:t>
      </w:r>
      <w:r w:rsidR="006F38AE" w:rsidRPr="000A3D6D">
        <w:rPr>
          <w:rFonts w:ascii="Times New Roman" w:eastAsia="DengXian" w:hAnsi="Times New Roman" w:cs="Times New Roman"/>
          <w:sz w:val="24"/>
          <w:szCs w:val="24"/>
          <w:vertAlign w:val="subscript"/>
        </w:rPr>
        <w:t>4</w:t>
      </w:r>
      <w:r w:rsidR="006F38AE" w:rsidRPr="000A3D6D">
        <w:rPr>
          <w:rFonts w:ascii="Times New Roman" w:eastAsia="DengXian" w:hAnsi="Times New Roman" w:cs="Times New Roman"/>
          <w:sz w:val="24"/>
          <w:szCs w:val="24"/>
        </w:rPr>
        <w:t>NOH solution was standardized by potassium hydrogen phthalate 3 times (KHP, dried under 120 C for 2 hours followed by 1 hour in desiccator prior to use), and calculated by equation (</w:t>
      </w:r>
      <w:r w:rsidR="00880ECC">
        <w:rPr>
          <w:rFonts w:ascii="Times New Roman" w:eastAsia="DengXian" w:hAnsi="Times New Roman" w:cs="Times New Roman"/>
          <w:sz w:val="24"/>
          <w:szCs w:val="24"/>
        </w:rPr>
        <w:t>6</w:t>
      </w:r>
      <w:r w:rsidR="00BD1DD2">
        <w:rPr>
          <w:rFonts w:ascii="Times New Roman" w:eastAsia="DengXian" w:hAnsi="Times New Roman" w:cs="Times New Roman"/>
          <w:sz w:val="24"/>
          <w:szCs w:val="24"/>
        </w:rPr>
        <w:t>.</w:t>
      </w:r>
      <w:r w:rsidR="006F38AE" w:rsidRPr="000A3D6D">
        <w:rPr>
          <w:rFonts w:ascii="Times New Roman" w:eastAsia="DengXian" w:hAnsi="Times New Roman" w:cs="Times New Roman"/>
          <w:sz w:val="24"/>
          <w:szCs w:val="24"/>
        </w:rPr>
        <w:t>1) below:</w:t>
      </w:r>
    </w:p>
    <w:p w14:paraId="73CCC973" w14:textId="1078E11A" w:rsidR="006F38AE" w:rsidRDefault="006F38AE" w:rsidP="006F38AE">
      <w:pPr>
        <w:spacing w:after="0" w:line="480" w:lineRule="auto"/>
        <w:ind w:firstLine="270"/>
        <w:jc w:val="center"/>
        <w:rPr>
          <w:rFonts w:ascii="Times New Roman" w:eastAsia="DengXian" w:hAnsi="Times New Roman" w:cs="Times New Roman"/>
          <w:sz w:val="24"/>
          <w:szCs w:val="24"/>
        </w:rPr>
      </w:pPr>
      <m:oMath>
        <m:r>
          <m:rPr>
            <m:sty m:val="b"/>
          </m:rPr>
          <w:rPr>
            <w:rFonts w:ascii="Cambria Math" w:eastAsia="DengXian" w:hAnsi="Cambria Math" w:cs="Times New Roman"/>
            <w:sz w:val="24"/>
            <w:szCs w:val="24"/>
          </w:rPr>
          <m:t>N=</m:t>
        </m:r>
        <m:f>
          <m:fPr>
            <m:ctrlPr>
              <w:rPr>
                <w:rFonts w:ascii="Cambria Math" w:eastAsia="DengXian" w:hAnsi="Cambria Math" w:cs="Times New Roman"/>
                <w:b/>
                <w:sz w:val="24"/>
                <w:szCs w:val="24"/>
              </w:rPr>
            </m:ctrlPr>
          </m:fPr>
          <m:num>
            <m:r>
              <m:rPr>
                <m:sty m:val="bi"/>
              </m:rPr>
              <w:rPr>
                <w:rFonts w:ascii="Cambria Math" w:eastAsia="DengXian" w:hAnsi="Cambria Math" w:cs="Times New Roman"/>
                <w:sz w:val="24"/>
                <w:szCs w:val="24"/>
              </w:rPr>
              <m:t>KHP, g</m:t>
            </m:r>
          </m:num>
          <m:den>
            <m:r>
              <m:rPr>
                <m:sty m:val="bi"/>
              </m:rPr>
              <w:rPr>
                <w:rFonts w:ascii="Cambria Math" w:eastAsia="DengXian" w:hAnsi="Cambria Math" w:cs="Times New Roman"/>
                <w:sz w:val="24"/>
                <w:szCs w:val="24"/>
              </w:rPr>
              <m:t>0.20423 ×Bu</m:t>
            </m:r>
            <m:r>
              <m:rPr>
                <m:sty m:val="bi"/>
              </m:rPr>
              <w:rPr>
                <w:rFonts w:ascii="Cambria Math" w:eastAsia="DengXian" w:hAnsi="Cambria Math" w:cs="Times New Roman"/>
                <w:sz w:val="24"/>
                <w:szCs w:val="24"/>
              </w:rPr>
              <m:t>4</m:t>
            </m:r>
            <m:r>
              <m:rPr>
                <m:sty m:val="bi"/>
              </m:rPr>
              <w:rPr>
                <w:rFonts w:ascii="Cambria Math" w:eastAsia="DengXian" w:hAnsi="Cambria Math" w:cs="Times New Roman"/>
                <w:sz w:val="24"/>
                <w:szCs w:val="24"/>
              </w:rPr>
              <m:t xml:space="preserve">NOH,  ml  </m:t>
            </m:r>
          </m:den>
        </m:f>
      </m:oMath>
      <w:r w:rsidRPr="001A5452">
        <w:rPr>
          <w:rFonts w:ascii="Times New Roman" w:eastAsia="DengXian" w:hAnsi="Times New Roman" w:cs="Times New Roman"/>
          <w:b/>
          <w:sz w:val="24"/>
          <w:szCs w:val="24"/>
        </w:rPr>
        <w:t xml:space="preserve">            </w:t>
      </w:r>
      <w:r w:rsidRPr="001A5452">
        <w:rPr>
          <w:rFonts w:ascii="Times New Roman" w:eastAsia="DengXian" w:hAnsi="Times New Roman" w:cs="Times New Roman"/>
          <w:sz w:val="24"/>
          <w:szCs w:val="24"/>
        </w:rPr>
        <w:t>(</w:t>
      </w:r>
      <w:r w:rsidR="00880ECC">
        <w:rPr>
          <w:rFonts w:ascii="Times New Roman" w:eastAsia="DengXian" w:hAnsi="Times New Roman" w:cs="Times New Roman"/>
          <w:sz w:val="24"/>
          <w:szCs w:val="24"/>
        </w:rPr>
        <w:t>6</w:t>
      </w:r>
      <w:r w:rsidR="00BD1DD2">
        <w:rPr>
          <w:rFonts w:ascii="Times New Roman" w:eastAsia="DengXian" w:hAnsi="Times New Roman" w:cs="Times New Roman"/>
          <w:sz w:val="24"/>
          <w:szCs w:val="24"/>
        </w:rPr>
        <w:t>.</w:t>
      </w:r>
      <w:r w:rsidRPr="001A5452">
        <w:rPr>
          <w:rFonts w:ascii="Times New Roman" w:eastAsia="DengXian" w:hAnsi="Times New Roman" w:cs="Times New Roman"/>
          <w:sz w:val="24"/>
          <w:szCs w:val="24"/>
        </w:rPr>
        <w:t>1)</w:t>
      </w:r>
    </w:p>
    <w:p w14:paraId="6CD6AA65" w14:textId="77777777" w:rsidR="00EC12AF" w:rsidRPr="001A5452" w:rsidRDefault="00EC12AF" w:rsidP="006F38AE">
      <w:pPr>
        <w:spacing w:after="0" w:line="480" w:lineRule="auto"/>
        <w:ind w:firstLine="270"/>
        <w:jc w:val="center"/>
        <w:rPr>
          <w:rFonts w:ascii="Times New Roman" w:eastAsia="DengXian" w:hAnsi="Times New Roman" w:cs="Times New Roman"/>
          <w:b/>
          <w:sz w:val="24"/>
          <w:szCs w:val="24"/>
        </w:rPr>
      </w:pPr>
    </w:p>
    <w:p w14:paraId="1259342C" w14:textId="3DA72BEF" w:rsidR="006F38AE" w:rsidRPr="001A5452" w:rsidRDefault="001A01B3" w:rsidP="000A3D6D">
      <w:pPr>
        <w:spacing w:after="0" w:line="480" w:lineRule="auto"/>
        <w:jc w:val="both"/>
        <w:rPr>
          <w:rFonts w:ascii="Times New Roman" w:eastAsia="DengXian" w:hAnsi="Times New Roman" w:cs="Times New Roman"/>
          <w:sz w:val="24"/>
          <w:szCs w:val="24"/>
        </w:rPr>
      </w:pPr>
      <w:r>
        <w:rPr>
          <w:rFonts w:ascii="Times New Roman" w:eastAsia="DengXian" w:hAnsi="Times New Roman" w:cs="Times New Roman"/>
          <w:sz w:val="24"/>
          <w:szCs w:val="24"/>
        </w:rPr>
        <w:t>Wh</w:t>
      </w:r>
      <w:r w:rsidR="006F38AE" w:rsidRPr="001A5452">
        <w:rPr>
          <w:rFonts w:ascii="Times New Roman" w:eastAsia="DengXian" w:hAnsi="Times New Roman" w:cs="Times New Roman"/>
          <w:sz w:val="24"/>
          <w:szCs w:val="24"/>
        </w:rPr>
        <w:t>ere, N refers to the concentration of the 0.1 meq ml</w:t>
      </w:r>
      <w:r w:rsidR="006F38AE" w:rsidRPr="001A5452">
        <w:rPr>
          <w:rFonts w:ascii="Times New Roman" w:eastAsia="DengXian" w:hAnsi="Times New Roman" w:cs="Times New Roman"/>
          <w:sz w:val="24"/>
          <w:szCs w:val="24"/>
          <w:vertAlign w:val="superscript"/>
        </w:rPr>
        <w:t>-1</w:t>
      </w:r>
      <w:r w:rsidR="006F38AE" w:rsidRPr="001A5452">
        <w:rPr>
          <w:rFonts w:ascii="Times New Roman" w:eastAsia="DengXian" w:hAnsi="Times New Roman" w:cs="Times New Roman"/>
          <w:sz w:val="24"/>
          <w:szCs w:val="24"/>
        </w:rPr>
        <w:t xml:space="preserve"> Bu</w:t>
      </w:r>
      <w:r w:rsidR="006F38AE" w:rsidRPr="001A5452">
        <w:rPr>
          <w:rFonts w:ascii="Times New Roman" w:eastAsia="DengXian" w:hAnsi="Times New Roman" w:cs="Times New Roman"/>
          <w:sz w:val="24"/>
          <w:szCs w:val="24"/>
          <w:vertAlign w:val="subscript"/>
        </w:rPr>
        <w:t>4</w:t>
      </w:r>
      <w:r w:rsidR="006F38AE" w:rsidRPr="001A5452">
        <w:rPr>
          <w:rFonts w:ascii="Times New Roman" w:eastAsia="DengXian" w:hAnsi="Times New Roman" w:cs="Times New Roman"/>
          <w:sz w:val="24"/>
          <w:szCs w:val="24"/>
        </w:rPr>
        <w:t>NOH expressed in unit of g ml</w:t>
      </w:r>
      <w:r w:rsidR="006F38AE" w:rsidRPr="001A5452">
        <w:rPr>
          <w:rFonts w:ascii="Times New Roman" w:eastAsia="DengXian" w:hAnsi="Times New Roman" w:cs="Times New Roman"/>
          <w:sz w:val="24"/>
          <w:szCs w:val="24"/>
          <w:vertAlign w:val="superscript"/>
        </w:rPr>
        <w:t>-1</w:t>
      </w:r>
      <w:r w:rsidR="006F38AE" w:rsidRPr="001A5452">
        <w:rPr>
          <w:rFonts w:ascii="Times New Roman" w:eastAsia="DengXian" w:hAnsi="Times New Roman" w:cs="Times New Roman"/>
          <w:sz w:val="24"/>
          <w:szCs w:val="24"/>
        </w:rPr>
        <w:t>.  0.20423 is the molecular weight of KHP expressed in unit of kg mol</w:t>
      </w:r>
      <w:r w:rsidR="006F38AE" w:rsidRPr="001A5452">
        <w:rPr>
          <w:rFonts w:ascii="Times New Roman" w:eastAsia="DengXian" w:hAnsi="Times New Roman" w:cs="Times New Roman"/>
          <w:sz w:val="24"/>
          <w:szCs w:val="24"/>
          <w:vertAlign w:val="superscript"/>
        </w:rPr>
        <w:t>-1</w:t>
      </w:r>
      <w:r w:rsidR="006F38AE" w:rsidRPr="001A5452">
        <w:rPr>
          <w:rFonts w:ascii="Times New Roman" w:eastAsia="DengXian" w:hAnsi="Times New Roman" w:cs="Times New Roman"/>
          <w:sz w:val="24"/>
          <w:szCs w:val="24"/>
        </w:rPr>
        <w:t xml:space="preserve">. </w:t>
      </w:r>
    </w:p>
    <w:p w14:paraId="033324F9" w14:textId="77777777" w:rsidR="006F38AE" w:rsidRPr="001A5452" w:rsidRDefault="006F38AE" w:rsidP="006F38AE">
      <w:pPr>
        <w:spacing w:after="0" w:line="480" w:lineRule="auto"/>
        <w:ind w:left="450" w:firstLine="270"/>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620C7453" wp14:editId="12D76F7E">
            <wp:extent cx="5120235" cy="1679423"/>
            <wp:effectExtent l="0" t="0" r="444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20235" cy="1679423"/>
                    </a:xfrm>
                    <a:prstGeom prst="rect">
                      <a:avLst/>
                    </a:prstGeom>
                    <a:noFill/>
                  </pic:spPr>
                </pic:pic>
              </a:graphicData>
            </a:graphic>
          </wp:inline>
        </w:drawing>
      </w:r>
      <w:r w:rsidRPr="001A5452">
        <w:rPr>
          <w:rFonts w:ascii="Times New Roman" w:eastAsia="DengXian" w:hAnsi="Times New Roman" w:cs="Times New Roman"/>
          <w:sz w:val="24"/>
          <w:szCs w:val="24"/>
        </w:rPr>
        <w:t xml:space="preserve">         </w:t>
      </w:r>
    </w:p>
    <w:p w14:paraId="5C1E25A5" w14:textId="24E0B5E1" w:rsidR="006F38AE" w:rsidRPr="00237210" w:rsidRDefault="00EC12AF" w:rsidP="006F38AE">
      <w:pPr>
        <w:spacing w:after="0" w:line="480" w:lineRule="auto"/>
        <w:ind w:firstLine="270"/>
        <w:jc w:val="center"/>
        <w:rPr>
          <w:rFonts w:ascii="Times New Roman" w:eastAsia="DengXian" w:hAnsi="Times New Roman" w:cs="Times New Roman"/>
          <w:b/>
          <w:sz w:val="24"/>
          <w:szCs w:val="24"/>
        </w:rPr>
      </w:pPr>
      <w:r w:rsidRPr="00237210">
        <w:rPr>
          <w:rFonts w:ascii="Times New Roman" w:eastAsia="DengXian" w:hAnsi="Times New Roman" w:cs="Times New Roman"/>
          <w:b/>
          <w:sz w:val="24"/>
          <w:szCs w:val="24"/>
        </w:rPr>
        <w:t>Scheme</w:t>
      </w:r>
      <w:r w:rsidR="00BD1DD2">
        <w:rPr>
          <w:rFonts w:ascii="Times New Roman" w:eastAsia="DengXian" w:hAnsi="Times New Roman" w:cs="Times New Roman"/>
          <w:b/>
          <w:sz w:val="24"/>
          <w:szCs w:val="24"/>
        </w:rPr>
        <w:t xml:space="preserve"> </w:t>
      </w:r>
      <w:r w:rsidR="00880ECC">
        <w:rPr>
          <w:rFonts w:ascii="Times New Roman" w:eastAsia="DengXian" w:hAnsi="Times New Roman" w:cs="Times New Roman"/>
          <w:b/>
          <w:sz w:val="24"/>
          <w:szCs w:val="24"/>
        </w:rPr>
        <w:t>6</w:t>
      </w:r>
      <w:r w:rsidR="001A01B3" w:rsidRPr="00237210">
        <w:rPr>
          <w:rFonts w:ascii="Times New Roman" w:eastAsia="DengXian" w:hAnsi="Times New Roman" w:cs="Times New Roman"/>
          <w:b/>
          <w:sz w:val="24"/>
          <w:szCs w:val="24"/>
        </w:rPr>
        <w:t>.</w:t>
      </w:r>
      <w:r w:rsidR="006F38AE" w:rsidRPr="00237210">
        <w:rPr>
          <w:rFonts w:ascii="Times New Roman" w:eastAsia="DengXian" w:hAnsi="Times New Roman" w:cs="Times New Roman"/>
          <w:b/>
          <w:sz w:val="24"/>
          <w:szCs w:val="24"/>
        </w:rPr>
        <w:t>1. The mechanism of titration.</w:t>
      </w:r>
    </w:p>
    <w:p w14:paraId="0B9705D6" w14:textId="77777777" w:rsidR="006F38AE" w:rsidRPr="001A5452" w:rsidRDefault="006F38AE" w:rsidP="006F38AE">
      <w:pPr>
        <w:spacing w:after="0" w:line="480" w:lineRule="auto"/>
        <w:ind w:firstLine="270"/>
        <w:jc w:val="center"/>
        <w:rPr>
          <w:rFonts w:ascii="Times New Roman" w:eastAsia="DengXian" w:hAnsi="Times New Roman" w:cs="Times New Roman"/>
          <w:sz w:val="24"/>
          <w:szCs w:val="24"/>
          <w:lang w:val="en-GB"/>
        </w:rPr>
      </w:pPr>
    </w:p>
    <w:p w14:paraId="3BC79385" w14:textId="177F1B83" w:rsidR="006F38AE" w:rsidRDefault="006F38AE" w:rsidP="00F50AC6">
      <w:pPr>
        <w:spacing w:after="0" w:line="480" w:lineRule="auto"/>
        <w:ind w:firstLine="284"/>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An appropriated amount of HBPE pre-polymer was weighed and dissolved in 10 ml of THF. 10 ml of TSI acetonitrile solution (containing 0.4 ml TSI) was added. The solution was</w:t>
      </w:r>
      <w:r w:rsidR="00DB03E0">
        <w:rPr>
          <w:rFonts w:ascii="Times New Roman" w:eastAsia="DengXian" w:hAnsi="Times New Roman" w:cs="Times New Roman"/>
          <w:sz w:val="24"/>
          <w:szCs w:val="24"/>
        </w:rPr>
        <w:t xml:space="preserve"> magnetically stirred for 5 mins</w:t>
      </w:r>
      <w:r w:rsidRPr="001A5452">
        <w:rPr>
          <w:rFonts w:ascii="Times New Roman" w:eastAsia="DengXian" w:hAnsi="Times New Roman" w:cs="Times New Roman"/>
          <w:sz w:val="24"/>
          <w:szCs w:val="24"/>
        </w:rPr>
        <w:t xml:space="preserve"> and the excess TSI agent was </w:t>
      </w:r>
      <w:r w:rsidR="00A011F3">
        <w:rPr>
          <w:rFonts w:ascii="Times New Roman" w:eastAsia="DengXian" w:hAnsi="Times New Roman" w:cs="Times New Roman"/>
          <w:sz w:val="24"/>
          <w:szCs w:val="24"/>
        </w:rPr>
        <w:t>decomposed</w:t>
      </w:r>
      <w:r w:rsidRPr="001A5452">
        <w:rPr>
          <w:rFonts w:ascii="Times New Roman" w:eastAsia="DengXian" w:hAnsi="Times New Roman" w:cs="Times New Roman"/>
          <w:sz w:val="24"/>
          <w:szCs w:val="24"/>
        </w:rPr>
        <w:t xml:space="preserve"> by adding 0.5 ml of distilled water. The solution was diluted by adding 30 ml of acetonitrile and stirred slowly for a few minutes. The titration was performed twice by using standardized Bu</w:t>
      </w:r>
      <w:r w:rsidRPr="001A5452">
        <w:rPr>
          <w:rFonts w:ascii="Times New Roman" w:eastAsia="DengXian" w:hAnsi="Times New Roman" w:cs="Times New Roman"/>
          <w:sz w:val="24"/>
          <w:szCs w:val="24"/>
          <w:vertAlign w:val="subscript"/>
        </w:rPr>
        <w:t>4</w:t>
      </w:r>
      <w:r w:rsidRPr="001A5452">
        <w:rPr>
          <w:rFonts w:ascii="Times New Roman" w:eastAsia="DengXian" w:hAnsi="Times New Roman" w:cs="Times New Roman"/>
          <w:sz w:val="24"/>
          <w:szCs w:val="24"/>
        </w:rPr>
        <w:t>NOH. The hydroxyl volume (OHV) was calculated based on the consumption of Bu</w:t>
      </w:r>
      <w:r w:rsidRPr="001A5452">
        <w:rPr>
          <w:rFonts w:ascii="Times New Roman" w:eastAsia="DengXian" w:hAnsi="Times New Roman" w:cs="Times New Roman"/>
          <w:sz w:val="24"/>
          <w:szCs w:val="24"/>
          <w:vertAlign w:val="subscript"/>
        </w:rPr>
        <w:t>4</w:t>
      </w:r>
      <w:r w:rsidRPr="001A5452">
        <w:rPr>
          <w:rFonts w:ascii="Times New Roman" w:eastAsia="DengXian" w:hAnsi="Times New Roman" w:cs="Times New Roman"/>
          <w:sz w:val="24"/>
          <w:szCs w:val="24"/>
        </w:rPr>
        <w:t>NOH and the average OHV was reported.</w:t>
      </w:r>
    </w:p>
    <w:p w14:paraId="321F8A85" w14:textId="77777777" w:rsidR="006E7C3E" w:rsidRPr="001A5452" w:rsidRDefault="006E7C3E" w:rsidP="006E7C3E">
      <w:pPr>
        <w:spacing w:after="0" w:line="480" w:lineRule="auto"/>
        <w:jc w:val="both"/>
        <w:rPr>
          <w:rFonts w:ascii="Times New Roman" w:eastAsia="DengXian" w:hAnsi="Times New Roman" w:cs="Times New Roman"/>
          <w:sz w:val="24"/>
          <w:szCs w:val="24"/>
        </w:rPr>
      </w:pPr>
    </w:p>
    <w:p w14:paraId="727338AB" w14:textId="77777777" w:rsidR="006F38AE" w:rsidRPr="001A5452" w:rsidRDefault="006F38AE" w:rsidP="00F50AC6">
      <w:pPr>
        <w:spacing w:after="0" w:line="480" w:lineRule="auto"/>
        <w:ind w:firstLine="284"/>
        <w:contextualSpacing/>
        <w:jc w:val="both"/>
        <w:rPr>
          <w:rFonts w:ascii="Times New Roman" w:eastAsia="DengXian" w:hAnsi="Times New Roman" w:cs="Times New Roman"/>
          <w:sz w:val="24"/>
          <w:szCs w:val="24"/>
        </w:rPr>
      </w:pPr>
      <w:r w:rsidRPr="001A7F8B">
        <w:rPr>
          <w:rFonts w:ascii="Times New Roman" w:eastAsia="DengXian" w:hAnsi="Times New Roman" w:cs="Times New Roman"/>
          <w:sz w:val="24"/>
          <w:szCs w:val="24"/>
        </w:rPr>
        <w:t>To</w:t>
      </w:r>
      <w:r w:rsidRPr="001A5452">
        <w:rPr>
          <w:rFonts w:ascii="Times New Roman" w:eastAsia="DengXian" w:hAnsi="Times New Roman" w:cs="Times New Roman"/>
          <w:sz w:val="24"/>
          <w:szCs w:val="24"/>
        </w:rPr>
        <w:t xml:space="preserve"> determine the amount of carboxylic acid (-COOH) group, 0.1 mol 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potassium hydroxide (KOH) alcoholic solution was used as titrant, which was standardized by KHP. According to the ASTM method (D4662-03), an appropriated amount of HBPE pre-polymer was weighed and dissolved in 50 ml of THF, followed by adding of  0.5 ml of indicator (phenolphthalein solution: 0.5 g of phenolphthalein in 100 ml of a mixture of 50 ml water and 50 ml ethyl alcohol). The HBPE pre-polymer was titrated immediately with 0.1 mol 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KOH for twice. The acid volume (AV) was calculated based on the consumption of KOH and the average AV was reported. </w:t>
      </w:r>
    </w:p>
    <w:p w14:paraId="4951F2C7" w14:textId="77777777" w:rsidR="006F38AE" w:rsidRPr="001A5452" w:rsidRDefault="006F38AE" w:rsidP="006F38AE">
      <w:pPr>
        <w:spacing w:after="0" w:line="480" w:lineRule="auto"/>
        <w:ind w:left="720"/>
        <w:contextualSpacing/>
        <w:jc w:val="both"/>
        <w:rPr>
          <w:rFonts w:ascii="Times New Roman" w:eastAsia="DengXian" w:hAnsi="Times New Roman" w:cs="Times New Roman"/>
          <w:sz w:val="24"/>
          <w:szCs w:val="24"/>
        </w:rPr>
      </w:pPr>
    </w:p>
    <w:p w14:paraId="67DBA378" w14:textId="0EA8FD30" w:rsidR="006F38AE" w:rsidRPr="001A5452" w:rsidRDefault="00880ECC" w:rsidP="00EA1575">
      <w:pPr>
        <w:pStyle w:val="Heading3"/>
      </w:pPr>
      <w:bookmarkStart w:id="205" w:name="_Toc518823342"/>
      <w:r>
        <w:t>6</w:t>
      </w:r>
      <w:r w:rsidR="00BD1DD2">
        <w:t>.</w:t>
      </w:r>
      <w:r w:rsidR="00EA1575">
        <w:t xml:space="preserve">2.5.4. </w:t>
      </w:r>
      <w:r w:rsidR="006F38AE" w:rsidRPr="001A5452">
        <w:t>Fourier transform infrared (FTIR) spectroscopy</w:t>
      </w:r>
      <w:bookmarkEnd w:id="205"/>
      <w:r w:rsidR="006F38AE" w:rsidRPr="001A5452">
        <w:t xml:space="preserve"> </w:t>
      </w:r>
    </w:p>
    <w:p w14:paraId="701B1100" w14:textId="4A39D9EC"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FTIR analysis was conducted on a Spectrum 100 (Perkin Elmer, USA) in the wavelength range of 4000 – 500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with a resolution of 4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w:t>
      </w:r>
    </w:p>
    <w:p w14:paraId="286A1917" w14:textId="77777777" w:rsidR="00CE6E0D" w:rsidRPr="001A5452" w:rsidRDefault="00CE6E0D" w:rsidP="006F38AE">
      <w:pPr>
        <w:spacing w:after="0" w:line="480" w:lineRule="auto"/>
        <w:jc w:val="both"/>
        <w:rPr>
          <w:rFonts w:ascii="Times New Roman" w:eastAsia="DengXian" w:hAnsi="Times New Roman" w:cs="Times New Roman"/>
          <w:sz w:val="24"/>
          <w:szCs w:val="24"/>
        </w:rPr>
      </w:pPr>
    </w:p>
    <w:p w14:paraId="5968281B" w14:textId="15CDF131" w:rsidR="006F38AE" w:rsidRPr="001A5452" w:rsidRDefault="0014290F" w:rsidP="00EA1575">
      <w:pPr>
        <w:pStyle w:val="Heading3"/>
      </w:pPr>
      <w:bookmarkStart w:id="206" w:name="_Toc518823343"/>
      <w:r>
        <w:t>6</w:t>
      </w:r>
      <w:r w:rsidR="00BD1DD2">
        <w:t>.</w:t>
      </w:r>
      <w:r w:rsidR="00EA1575">
        <w:t xml:space="preserve">2.5.5. </w:t>
      </w:r>
      <w:r w:rsidR="006F38AE" w:rsidRPr="001A5452">
        <w:t>Water swelling test</w:t>
      </w:r>
      <w:r w:rsidR="00CE6E0D">
        <w:t>s</w:t>
      </w:r>
      <w:bookmarkEnd w:id="206"/>
    </w:p>
    <w:p w14:paraId="0BD77E6F" w14:textId="2BE6998A"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Water swelling test</w:t>
      </w:r>
      <w:r w:rsidR="00CE6E0D">
        <w:rPr>
          <w:rFonts w:ascii="Times New Roman" w:eastAsia="DengXian" w:hAnsi="Times New Roman" w:cs="Times New Roman"/>
          <w:sz w:val="24"/>
          <w:szCs w:val="24"/>
        </w:rPr>
        <w:t>s</w:t>
      </w:r>
      <w:r w:rsidRPr="001A5452">
        <w:rPr>
          <w:rFonts w:ascii="Times New Roman" w:eastAsia="DengXian" w:hAnsi="Times New Roman" w:cs="Times New Roman"/>
          <w:sz w:val="24"/>
          <w:szCs w:val="24"/>
        </w:rPr>
        <w:t xml:space="preserve"> </w:t>
      </w:r>
      <w:r w:rsidR="00CE6E0D" w:rsidRPr="001A5452">
        <w:rPr>
          <w:rFonts w:ascii="Times New Roman" w:eastAsia="DengXian" w:hAnsi="Times New Roman" w:cs="Times New Roman"/>
          <w:sz w:val="24"/>
          <w:szCs w:val="24"/>
        </w:rPr>
        <w:t>w</w:t>
      </w:r>
      <w:r w:rsidR="00CE6E0D">
        <w:rPr>
          <w:rFonts w:ascii="Times New Roman" w:eastAsia="DengXian" w:hAnsi="Times New Roman" w:cs="Times New Roman"/>
          <w:sz w:val="24"/>
          <w:szCs w:val="24"/>
        </w:rPr>
        <w:t>ere</w:t>
      </w:r>
      <w:r w:rsidR="00CE6E0D"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t xml:space="preserve">carried out on </w:t>
      </w:r>
      <w:r w:rsidRPr="00345B5C">
        <w:rPr>
          <w:rFonts w:ascii="Times New Roman" w:eastAsia="DengXian" w:hAnsi="Times New Roman" w:cs="Times New Roman"/>
          <w:sz w:val="24"/>
          <w:szCs w:val="24"/>
        </w:rPr>
        <w:t>two different size</w:t>
      </w:r>
      <w:r w:rsidR="00CE6E0D" w:rsidRPr="00345B5C">
        <w:rPr>
          <w:rFonts w:ascii="Times New Roman" w:eastAsia="DengXian" w:hAnsi="Times New Roman" w:cs="Times New Roman"/>
          <w:sz w:val="24"/>
          <w:szCs w:val="24"/>
        </w:rPr>
        <w:t>s</w:t>
      </w:r>
      <w:r w:rsidRPr="00345B5C">
        <w:rPr>
          <w:rFonts w:ascii="Times New Roman" w:eastAsia="DengXian" w:hAnsi="Times New Roman" w:cs="Times New Roman"/>
          <w:sz w:val="24"/>
          <w:szCs w:val="24"/>
        </w:rPr>
        <w:t xml:space="preserve"> of square HBPE samples</w:t>
      </w:r>
      <w:r w:rsidR="00CE6E0D" w:rsidRPr="00345B5C">
        <w:rPr>
          <w:rFonts w:ascii="Times New Roman" w:eastAsia="DengXian" w:hAnsi="Times New Roman" w:cs="Times New Roman"/>
          <w:sz w:val="24"/>
          <w:szCs w:val="24"/>
        </w:rPr>
        <w:t xml:space="preserve"> (</w:t>
      </w:r>
      <w:r w:rsidR="00345B5C" w:rsidRPr="00345B5C">
        <w:rPr>
          <w:rFonts w:ascii="Times New Roman" w:eastAsia="DengXian" w:hAnsi="Times New Roman" w:cs="Times New Roman"/>
          <w:sz w:val="24"/>
          <w:szCs w:val="24"/>
        </w:rPr>
        <w:t>width x length x thickness : 8 mm x 8 mm x 1 mm</w:t>
      </w:r>
      <w:r w:rsidR="00345B5C">
        <w:rPr>
          <w:rFonts w:ascii="Times New Roman" w:eastAsia="DengXian" w:hAnsi="Times New Roman" w:cs="Times New Roman"/>
          <w:sz w:val="24"/>
          <w:szCs w:val="24"/>
        </w:rPr>
        <w:t>, 6 mm x 6 mm x 1 mm, respectively</w:t>
      </w:r>
      <w:r w:rsidR="00CE6E0D" w:rsidRPr="00345B5C">
        <w:rPr>
          <w:rFonts w:ascii="Times New Roman" w:eastAsia="DengXian" w:hAnsi="Times New Roman" w:cs="Times New Roman"/>
          <w:sz w:val="24"/>
          <w:szCs w:val="24"/>
        </w:rPr>
        <w:t>)</w:t>
      </w:r>
      <w:r w:rsidRPr="00345B5C">
        <w:rPr>
          <w:rFonts w:ascii="Times New Roman" w:eastAsia="DengXian" w:hAnsi="Times New Roman" w:cs="Times New Roman"/>
          <w:sz w:val="24"/>
          <w:szCs w:val="24"/>
        </w:rPr>
        <w:t>.</w:t>
      </w:r>
      <w:r w:rsidRPr="001A5452">
        <w:rPr>
          <w:rFonts w:ascii="Times New Roman" w:eastAsia="DengXian" w:hAnsi="Times New Roman" w:cs="Times New Roman"/>
          <w:sz w:val="24"/>
          <w:szCs w:val="24"/>
        </w:rPr>
        <w:t xml:space="preserve"> Prior to test, HBPE films were immersed in distilled water for 4 hours, 12 hours, 24 hours, and 48 hours. The surface water was gently wiped by tissue paper and weight was measured immediately.</w:t>
      </w:r>
    </w:p>
    <w:p w14:paraId="0AAB9FAC" w14:textId="77777777" w:rsidR="00CE6E0D" w:rsidRPr="001A5452" w:rsidRDefault="00CE6E0D" w:rsidP="006F38AE">
      <w:pPr>
        <w:spacing w:after="0" w:line="480" w:lineRule="auto"/>
        <w:jc w:val="both"/>
        <w:rPr>
          <w:rFonts w:ascii="Times New Roman" w:eastAsia="DengXian" w:hAnsi="Times New Roman" w:cs="Times New Roman"/>
          <w:sz w:val="24"/>
          <w:szCs w:val="24"/>
        </w:rPr>
      </w:pPr>
    </w:p>
    <w:p w14:paraId="651A2E01" w14:textId="272113CC" w:rsidR="006F38AE" w:rsidRPr="001A5452" w:rsidRDefault="0014290F" w:rsidP="00EA1575">
      <w:pPr>
        <w:pStyle w:val="Heading3"/>
      </w:pPr>
      <w:bookmarkStart w:id="207" w:name="_Toc518823344"/>
      <w:r>
        <w:t>6</w:t>
      </w:r>
      <w:r w:rsidR="00BD1DD2">
        <w:t>.</w:t>
      </w:r>
      <w:r w:rsidR="00EA1575">
        <w:t xml:space="preserve">2.5.6. </w:t>
      </w:r>
      <w:r w:rsidR="006F38AE" w:rsidRPr="001A5452">
        <w:t>Scanning electron microscope (SEM)</w:t>
      </w:r>
      <w:bookmarkEnd w:id="207"/>
      <w:r w:rsidR="006F38AE" w:rsidRPr="001A5452">
        <w:t xml:space="preserve"> </w:t>
      </w:r>
    </w:p>
    <w:p w14:paraId="3863D9B8" w14:textId="33C01DAD"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SEM was carried out on a</w:t>
      </w:r>
      <w:r w:rsidR="00CE6E0D">
        <w:rPr>
          <w:rFonts w:ascii="Times New Roman" w:eastAsia="DengXian" w:hAnsi="Times New Roman" w:cs="Times New Roman"/>
          <w:sz w:val="24"/>
          <w:szCs w:val="24"/>
        </w:rPr>
        <w:t>n</w:t>
      </w:r>
      <w:r w:rsidRPr="001A5452">
        <w:rPr>
          <w:rFonts w:ascii="Times New Roman" w:eastAsia="DengXian" w:hAnsi="Times New Roman" w:cs="Times New Roman"/>
          <w:sz w:val="24"/>
          <w:szCs w:val="24"/>
        </w:rPr>
        <w:t xml:space="preserve"> FEI Inspect F scanning electron microscope at 10 kV. Prior to the SEM observation, the cross-section surface was ruptured in liquid nitrogen and sputter-coated by gold using SPI sputter-coater for enhanced conductivity.</w:t>
      </w:r>
    </w:p>
    <w:p w14:paraId="6C3F3263" w14:textId="77777777" w:rsidR="00CE6E0D" w:rsidRPr="001A5452" w:rsidRDefault="00CE6E0D" w:rsidP="006F38AE">
      <w:pPr>
        <w:spacing w:after="0" w:line="480" w:lineRule="auto"/>
        <w:jc w:val="both"/>
        <w:rPr>
          <w:rFonts w:ascii="Times New Roman" w:eastAsia="DengXian" w:hAnsi="Times New Roman" w:cs="Times New Roman"/>
          <w:sz w:val="24"/>
          <w:szCs w:val="24"/>
        </w:rPr>
      </w:pPr>
    </w:p>
    <w:p w14:paraId="69A43D43" w14:textId="1DE65863" w:rsidR="006F38AE" w:rsidRPr="001A5452" w:rsidRDefault="0014290F" w:rsidP="00EA1575">
      <w:pPr>
        <w:pStyle w:val="Heading3"/>
      </w:pPr>
      <w:bookmarkStart w:id="208" w:name="_Toc518823345"/>
      <w:r>
        <w:t>6</w:t>
      </w:r>
      <w:r w:rsidR="00BD1DD2">
        <w:t>.</w:t>
      </w:r>
      <w:r w:rsidR="00EA1575">
        <w:t xml:space="preserve">2.5.7. </w:t>
      </w:r>
      <w:r w:rsidR="006F38AE" w:rsidRPr="001A5452">
        <w:t>Dynamic mechanical analysis (DMA)</w:t>
      </w:r>
      <w:bookmarkEnd w:id="208"/>
      <w:r w:rsidR="006F38AE" w:rsidRPr="001A5452">
        <w:t xml:space="preserve"> </w:t>
      </w:r>
    </w:p>
    <w:p w14:paraId="5CCF0FE0" w14:textId="009199F5" w:rsidR="006F38AE" w:rsidRPr="00864BFD"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DMA was employed to measure the glass transition temperature (</w:t>
      </w:r>
      <w:r w:rsidRPr="001A5452">
        <w:rPr>
          <w:rFonts w:ascii="Times New Roman" w:eastAsia="DengXian" w:hAnsi="Times New Roman" w:cs="Times New Roman"/>
          <w:i/>
          <w:sz w:val="24"/>
          <w:szCs w:val="24"/>
        </w:rPr>
        <w:t>T</w:t>
      </w:r>
      <w:r w:rsidRPr="001A5452">
        <w:rPr>
          <w:rFonts w:ascii="Times New Roman" w:eastAsia="DengXian" w:hAnsi="Times New Roman" w:cs="Times New Roman"/>
          <w:i/>
          <w:sz w:val="24"/>
          <w:szCs w:val="24"/>
          <w:vertAlign w:val="subscript"/>
        </w:rPr>
        <w:t>g</w:t>
      </w:r>
      <w:r w:rsidRPr="001A5452">
        <w:rPr>
          <w:rFonts w:ascii="Times New Roman" w:eastAsia="DengXian" w:hAnsi="Times New Roman" w:cs="Times New Roman"/>
          <w:sz w:val="24"/>
          <w:szCs w:val="24"/>
        </w:rPr>
        <w:t xml:space="preserve">) of HBPE and carried out on a DMA 8000 instrument equipped with single cantilever geometry. The specimens were </w:t>
      </w:r>
      <w:r w:rsidRPr="00CE6E0D">
        <w:rPr>
          <w:rFonts w:ascii="Times New Roman" w:eastAsia="DengXian" w:hAnsi="Times New Roman" w:cs="Times New Roman"/>
          <w:sz w:val="24"/>
          <w:szCs w:val="24"/>
        </w:rPr>
        <w:t xml:space="preserve">rectangular stripes (5 mm × 6 mm) and put between two same-size PTFE films for DMA tests, owing to the extremely low hardness of samples. Measurements were performed at a frequency of 1 Hz from -150 °C to 40 °C at a heating rate of 2 </w:t>
      </w:r>
      <w:bookmarkStart w:id="209" w:name="OLE_LINK1"/>
      <w:r w:rsidRPr="00CE6E0D">
        <w:rPr>
          <w:rFonts w:ascii="Times New Roman" w:eastAsia="DengXian" w:hAnsi="Times New Roman" w:cs="Times New Roman"/>
          <w:sz w:val="24"/>
          <w:szCs w:val="24"/>
        </w:rPr>
        <w:t>°</w:t>
      </w:r>
      <w:bookmarkEnd w:id="209"/>
      <w:r w:rsidRPr="00CE6E0D">
        <w:rPr>
          <w:rFonts w:ascii="Times New Roman" w:eastAsia="DengXian" w:hAnsi="Times New Roman" w:cs="Times New Roman"/>
          <w:sz w:val="24"/>
          <w:szCs w:val="24"/>
        </w:rPr>
        <w:t>C min</w:t>
      </w:r>
      <w:r w:rsidRPr="000F19FE">
        <w:rPr>
          <w:rFonts w:ascii="Times New Roman" w:eastAsia="DengXian" w:hAnsi="Times New Roman" w:cs="Times New Roman"/>
          <w:sz w:val="24"/>
          <w:szCs w:val="24"/>
          <w:vertAlign w:val="superscript"/>
        </w:rPr>
        <w:t>-1</w:t>
      </w:r>
      <w:r w:rsidRPr="001E4493">
        <w:rPr>
          <w:rFonts w:ascii="Times New Roman" w:eastAsia="DengXian" w:hAnsi="Times New Roman" w:cs="Times New Roman"/>
          <w:sz w:val="24"/>
          <w:szCs w:val="24"/>
        </w:rPr>
        <w:t xml:space="preserve">.  </w:t>
      </w:r>
    </w:p>
    <w:p w14:paraId="6CCBEEC5" w14:textId="77777777" w:rsidR="00CE6E0D" w:rsidRPr="00CE6E0D" w:rsidRDefault="00CE6E0D" w:rsidP="006F38AE">
      <w:pPr>
        <w:spacing w:after="0" w:line="480" w:lineRule="auto"/>
        <w:jc w:val="both"/>
        <w:rPr>
          <w:rFonts w:ascii="Times New Roman" w:eastAsia="DengXian" w:hAnsi="Times New Roman" w:cs="Times New Roman"/>
          <w:sz w:val="24"/>
          <w:szCs w:val="24"/>
        </w:rPr>
      </w:pPr>
    </w:p>
    <w:p w14:paraId="0EA0EABB" w14:textId="43D104BF" w:rsidR="006F38AE" w:rsidRPr="007E4AF6" w:rsidRDefault="0014290F" w:rsidP="00EA1575">
      <w:pPr>
        <w:pStyle w:val="Heading3"/>
      </w:pPr>
      <w:bookmarkStart w:id="210" w:name="_Toc518823346"/>
      <w:r>
        <w:t>6</w:t>
      </w:r>
      <w:r w:rsidR="00BD1DD2">
        <w:t>.</w:t>
      </w:r>
      <w:r w:rsidR="00EA1575">
        <w:t xml:space="preserve">2.5.8. </w:t>
      </w:r>
      <w:r w:rsidR="006F38AE" w:rsidRPr="007E4AF6">
        <w:t>Tensile properties</w:t>
      </w:r>
      <w:bookmarkEnd w:id="210"/>
      <w:r w:rsidR="006F38AE" w:rsidRPr="007E4AF6">
        <w:t xml:space="preserve"> </w:t>
      </w:r>
    </w:p>
    <w:p w14:paraId="4E59C00E" w14:textId="2FEADA05" w:rsidR="006F38AE" w:rsidRPr="00345B5C" w:rsidRDefault="006F38AE" w:rsidP="006F38AE">
      <w:pPr>
        <w:spacing w:after="0" w:line="480" w:lineRule="auto"/>
        <w:jc w:val="both"/>
        <w:rPr>
          <w:rFonts w:ascii="Times New Roman" w:eastAsia="DengXian" w:hAnsi="Times New Roman" w:cs="Times New Roman"/>
          <w:sz w:val="24"/>
          <w:szCs w:val="24"/>
        </w:rPr>
      </w:pPr>
      <w:r w:rsidRPr="00345B5C">
        <w:rPr>
          <w:rFonts w:ascii="Times New Roman" w:eastAsia="DengXian" w:hAnsi="Times New Roman" w:cs="Times New Roman"/>
          <w:sz w:val="24"/>
          <w:szCs w:val="24"/>
        </w:rPr>
        <w:t xml:space="preserve">Tensile tests were carried out on a Hounsfield universal testing machine (Tinius Olsen Ltd.) at room temperature, with 10 N loading cell, at 100 mm/min strain rate. Hysteresis tests </w:t>
      </w:r>
      <w:r w:rsidR="00345B5C" w:rsidRPr="00345B5C">
        <w:rPr>
          <w:rFonts w:ascii="Times New Roman" w:eastAsia="DengXian" w:hAnsi="Times New Roman" w:cs="Times New Roman"/>
          <w:sz w:val="24"/>
          <w:szCs w:val="24"/>
        </w:rPr>
        <w:t>were performed</w:t>
      </w:r>
      <w:r w:rsidRPr="00345B5C">
        <w:rPr>
          <w:rFonts w:ascii="Times New Roman" w:eastAsia="DengXian" w:hAnsi="Times New Roman" w:cs="Times New Roman"/>
          <w:sz w:val="24"/>
          <w:szCs w:val="24"/>
        </w:rPr>
        <w:t xml:space="preserve"> in two different cyclic tensile tests: 1) 4</w:t>
      </w:r>
      <w:r w:rsidR="00CE6E0D">
        <w:rPr>
          <w:rFonts w:ascii="Times New Roman" w:eastAsia="DengXian" w:hAnsi="Times New Roman" w:cs="Times New Roman"/>
          <w:sz w:val="24"/>
          <w:szCs w:val="24"/>
        </w:rPr>
        <w:t>-</w:t>
      </w:r>
      <w:r w:rsidRPr="00345B5C">
        <w:rPr>
          <w:rFonts w:ascii="Times New Roman" w:eastAsia="DengXian" w:hAnsi="Times New Roman" w:cs="Times New Roman"/>
          <w:sz w:val="24"/>
          <w:szCs w:val="24"/>
        </w:rPr>
        <w:t xml:space="preserve">cycle tensile test with </w:t>
      </w:r>
      <w:r w:rsidR="00CE6E0D">
        <w:rPr>
          <w:rFonts w:ascii="Times New Roman" w:eastAsia="DengXian" w:hAnsi="Times New Roman" w:cs="Times New Roman"/>
          <w:sz w:val="24"/>
          <w:szCs w:val="24"/>
        </w:rPr>
        <w:t xml:space="preserve">a </w:t>
      </w:r>
      <w:r w:rsidRPr="00345B5C">
        <w:rPr>
          <w:rFonts w:ascii="Times New Roman" w:eastAsia="DengXian" w:hAnsi="Times New Roman" w:cs="Times New Roman"/>
          <w:sz w:val="24"/>
          <w:szCs w:val="24"/>
        </w:rPr>
        <w:t xml:space="preserve">consist </w:t>
      </w:r>
      <w:r w:rsidR="00CE6E0D">
        <w:rPr>
          <w:rFonts w:ascii="Times New Roman" w:eastAsia="DengXian" w:hAnsi="Times New Roman" w:cs="Times New Roman"/>
          <w:sz w:val="24"/>
          <w:szCs w:val="24"/>
        </w:rPr>
        <w:t>strain</w:t>
      </w:r>
      <w:r w:rsidR="00CE6E0D" w:rsidRPr="00345B5C">
        <w:rPr>
          <w:rFonts w:ascii="Times New Roman" w:eastAsia="DengXian" w:hAnsi="Times New Roman" w:cs="Times New Roman"/>
          <w:sz w:val="24"/>
          <w:szCs w:val="24"/>
        </w:rPr>
        <w:t xml:space="preserve"> </w:t>
      </w:r>
      <w:r w:rsidRPr="00345B5C">
        <w:rPr>
          <w:rFonts w:ascii="Times New Roman" w:eastAsia="DengXian" w:hAnsi="Times New Roman" w:cs="Times New Roman"/>
          <w:sz w:val="24"/>
          <w:szCs w:val="24"/>
        </w:rPr>
        <w:t xml:space="preserve">of 200%; 2) 4 cycles with different </w:t>
      </w:r>
      <w:r w:rsidR="00CE6E0D">
        <w:rPr>
          <w:rFonts w:ascii="Times New Roman" w:eastAsia="DengXian" w:hAnsi="Times New Roman" w:cs="Times New Roman"/>
          <w:sz w:val="24"/>
          <w:szCs w:val="24"/>
        </w:rPr>
        <w:t>strains</w:t>
      </w:r>
      <w:r w:rsidR="00CE6E0D" w:rsidRPr="00345B5C">
        <w:rPr>
          <w:rFonts w:ascii="Times New Roman" w:eastAsia="DengXian" w:hAnsi="Times New Roman" w:cs="Times New Roman"/>
          <w:sz w:val="24"/>
          <w:szCs w:val="24"/>
        </w:rPr>
        <w:t xml:space="preserve"> </w:t>
      </w:r>
      <w:r w:rsidRPr="00345B5C">
        <w:rPr>
          <w:rFonts w:ascii="Times New Roman" w:eastAsia="DengXian" w:hAnsi="Times New Roman" w:cs="Times New Roman"/>
          <w:sz w:val="24"/>
          <w:szCs w:val="24"/>
        </w:rPr>
        <w:t>of 10%, 20%, 50%, and 100%, respectively. Fatigue test</w:t>
      </w:r>
      <w:r w:rsidR="00CE6E0D">
        <w:rPr>
          <w:rFonts w:ascii="Times New Roman" w:eastAsia="DengXian" w:hAnsi="Times New Roman" w:cs="Times New Roman"/>
          <w:sz w:val="24"/>
          <w:szCs w:val="24"/>
        </w:rPr>
        <w:t xml:space="preserve">s </w:t>
      </w:r>
      <w:r w:rsidRPr="00345B5C">
        <w:rPr>
          <w:rFonts w:ascii="Times New Roman" w:eastAsia="DengXian" w:hAnsi="Times New Roman" w:cs="Times New Roman"/>
          <w:sz w:val="24"/>
          <w:szCs w:val="24"/>
        </w:rPr>
        <w:t>w</w:t>
      </w:r>
      <w:r w:rsidR="00CE6E0D">
        <w:rPr>
          <w:rFonts w:ascii="Times New Roman" w:eastAsia="DengXian" w:hAnsi="Times New Roman" w:cs="Times New Roman"/>
          <w:sz w:val="24"/>
          <w:szCs w:val="24"/>
        </w:rPr>
        <w:t>ere</w:t>
      </w:r>
      <w:r w:rsidRPr="00345B5C">
        <w:rPr>
          <w:rFonts w:ascii="Times New Roman" w:eastAsia="DengXian" w:hAnsi="Times New Roman" w:cs="Times New Roman"/>
          <w:sz w:val="24"/>
          <w:szCs w:val="24"/>
        </w:rPr>
        <w:t xml:space="preserve"> conducted by cyclic test</w:t>
      </w:r>
      <w:r w:rsidR="00CE6E0D">
        <w:rPr>
          <w:rFonts w:ascii="Times New Roman" w:eastAsia="DengXian" w:hAnsi="Times New Roman" w:cs="Times New Roman"/>
          <w:sz w:val="24"/>
          <w:szCs w:val="24"/>
        </w:rPr>
        <w:t>ing</w:t>
      </w:r>
      <w:r w:rsidRPr="00345B5C">
        <w:rPr>
          <w:rFonts w:ascii="Times New Roman" w:eastAsia="DengXian" w:hAnsi="Times New Roman" w:cs="Times New Roman"/>
          <w:sz w:val="24"/>
          <w:szCs w:val="24"/>
        </w:rPr>
        <w:t xml:space="preserve"> with 1000 repeated cycles. </w:t>
      </w:r>
    </w:p>
    <w:p w14:paraId="61512DEE" w14:textId="77777777" w:rsidR="00CE6E0D" w:rsidRPr="00345B5C" w:rsidRDefault="00CE6E0D" w:rsidP="006F38AE">
      <w:pPr>
        <w:spacing w:after="0" w:line="480" w:lineRule="auto"/>
        <w:jc w:val="both"/>
        <w:rPr>
          <w:rFonts w:ascii="Times New Roman" w:eastAsia="DengXian" w:hAnsi="Times New Roman" w:cs="Times New Roman"/>
          <w:sz w:val="24"/>
          <w:szCs w:val="24"/>
        </w:rPr>
      </w:pPr>
    </w:p>
    <w:p w14:paraId="6429B4CC" w14:textId="3A432593" w:rsidR="006F38AE" w:rsidRPr="00CE6E0D" w:rsidRDefault="0014290F" w:rsidP="00EA1575">
      <w:pPr>
        <w:pStyle w:val="Heading3"/>
      </w:pPr>
      <w:bookmarkStart w:id="211" w:name="_Toc518823347"/>
      <w:r>
        <w:t>6</w:t>
      </w:r>
      <w:r w:rsidR="00BD1DD2">
        <w:t>.</w:t>
      </w:r>
      <w:r w:rsidR="00EA1575">
        <w:t xml:space="preserve">2.5.9. </w:t>
      </w:r>
      <w:r w:rsidR="006F38AE" w:rsidRPr="00CE6E0D">
        <w:t>Thermogravimetric analysis (TGA)</w:t>
      </w:r>
      <w:bookmarkEnd w:id="211"/>
      <w:r w:rsidR="006F38AE" w:rsidRPr="00CE6E0D">
        <w:t xml:space="preserve"> </w:t>
      </w:r>
    </w:p>
    <w:p w14:paraId="2F09DC8A" w14:textId="77777777" w:rsidR="006F38AE" w:rsidRPr="00CE6E0D" w:rsidRDefault="006F38AE" w:rsidP="006F38AE">
      <w:pPr>
        <w:spacing w:after="0" w:line="480" w:lineRule="auto"/>
        <w:jc w:val="both"/>
        <w:rPr>
          <w:rFonts w:ascii="Times New Roman" w:eastAsia="DengXian" w:hAnsi="Times New Roman" w:cs="Times New Roman"/>
          <w:sz w:val="24"/>
          <w:szCs w:val="24"/>
        </w:rPr>
      </w:pPr>
      <w:r w:rsidRPr="00864BFD">
        <w:rPr>
          <w:rFonts w:ascii="Times New Roman" w:eastAsia="DengXian" w:hAnsi="Times New Roman" w:cs="Times New Roman"/>
          <w:sz w:val="24"/>
          <w:szCs w:val="24"/>
        </w:rPr>
        <w:t>TGA was performed by a thermogravimetric analyzer Pyris 1 (Perkin Elmer, USA). The studied temper</w:t>
      </w:r>
      <w:r w:rsidRPr="00CE6E0D">
        <w:rPr>
          <w:rFonts w:ascii="Times New Roman" w:eastAsia="DengXian" w:hAnsi="Times New Roman" w:cs="Times New Roman"/>
          <w:sz w:val="24"/>
          <w:szCs w:val="24"/>
        </w:rPr>
        <w:t>ature range was from 25 °C to 800 °C, with a heating rate of 10 °C min</w:t>
      </w:r>
      <w:r w:rsidRPr="00CE6E0D">
        <w:rPr>
          <w:rFonts w:ascii="Times New Roman" w:eastAsia="DengXian" w:hAnsi="Times New Roman" w:cs="Times New Roman"/>
          <w:sz w:val="24"/>
          <w:szCs w:val="24"/>
          <w:vertAlign w:val="superscript"/>
        </w:rPr>
        <w:t>-1</w:t>
      </w:r>
      <w:r w:rsidRPr="00CE6E0D">
        <w:rPr>
          <w:rFonts w:ascii="Times New Roman" w:eastAsia="DengXian" w:hAnsi="Times New Roman" w:cs="Times New Roman"/>
          <w:sz w:val="24"/>
          <w:szCs w:val="24"/>
        </w:rPr>
        <w:t xml:space="preserve"> under a nitrogen flow of 20 ml min</w:t>
      </w:r>
      <w:r w:rsidRPr="00CE6E0D">
        <w:rPr>
          <w:rFonts w:ascii="Times New Roman" w:eastAsia="DengXian" w:hAnsi="Times New Roman" w:cs="Times New Roman"/>
          <w:sz w:val="24"/>
          <w:szCs w:val="24"/>
          <w:vertAlign w:val="superscript"/>
        </w:rPr>
        <w:t>-1</w:t>
      </w:r>
      <w:r w:rsidRPr="00CE6E0D">
        <w:rPr>
          <w:rFonts w:ascii="Times New Roman" w:eastAsia="DengXian" w:hAnsi="Times New Roman" w:cs="Times New Roman"/>
          <w:sz w:val="24"/>
          <w:szCs w:val="24"/>
        </w:rPr>
        <w:t xml:space="preserve">. </w:t>
      </w:r>
    </w:p>
    <w:p w14:paraId="285E5939" w14:textId="77777777" w:rsidR="006F38AE" w:rsidRPr="00CE6E0D" w:rsidRDefault="006F38AE" w:rsidP="006F38AE">
      <w:pPr>
        <w:spacing w:after="0" w:line="480" w:lineRule="auto"/>
        <w:jc w:val="both"/>
        <w:rPr>
          <w:rFonts w:ascii="Times New Roman" w:eastAsia="DengXian" w:hAnsi="Times New Roman" w:cs="Times New Roman"/>
          <w:sz w:val="24"/>
          <w:szCs w:val="24"/>
        </w:rPr>
      </w:pPr>
    </w:p>
    <w:p w14:paraId="4691B74C" w14:textId="306DA8BC" w:rsidR="006F38AE" w:rsidRPr="007E4AF6" w:rsidRDefault="0014290F" w:rsidP="00A22DC4">
      <w:pPr>
        <w:pStyle w:val="Heading1"/>
      </w:pPr>
      <w:bookmarkStart w:id="212" w:name="_Toc518823348"/>
      <w:r>
        <w:t>6</w:t>
      </w:r>
      <w:r w:rsidR="00BD1DD2">
        <w:t>.</w:t>
      </w:r>
      <w:r w:rsidR="006F38AE" w:rsidRPr="007E4AF6">
        <w:t>3. Results and discussion</w:t>
      </w:r>
      <w:bookmarkEnd w:id="212"/>
    </w:p>
    <w:p w14:paraId="5F31C569" w14:textId="5CC4B657" w:rsidR="006F38AE" w:rsidRPr="001A5452" w:rsidRDefault="0014290F" w:rsidP="00A22DC4">
      <w:pPr>
        <w:pStyle w:val="Heading2"/>
      </w:pPr>
      <w:bookmarkStart w:id="213" w:name="_Toc518823349"/>
      <w:r>
        <w:t>6</w:t>
      </w:r>
      <w:r w:rsidR="00BD1DD2">
        <w:t>.</w:t>
      </w:r>
      <w:r w:rsidR="006F38AE" w:rsidRPr="007E4AF6">
        <w:t>3.1. Characterization of bio-based hyperbranched</w:t>
      </w:r>
      <w:r w:rsidR="006F38AE" w:rsidRPr="001A5452">
        <w:t xml:space="preserve"> polyester</w:t>
      </w:r>
      <w:bookmarkEnd w:id="213"/>
      <w:r w:rsidR="006F38AE" w:rsidRPr="001A5452">
        <w:t xml:space="preserve"> </w:t>
      </w:r>
    </w:p>
    <w:p w14:paraId="136F2F14" w14:textId="31C1AB13" w:rsidR="006F38AE" w:rsidRPr="001A5452" w:rsidRDefault="006F38AE" w:rsidP="00A22DC4">
      <w:pPr>
        <w:pStyle w:val="Heading3"/>
      </w:pPr>
      <w:r w:rsidRPr="001A5452">
        <w:t xml:space="preserve"> </w:t>
      </w:r>
      <w:bookmarkStart w:id="214" w:name="_Toc518823350"/>
      <w:r w:rsidR="0014290F">
        <w:t>6</w:t>
      </w:r>
      <w:r w:rsidR="00BD1DD2">
        <w:t>.</w:t>
      </w:r>
      <w:r w:rsidRPr="001A5452">
        <w:t xml:space="preserve">3.1.1. Chemical </w:t>
      </w:r>
      <w:r w:rsidR="00CE6E0D">
        <w:t>s</w:t>
      </w:r>
      <w:r w:rsidRPr="001A5452">
        <w:t>tructure of HBPE pre-polymer</w:t>
      </w:r>
      <w:bookmarkEnd w:id="214"/>
    </w:p>
    <w:p w14:paraId="2B6DD541" w14:textId="06D43A8E" w:rsidR="006F38AE" w:rsidRPr="001A5452"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Pripol 2030 is C36 dimer alcohol. Pripol 1040 is a mixture of C54 trimer fatty acid and C36 dimer fatty acid, according to the information provided by Croda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"10.1016/j.(73)", "ISBN" : "2004001828", "ISSN" : "2004001828", "PMID" : "1000182772", "author" : [ { "dropping-particle" : "", "family" : "Peter G. Odell, Rina Carlini", "given" : "Lu Jiang", "non-dropping-particle" : "", "parse-names" : false, "suffix" : "" } ], "container-title" : "United States Patent", "id" : "ITEM-1", "issue" : "12", "issued" : { "date-parts" : [ [ "2009" ] ] }, "page" : "0-4", "title" : "Processing for preparing difunctional compounds", "type" : "article-journal", "volume" : "7" }, "uris" : [ "http://www.mendeley.com/documents/?uuid=bb175f21-9efc-41c3-839e-a5ad03c2c0ad" ] }, { "id" : "ITEM-2", "itemData" : { "DOI" : "10.1021/bm300523e", "ISBN" : "1525-7797", "ISSN" : "15257797", "PMID" : "22612310", "abstract" : "This Article describes the synthesis and characterization of renewable self-adhesive coatings with tunable viscoelastic properties and equipped with well-defined amounts of carboxylic acid \"sticker\" groups with adhesion promoting characteristics. Hydroxyl-ended polyesters with various architectures (linear, branched) were synthesized by melt polycondensation of dimerized fatty acids and fatty diols and then cured with maleic anhydride-modified triglycerides (such as maleinized soybean oil) in the presence of the amidine catalyst 1,8-diazabicyclo[5.4.0]undec-7-ene. The curing reaction of alcoholysis has the dual effect of chain extending/cross-linking the base polymers via creation of polymeric half-esters linkages while introducing carboxylic acid functions within the gel structure. We demonstrated how the adhesion properties can be finely tuned from molecular design and formulation of the network precursors and how the rheology and functionality of the coatings influence the adhesive bond formation and development. These renewable polyester adhesives proved to be suitable materials for pressure-sensitive adhesives applications with respect to adhesion strength, viscoelasticity, and functionality. In addition, the environmental benefits of such materials are briefly discussed.", "author" : [ { "dropping-particle" : "", "family" : "Vendamme", "given" : "Richard", "non-dropping-particle" : "", "parse-names" : false, "suffix" : "" }, { "dropping-particle" : "", "family" : "Olaerts", "given" : "Katrien", "non-dropping-particle" : "", "parse-names" : false, "suffix" : "" }, { "dropping-particle" : "", "family" : "Gomes", "given" : "Monica", "non-dropping-particle" : "", "parse-names" : false, "suffix" : "" }, { "dropping-particle" : "", "family" : "Degens", "given" : "Marc", "non-dropping-particle" : "", "parse-names" : false, "suffix" : "" }, { "dropping-particle" : "", "family" : "Shigematsu", "given" : "Takayuki", "non-dropping-particle" : "", "parse-names" : false, "suffix" : "" }, { "dropping-particle" : "", "family" : "Eevers", "given" : "Walter", "non-dropping-particle" : "", "parse-names" : false, "suffix" : "" } ], "container-title" : "Biomacromolecules", "id" : "ITEM-2", "issue" : "6", "issued" : { "date-parts" : [ [ "2012" ] ] }, "page" : "1933-1944", "title" : "Interplay between viscoelastic and chemical tunings in fatty-acid-based polyester adhesives: Engineering biomass toward functionalized step-growth polymers and soft networks", "type" : "article-journal", "volume" : "13" }, "uris" : [ "http://www.mendeley.com/documents/?uuid=aaf5b3f4-dd0c-40bc-81b7-75ec287baf60" ] } ], "mendeley" : { "formattedCitation" : "[239,240]", "plainTextFormattedCitation" : "[239,240]", "previouslyFormattedCitation" : "[239,240]"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[239,240]</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To get the precise chemical structures of these bio-based monomers, </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H NMR and </w:t>
      </w:r>
      <w:r w:rsidRPr="001A5452">
        <w:rPr>
          <w:rFonts w:ascii="Times New Roman" w:eastAsia="DengXian" w:hAnsi="Times New Roman" w:cs="Times New Roman"/>
          <w:sz w:val="24"/>
          <w:szCs w:val="24"/>
          <w:vertAlign w:val="superscript"/>
        </w:rPr>
        <w:t>13</w:t>
      </w:r>
      <w:r w:rsidRPr="001A5452">
        <w:rPr>
          <w:rFonts w:ascii="Times New Roman" w:eastAsia="DengXian" w:hAnsi="Times New Roman" w:cs="Times New Roman"/>
          <w:sz w:val="24"/>
          <w:szCs w:val="24"/>
        </w:rPr>
        <w:t xml:space="preserve">C NMR were conducted.  In </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H NMR spectrum of Pripol 2030 (Figure </w:t>
      </w:r>
      <w:r w:rsidR="001429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EC12AF">
        <w:rPr>
          <w:rFonts w:ascii="Times New Roman" w:eastAsia="DengXian" w:hAnsi="Times New Roman" w:cs="Times New Roman"/>
          <w:sz w:val="24"/>
          <w:szCs w:val="24"/>
        </w:rPr>
        <w:t>1</w:t>
      </w:r>
      <w:r w:rsidRPr="001A5452">
        <w:rPr>
          <w:rFonts w:ascii="Times New Roman" w:eastAsia="DengXian" w:hAnsi="Times New Roman" w:cs="Times New Roman"/>
          <w:sz w:val="24"/>
          <w:szCs w:val="24"/>
        </w:rPr>
        <w:t xml:space="preserve">), the signal at 7.3 ppm relates to the solvent (deuterated chloroform)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"10.1055/s-0034-1394998", "ISSN" : "0032-0943", "author" : [ { "dropping-particle" : "", "family" : "Cieckiewicz", "given" : "E", "non-dropping-particle" : "", "parse-names" : false, "suffix" : "" }, { "dropping-particle" : "", "family" : "Angenot", "given" : "L", "non-dropping-particle" : "", "parse-names" : false, "suffix" : "" }, { "dropping-particle" : "", "family" : "Mathieu", "given" : "V", "non-dropping-particle" : "", "parse-names" : false, "suffix" : "" }, { "dropping-particle" : "", "family" : "Pirotte", "given" : "B", "non-dropping-particle" : "", "parse-names" : false, "suffix" : "" }, { "dropping-particle" : "", "family" : "Tullio", "given" : "P", "non-dropping-particle" : "de", "parse-names" : false, "suffix" : "" }, { "dropping-particle" : "", "family" : "Fr\u00e9d\u00e9rich", "given" : "M", "non-dropping-particle" : "", "parse-names" : false, "suffix" : "" } ], "container-title" : "EUR. J. ORG. CHEM.", "id" : "ITEM-1", "issue" : "16", "issued" : { "date-parts" : [ [ "2015" ] ] }, "page" : "1-15", "title" : "Hemisynthesis and in vitro photodynamic activity evaluations of halogenated and glycosylated derivatives of pheophorbide a", "type" : "article-journal", "volume" : "80" }, "uris" : [ "http://www.mendeley.com/documents/?uuid=bf8ea6ef-89b7-4f3a-881b-b431e611d996" ] } ], "mendeley" : { "formattedCitation" : "[241]", "plainTextFormattedCitation" : "[241]", "previouslyFormattedCitation" : "[241]"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[241]</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The triplet signal at 3.66 ppm is assigned to the methyl protons (H</w:t>
      </w:r>
      <w:r w:rsidRPr="001A5452">
        <w:rPr>
          <w:rFonts w:ascii="Times New Roman" w:eastAsia="DengXian" w:hAnsi="Times New Roman" w:cs="Times New Roman"/>
          <w:sz w:val="24"/>
          <w:szCs w:val="24"/>
          <w:vertAlign w:val="superscript"/>
        </w:rPr>
        <w:t>a</w:t>
      </w:r>
      <w:r w:rsidRPr="001A5452">
        <w:rPr>
          <w:rFonts w:ascii="Times New Roman" w:eastAsia="DengXian" w:hAnsi="Times New Roman" w:cs="Times New Roman"/>
          <w:sz w:val="24"/>
          <w:szCs w:val="24"/>
        </w:rPr>
        <w:t>) next to hydroxyl groups. The resonance (multiplet) at 0.91 ppm is attributed to the protons of -CH</w:t>
      </w:r>
      <w:r w:rsidRPr="001A5452">
        <w:rPr>
          <w:rFonts w:ascii="Times New Roman" w:eastAsia="DengXian" w:hAnsi="Times New Roman" w:cs="Times New Roman"/>
          <w:sz w:val="24"/>
          <w:szCs w:val="24"/>
          <w:vertAlign w:val="subscript"/>
        </w:rPr>
        <w:t>3</w:t>
      </w:r>
      <w:r w:rsidRPr="001A5452">
        <w:rPr>
          <w:rFonts w:ascii="Times New Roman" w:eastAsia="DengXian" w:hAnsi="Times New Roman" w:cs="Times New Roman"/>
          <w:sz w:val="24"/>
          <w:szCs w:val="24"/>
        </w:rPr>
        <w:t xml:space="preserve"> end groups. A wide peak around 1.28 ppm relates to the protons of alkyl chains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"10.1002/(SICI)1521-4044(19990501)50:5/6&lt;196::AID-APOL196&gt;3.0.CO;2-J", "ISSN" : "1521-4044", "abstract" : "The hyperbranched polyester based on 4,4-bis-(4\u2032-hydroxyphenyl)pentanoic acid was synthesized with different DP's. A complete 1H and 13C NMR assignment of the oligomers was carried out. Six different structural units were quantified by NMR analysis. The conversion dependence of the content of these structural units and of the degree of branching DB follows the theoretically derived equations. Furthermore, six different diads were quantified by 13C NMR spectroscopy. The conversion dependence of the diads was calculated and again the measured data agree well with the theory. The good fit between theoretical and measured data proves that the polycondensation of the 4,4-bis-(4\u2032-hydroxyphenyl)pentanoic acid follows a random growth of the different units with equal reaction rates of all reaction steps. Finally, spin-lattice relaxation times (T1C) and nuclear Overhauser enhancements (NOE) were determined and discussed.", "author" : [ { "dropping-particle" : "", "family" : "Schmaljohann", "given" : "D", "non-dropping-particle" : "", "parse-names" : false, "suffix" : "" }, { "dropping-particle" : "", "family" : "Komber", "given" : "H", "non-dropping-particle" : "", "parse-names" : false, "suffix" : "" }, { "dropping-particle" : "", "family" : "Voit", "given" : "B I", "non-dropping-particle" : "", "parse-names" : false, "suffix" : "" } ], "container-title" : "Acta Polymerica", "id" : "ITEM-1", "issue" : "5-6", "issued" : { "date-parts" : [ [ "1999" ] ] }, "page" : "196-204", "title" : "Conversion dependence of the structural units and the degree of branching of a hyperbranched polyester based on 4,4-bis-(4\u2032-hydroxyphenyl)pentanoic acid determined by NMR spectroscopy", "type" : "article-journal", "volume" : "50" }, "uris" : [ "http://www.mendeley.com/documents/?uuid=01dd3201-b373-49db-8033-f697c133eaed" ] }, { "id" : "ITEM-2", "itemData" : { "DOI" : "10.1016/j.reactfunctpolym.2006.04.012", "ISSN" : "13815148", "abstract" : "A 4th generation commercial hyperbranched polyester (HBP) based on bis(hydroxymethyl) propionic acid, bis(MPA), was used as an original crosslinker for polyurethane networks. However a partial modification of the numerous hydroxyl groups was necessary to obtain complete miscibility between the three polyurethane precursors, i.e. macrodiol, diisocyanate and hyperbranched, HB, crosslinking agent. A monofunctional aromatic isocyanate, para-tolylisocyanate, pTI, was used for that purpose. The pristine hyperbranched polyester was at first quite fully characterized, especially concerning the initial distribution of hydroxyl groups between linear, L, and terminal, T, bis(MPA) units. 1H and 13C NMR (both for urethane formation and hydroxyl consumption) and chemical titration were then used and compared for the determination of OH conversion. It appeared that a small part of the modifier was systematically lost in a side reaction with moisture, even though the reactive species had been thoroughly dried. All the remaining pTI molecules produced exclusively urethane end groups. NMR also demonstrated that the hydroxyls born by linear units had a lower reactivity as compared to T-type OH groups. Therefore their relative proportion increases with the modification degree, and more and more modified crosslinkers become less and less reactive. Calorimetric studies performed on pristine and partially modified HB polyesters revealed that hydrogen bonds played an important role as far as thermal behavior was concerned. With increasing modification, Tg increases but also ordered domains resulting from strong interactions between hydroxyl groups are progressively replaced by new structures created by self-assembling aromatic urethanes. The latter are responsible for a high-temperature pseudo-melting for highly modified samples. However most of these interactions seem to remain intramolecular since the newtonian behavior of pristine HBP is maintained up to about 110-120 \u00b0C for pTI-modified oligomers; but annealing at higher temperature can result in even more ordering and in a final loss of the newtonian behavior. \u00a9 2006 Elsevier B.V. All rights reserved.", "author" : [ { "dropping-particle" : "", "family" : "Thomasson", "given" : "Damien", "non-dropping-particle" : "", "parse-names" : false, "suffix" : "" }, { "dropping-particle" : "", "family" : "Boisson", "given" : "Fernande", "non-dropping-particle" : "", "parse-names" : false, "suffix" : "" }, { "dropping-particle" : "", "family" : "Girard-Reydet", "given" : "Emmanuel", "non-dropping-particle" : "", "parse-names" : false, "suffix" : "" }, { "dropping-particle" : "", "family" : "M\u00e9chin", "given" : "Fran\u00e7oise", "non-dropping-particle" : "", "parse-names" : false, "suffix" : "" } ], "container-title" : "Reactive and Functional Polymers", "id" : "ITEM-2", "issue" : "12", "issued" : { "date-parts" : [ [ "2006" ] ] }, "page" : "1462-1481", "title" : "Hydroxylated hyperbranched polyesters as crosslinking agents for polyurethane networks: Partial modification of the OH chain ends", "type" : "article-journal", "volume" : "66" }, "uris" : [ "http://www.mendeley.com/documents/?uuid=356db58f-f358-4d47-808c-356f0d41641d" ] }, { "id" : "ITEM-3", "itemData" : { "DOI" : "10.1134/S1070363210090197", "ISSN" : "1070-3632", "abstract" : "The methods of one- and two-dimensional 1\u041d and 13\u0421 NMR spectroscopy have been used to study the structure of hyper-branched polyester polyol BOLTORN H2O-COOH and complex \u0421\u043e12[\u0412\u041d20(\u0421\u041e\u041e\u041d)] on its basis. It was shown that both compounds have non-stereoregular structure. Paramagnetic ions Co(II) are coordinated both on the surface of the molecule and near the core.", "author" : [ { "dropping-particle" : "", "family" : "Karataeva", "given" : "F. Kh.", "non-dropping-particle" : "", "parse-names" : false, "suffix" : "" }, { "dropping-particle" : "V.", "family" : "Rezepova", "given" : "M.", "non-dropping-particle" : "", "parse-names" : false, "suffix" : "" }, { "dropping-particle" : "", "family" : "Kutyreva", "given" : "M. P.", "non-dropping-particle" : "", "parse-names" : false, "suffix" : "" }, { "dropping-particle" : "", "family" : "Kutyrev", "given" : "G. a.", "non-dropping-particle" : "", "parse-names" : false, "suffix" : "" }, { "dropping-particle" : "", "family" : "Ulakhovich", "given" : "N. a.", "non-dropping-particle" : "", "parse-names" : false, "suffix" : "" } ], "container-title" : "Russian Journal of General Chemistry", "id" : "ITEM-3", "issue" : "9", "issued" : { "date-parts" : [ [ "2010" ] ] }, "page" : "1831-1835", "title" : "Structure of hyper-branched polyester polyol BOLTORN H2O-COOH. NMR data", "type" : "article-journal", "volume" : "80" }, "uris" : [ "http://www.mendeley.com/documents/?uuid=f8d21d7c-1f49-481f-8cb5-9e0e6a276d6c" ] } ], "mendeley" : { "formattedCitation" : "[242\u2013244]", "plainTextFormattedCitation" : "[242\u2013244]", "previouslyFormattedCitation" : "[242\u2013244]"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[242–244]</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The ratio of the integral of each resonance is 1 (H</w:t>
      </w:r>
      <w:r w:rsidRPr="001A5452">
        <w:rPr>
          <w:rFonts w:ascii="Times New Roman" w:eastAsia="DengXian" w:hAnsi="Times New Roman" w:cs="Times New Roman"/>
          <w:sz w:val="24"/>
          <w:szCs w:val="24"/>
          <w:vertAlign w:val="superscript"/>
        </w:rPr>
        <w:t>a</w:t>
      </w:r>
      <w:r w:rsidRPr="001A5452">
        <w:rPr>
          <w:rFonts w:ascii="Times New Roman" w:eastAsia="DengXian" w:hAnsi="Times New Roman" w:cs="Times New Roman"/>
          <w:sz w:val="24"/>
          <w:szCs w:val="24"/>
        </w:rPr>
        <w:t>): 15.41 (H</w:t>
      </w:r>
      <w:r w:rsidRPr="001A5452">
        <w:rPr>
          <w:rFonts w:ascii="Times New Roman" w:eastAsia="DengXian" w:hAnsi="Times New Roman" w:cs="Times New Roman"/>
          <w:sz w:val="24"/>
          <w:szCs w:val="24"/>
          <w:vertAlign w:val="superscript"/>
        </w:rPr>
        <w:t>b</w:t>
      </w:r>
      <w:r w:rsidRPr="001A5452">
        <w:rPr>
          <w:rFonts w:ascii="Times New Roman" w:eastAsia="DengXian" w:hAnsi="Times New Roman" w:cs="Times New Roman"/>
          <w:sz w:val="24"/>
          <w:szCs w:val="24"/>
        </w:rPr>
        <w:t>-H</w:t>
      </w:r>
      <w:r w:rsidRPr="001A5452">
        <w:rPr>
          <w:rFonts w:ascii="Times New Roman" w:eastAsia="DengXian" w:hAnsi="Times New Roman" w:cs="Times New Roman"/>
          <w:sz w:val="24"/>
          <w:szCs w:val="24"/>
          <w:vertAlign w:val="superscript"/>
        </w:rPr>
        <w:t>p</w:t>
      </w:r>
      <w:r w:rsidRPr="001A5452">
        <w:rPr>
          <w:rFonts w:ascii="Times New Roman" w:eastAsia="DengXian" w:hAnsi="Times New Roman" w:cs="Times New Roman"/>
          <w:sz w:val="24"/>
          <w:szCs w:val="24"/>
        </w:rPr>
        <w:t>): 1.53 (H</w:t>
      </w:r>
      <w:r w:rsidRPr="001A5452">
        <w:rPr>
          <w:rFonts w:ascii="Times New Roman" w:eastAsia="DengXian" w:hAnsi="Times New Roman" w:cs="Times New Roman"/>
          <w:sz w:val="24"/>
          <w:szCs w:val="24"/>
          <w:vertAlign w:val="superscript"/>
        </w:rPr>
        <w:t>q</w:t>
      </w:r>
      <w:r w:rsidRPr="001A5452">
        <w:rPr>
          <w:rFonts w:ascii="Times New Roman" w:eastAsia="DengXian" w:hAnsi="Times New Roman" w:cs="Times New Roman"/>
          <w:sz w:val="24"/>
          <w:szCs w:val="24"/>
        </w:rPr>
        <w:t>), approximately 4: 62: 6. This is in an excellent agreement of the expected chemical structure of</w:t>
      </w:r>
      <w:r w:rsidRPr="001A5452">
        <w:rPr>
          <w:rFonts w:ascii="Times New Roman" w:eastAsia="DengXian" w:hAnsi="Times New Roman" w:cs="Times New Roman"/>
        </w:rPr>
        <w:t xml:space="preserve"> Pripol</w:t>
      </w:r>
      <w:r w:rsidRPr="001A5452">
        <w:rPr>
          <w:rFonts w:ascii="Times New Roman" w:eastAsia="DengXian" w:hAnsi="Times New Roman" w:cs="Times New Roman"/>
          <w:sz w:val="24"/>
          <w:szCs w:val="24"/>
        </w:rPr>
        <w:t xml:space="preserve"> 2030. In </w:t>
      </w:r>
      <w:r w:rsidRPr="001A5452">
        <w:rPr>
          <w:rFonts w:ascii="Times New Roman" w:eastAsia="DengXian" w:hAnsi="Times New Roman" w:cs="Times New Roman"/>
          <w:sz w:val="24"/>
          <w:szCs w:val="24"/>
          <w:vertAlign w:val="superscript"/>
        </w:rPr>
        <w:t>13</w:t>
      </w:r>
      <w:r w:rsidRPr="001A5452">
        <w:rPr>
          <w:rFonts w:ascii="Times New Roman" w:eastAsia="DengXian" w:hAnsi="Times New Roman" w:cs="Times New Roman"/>
          <w:sz w:val="24"/>
          <w:szCs w:val="24"/>
        </w:rPr>
        <w:t xml:space="preserve">C NMR spectrum (Figure </w:t>
      </w:r>
      <w:r w:rsidR="00F50AC6">
        <w:rPr>
          <w:rFonts w:ascii="Times New Roman" w:eastAsia="DengXian" w:hAnsi="Times New Roman" w:cs="Times New Roman"/>
          <w:sz w:val="24"/>
          <w:szCs w:val="24"/>
        </w:rPr>
        <w:t>6.</w:t>
      </w:r>
      <w:r w:rsidR="00EC12AF">
        <w:rPr>
          <w:rFonts w:ascii="Times New Roman" w:eastAsia="DengXian" w:hAnsi="Times New Roman" w:cs="Times New Roman"/>
          <w:sz w:val="24"/>
          <w:szCs w:val="24"/>
        </w:rPr>
        <w:t>1</w:t>
      </w:r>
      <w:r w:rsidRPr="001A5452">
        <w:rPr>
          <w:rFonts w:ascii="Times New Roman" w:eastAsia="DengXian" w:hAnsi="Times New Roman" w:cs="Times New Roman"/>
          <w:sz w:val="24"/>
          <w:szCs w:val="24"/>
        </w:rPr>
        <w:t>) of Pripol 2030, the peak corresponding to the carbons connected to hydroxyl groups is visible at 63.07 ppm. The signal of primary carbon atom (-CH</w:t>
      </w:r>
      <w:r w:rsidRPr="001A5452">
        <w:rPr>
          <w:rFonts w:ascii="Times New Roman" w:eastAsia="DengXian" w:hAnsi="Times New Roman" w:cs="Times New Roman"/>
          <w:sz w:val="24"/>
          <w:szCs w:val="24"/>
          <w:vertAlign w:val="subscript"/>
        </w:rPr>
        <w:t>3</w:t>
      </w:r>
      <w:r w:rsidRPr="001A5452">
        <w:rPr>
          <w:rFonts w:ascii="Times New Roman" w:eastAsia="DengXian" w:hAnsi="Times New Roman" w:cs="Times New Roman"/>
          <w:sz w:val="24"/>
          <w:szCs w:val="24"/>
        </w:rPr>
        <w:t xml:space="preserve">, end group) can be seen at 14.11 ppm. Peaks (b-p) are related to the various alkyl carton atoms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"10.1002/(SICI)1521-4044(19990501)50:5/6&lt;196::AID-APOL196&gt;3.0.CO;2-J", "ISSN" : "1521-4044", "abstract" : "The hyperbranched polyester based on 4,4-bis-(4\u2032-hydroxyphenyl)pentanoic acid was synthesized with different DP's. A complete 1H and 13C NMR assignment of the oligomers was carried out. Six different structural units were quantified by NMR analysis. The conversion dependence of the content of these structural units and of the degree of branching DB follows the theoretically derived equations. Furthermore, six different diads were quantified by 13C NMR spectroscopy. The conversion dependence of the diads was calculated and again the measured data agree well with the theory. The good fit between theoretical and measured data proves that the polycondensation of the 4,4-bis-(4\u2032-hydroxyphenyl)pentanoic acid follows a random growth of the different units with equal reaction rates of all reaction steps. Finally, spin-lattice relaxation times (T1C) and nuclear Overhauser enhancements (NOE) were determined and discussed.", "author" : [ { "dropping-particle" : "", "family" : "Schmaljohann", "given" : "D", "non-dropping-particle" : "", "parse-names" : false, "suffix" : "" }, { "dropping-particle" : "", "family" : "Komber", "given" : "H", "non-dropping-particle" : "", "parse-names" : false, "suffix" : "" }, { "dropping-particle" : "", "family" : "Voit", "given" : "B I", "non-dropping-particle" : "", "parse-names" : false, "suffix" : "" } ], "container-title" : "Acta Polymerica", "id" : "ITEM-1", "issue" : "5-6", "issued" : { "date-parts" : [ [ "1999" ] ] }, "page" : "196-204", "title" : "Conversion dependence of the structural units and the degree of branching of a hyperbranched polyester based on 4,4-bis-(4\u2032-hydroxyphenyl)pentanoic acid determined by NMR spectroscopy", "type" : "article-journal", "volume" : "50" }, "uris" : [ "http://www.mendeley.com/documents/?uuid=01dd3201-b373-49db-8033-f697c133eaed" ] }, { "id" : "ITEM-2", "itemData" : { "DOI" : "10.1016/j.reactfunctpolym.2006.04.012", "ISSN" : "13815148", "abstract" : "A 4th generation commercial hyperbranched polyester (HBP) based on bis(hydroxymethyl) propionic acid, bis(MPA), was used as an original crosslinker for polyurethane networks. However a partial modification of the numerous hydroxyl groups was necessary to obtain complete miscibility between the three polyurethane precursors, i.e. macrodiol, diisocyanate and hyperbranched, HB, crosslinking agent. A monofunctional aromatic isocyanate, para-tolylisocyanate, pTI, was used for that purpose. The pristine hyperbranched polyester was at first quite fully characterized, especially concerning the initial distribution of hydroxyl groups between linear, L, and terminal, T, bis(MPA) units. 1H and 13C NMR (both for urethane formation and hydroxyl consumption) and chemical titration were then used and compared for the determination of OH conversion. It appeared that a small part of the modifier was systematically lost in a side reaction with moisture, even though the reactive species had been thoroughly dried. All the remaining pTI molecules produced exclusively urethane end groups. NMR also demonstrated that the hydroxyls born by linear units had a lower reactivity as compared to T-type OH groups. Therefore their relative proportion increases with the modification degree, and more and more modified crosslinkers become less and less reactive. Calorimetric studies performed on pristine and partially modified HB polyesters revealed that hydrogen bonds played an important role as far as thermal behavior was concerned. With increasing modification, Tg increases but also ordered domains resulting from strong interactions between hydroxyl groups are progressively replaced by new structures created by self-assembling aromatic urethanes. The latter are responsible for a high-temperature pseudo-melting for highly modified samples. However most of these interactions seem to remain intramolecular since the newtonian behavior of pristine HBP is maintained up to about 110-120 \u00b0C for pTI-modified oligomers; but annealing at higher temperature can result in even more ordering and in a final loss of the newtonian behavior. \u00a9 2006 Elsevier B.V. All rights reserved.", "author" : [ { "dropping-particle" : "", "family" : "Thomasson", "given" : "Damien", "non-dropping-particle" : "", "parse-names" : false, "suffix" : "" }, { "dropping-particle" : "", "family" : "Boisson", "given" : "Fernande", "non-dropping-particle" : "", "parse-names" : false, "suffix" : "" }, { "dropping-particle" : "", "family" : "Girard-Reydet", "given" : "Emmanuel", "non-dropping-particle" : "", "parse-names" : false, "suffix" : "" }, { "dropping-particle" : "", "family" : "M\u00e9chin", "given" : "Fran\u00e7oise", "non-dropping-particle" : "", "parse-names" : false, "suffix" : "" } ], "container-title" : "Reactive and Functional Polymers", "id" : "ITEM-2", "issue" : "12", "issued" : { "date-parts" : [ [ "2006" ] ] }, "page" : "1462-1481", "title" : "Hydroxylated hyperbranched polyesters as crosslinking agents for polyurethane networks: Partial modification of the OH chain ends", "type" : "article-journal", "volume" : "66" }, "uris" : [ "http://www.mendeley.com/documents/?uuid=356db58f-f358-4d47-808c-356f0d41641d" ] }, { "id" : "ITEM-3", "itemData" : { "DOI" : "10.1134/S1070363210090197", "ISSN" : "1070-3632", "abstract" : "The methods of one- and two-dimensional 1\u041d and 13\u0421 NMR spectroscopy have been used to study the structure of hyper-branched polyester polyol BOLTORN H2O-COOH and complex \u0421\u043e12[\u0412\u041d20(\u0421\u041e\u041e\u041d)] on its basis. It was shown that both compounds have non-stereoregular structure. Paramagnetic ions Co(II) are coordinated both on the surface of the molecule and near the core.", "author" : [ { "dropping-particle" : "", "family" : "Karataeva", "given" : "F. Kh.", "non-dropping-particle" : "", "parse-names" : false, "suffix" : "" }, { "dropping-particle" : "V.", "family" : "Rezepova", "given" : "M.", "non-dropping-particle" : "", "parse-names" : false, "suffix" : "" }, { "dropping-particle" : "", "family" : "Kutyreva", "given" : "M. P.", "non-dropping-particle" : "", "parse-names" : false, "suffix" : "" }, { "dropping-particle" : "", "family" : "Kutyrev", "given" : "G. a.", "non-dropping-particle" : "", "parse-names" : false, "suffix" : "" }, { "dropping-particle" : "", "family" : "Ulakhovich", "given" : "N. a.", "non-dropping-particle" : "", "parse-names" : false, "suffix" : "" } ], "container-title" : "Russian Journal of General Chemistry", "id" : "ITEM-3", "issue" : "9", "issued" : { "date-parts" : [ [ "2010" ] ] }, "page" : "1831-1835", "title" : "Structure of hyper-branched polyester polyol BOLTORN H2O-COOH. NMR data", "type" : "article-journal", "volume" : "80" }, "uris" : [ "http://www.mendeley.com/documents/?uuid=f8d21d7c-1f49-481f-8cb5-9e0e6a276d6c" ] } ], "mendeley" : { "formattedCitation" : "[242\u2013244]", "plainTextFormattedCitation" : "[242\u2013244]", "previouslyFormattedCitation" : "[242\u2013244]"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[242–244]</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In </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H NMR spectrum of Pripol 1040 (Figure </w:t>
      </w:r>
      <w:r w:rsidR="001429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2</w:t>
      </w:r>
      <w:r w:rsidRPr="001A5452">
        <w:rPr>
          <w:rFonts w:ascii="Times New Roman" w:eastAsia="DengXian" w:hAnsi="Times New Roman" w:cs="Times New Roman"/>
          <w:sz w:val="24"/>
          <w:szCs w:val="24"/>
        </w:rPr>
        <w:t>), the resonance of the methylene proton (H</w:t>
      </w:r>
      <w:r w:rsidRPr="001A5452">
        <w:rPr>
          <w:rFonts w:ascii="Times New Roman" w:eastAsia="DengXian" w:hAnsi="Times New Roman" w:cs="Times New Roman"/>
          <w:sz w:val="24"/>
          <w:szCs w:val="24"/>
          <w:vertAlign w:val="superscript"/>
        </w:rPr>
        <w:t>a</w:t>
      </w:r>
      <w:r w:rsidRPr="001A5452">
        <w:rPr>
          <w:rFonts w:ascii="Times New Roman" w:eastAsia="DengXian" w:hAnsi="Times New Roman" w:cs="Times New Roman"/>
          <w:sz w:val="24"/>
          <w:szCs w:val="24"/>
        </w:rPr>
        <w:t xml:space="preserve">) next to carboxyl acid groups are visible around 2.37 ppm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"10.1021/ja052074m", "ISBN" : "0002-7863", "ISSN" : "00027863", "PMID" : "16028945", "abstract" : "A new way to analyze supramolecular dendritic architectures is reported by making use of (13)C NMR and (31)P NMR. Two ethylene glycol guest molecules have been synthesized containing a (13)C labeled carboxylic acid headgroup (2) and a phosphonic acid headgroup (3). The binding of these guests to urea-adamantyl modified poly(propylene imine) dendrimers has been investigated with (13)C NMR and (31)P NMR next to 1D and 2D (1)H NMR techniques. Different amounts of guest 2 have been added to fifth generation dendrimer 1e, and the observed chemical shift values in (13)C NMR were fitted to a model that assumes 1:1 binding between guest and binding site. An association constant of 400 +/- 95 M(-)(1) is obtained for guest 2 with 41 binding sites per dendrimer. When different amounts of phosphonic acid guest 3 are added to dendrimer 1e, two different signals are observed in (31)P NMR. Deconvolution gives the fractions of free and bound guest, resulting in an association constant of (4 +/- 3) x 10(4) M(-)(1) and 61 +/- 1 binding sites. A statistical analysis shows that guest 2 forms a \"polydisperse supramolecular aggregate\", while guest 3 is able to form a \"monodisperse supramolecular aggregate\" when the amount of guest is high enough. The NMR results are compared with dynamic light scattering experiments, and a remarkable agreement is found. Phosphonic acid guest 3 is able to exchange with guest 2, which is in agreement with the obtained association constants, and shows that these techniques can be used to analyze multicomponent dendritic aggregates.", "author" : [ { "dropping-particle" : "", "family" : "Broeren", "given" : "Maarten A.C.", "non-dropping-particle" : "", "parse-names" : false, "suffix" : "" }, { "dropping-particle" : "", "family" : "Waal", "given" : "Bas F.M.", "non-dropping-particle" : "De", "parse-names" : false, "suffix" : "" }, { "dropping-particle" : "", "family" : "Genderen", "given" : "Marcel H.P.", "non-dropping-particle" : "Van", "parse-names" : false, "suffix" : "" }, { "dropping-particle" : "", "family" : "Sanders", "given" : "H. M.H.F.", "non-dropping-particle" : "", "parse-names" : false, "suffix" : "" }, { "dropping-particle" : "", "family" : "Fytas", "given" : "George", "non-dropping-particle" : "", "parse-names" : false, "suffix" : "" }, { "dropping-particle" : "", "family" : "Meijer", "given" : "E. W.", "non-dropping-particle" : "", "parse-names" : false, "suffix" : "" } ], "container-title" : "Journal of the American Chemical Society", "id" : "ITEM-1", "issue" : "29", "issued" : { "date-parts" : [ [ "2005" ] ] }, "page" : "10334-10343", "title" : "Multicomponent host-guest chemistry of carboxylic acid and phosphonic acid based guests with dendritic hosts: An NMR study", "type" : "article-journal", "volume" : "127" }, "uris" : [ "http://www.mendeley.com/documents/?uuid=3309b760-0a1a-4f18-8ad2-dd34da629d1b" ] } ], "mendeley" : { "formattedCitation" : "[245]", "plainTextFormattedCitation" : "[245]", "previouslyFormattedCitation" : "[245]"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[245]</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Signals of protons at 0.91 ppm, 1.29 ppm, and 1.65 ppm are assigned to methyl protons at the end (H</w:t>
      </w:r>
      <w:r w:rsidRPr="001A5452">
        <w:rPr>
          <w:rFonts w:ascii="Times New Roman" w:eastAsia="DengXian" w:hAnsi="Times New Roman" w:cs="Times New Roman"/>
          <w:sz w:val="24"/>
          <w:szCs w:val="24"/>
          <w:vertAlign w:val="superscript"/>
        </w:rPr>
        <w:t>c</w:t>
      </w:r>
      <w:r w:rsidRPr="001A5452">
        <w:rPr>
          <w:rFonts w:ascii="Times New Roman" w:eastAsia="DengXian" w:hAnsi="Times New Roman" w:cs="Times New Roman"/>
          <w:sz w:val="24"/>
          <w:szCs w:val="24"/>
        </w:rPr>
        <w:t>), alkyl proton of monomer chains, and methylene protons next to H</w:t>
      </w:r>
      <w:r w:rsidRPr="001A5452">
        <w:rPr>
          <w:rFonts w:ascii="Times New Roman" w:eastAsia="DengXian" w:hAnsi="Times New Roman" w:cs="Times New Roman"/>
          <w:sz w:val="24"/>
          <w:szCs w:val="24"/>
          <w:vertAlign w:val="superscript"/>
        </w:rPr>
        <w:t>a</w:t>
      </w:r>
      <w:r w:rsidRPr="001A5452">
        <w:rPr>
          <w:rFonts w:ascii="Times New Roman" w:eastAsia="DengXian" w:hAnsi="Times New Roman" w:cs="Times New Roman"/>
          <w:sz w:val="24"/>
          <w:szCs w:val="24"/>
        </w:rPr>
        <w:t xml:space="preserve"> (H</w:t>
      </w:r>
      <w:r w:rsidRPr="001A5452">
        <w:rPr>
          <w:rFonts w:ascii="Times New Roman" w:eastAsia="DengXian" w:hAnsi="Times New Roman" w:cs="Times New Roman"/>
          <w:sz w:val="24"/>
          <w:szCs w:val="24"/>
          <w:vertAlign w:val="superscript"/>
        </w:rPr>
        <w:t>b</w:t>
      </w:r>
      <w:r w:rsidRPr="001A5452">
        <w:rPr>
          <w:rFonts w:ascii="Times New Roman" w:eastAsia="DengXian" w:hAnsi="Times New Roman" w:cs="Times New Roman"/>
          <w:sz w:val="24"/>
          <w:szCs w:val="24"/>
        </w:rPr>
        <w:t xml:space="preserve">), respectively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"10.1134/S1070363210090197", "ISSN" : "1070-3632", "abstract" : "The methods of one- and two-dimensional 1\u041d and 13\u0421 NMR spectroscopy have been used to study the structure of hyper-branched polyester polyol BOLTORN H2O-COOH and complex \u0421\u043e12[\u0412\u041d20(\u0421\u041e\u041e\u041d)] on its basis. It was shown that both compounds have non-stereoregular structure. Paramagnetic ions Co(II) are coordinated both on the surface of the molecule and near the core.", "author" : [ { "dropping-particle" : "", "family" : "Karataeva", "given" : "F. Kh.", "non-dropping-particle" : "", "parse-names" : false, "suffix" : "" }, { "dropping-particle" : "V.", "family" : "Rezepova", "given" : "M.", "non-dropping-particle" : "", "parse-names" : false, "suffix" : "" }, { "dropping-particle" : "", "family" : "Kutyreva", "given" : "M. P.", "non-dropping-particle" : "", "parse-names" : false, "suffix" : "" }, { "dropping-particle" : "", "family" : "Kutyrev", "given" : "G. a.", "non-dropping-particle" : "", "parse-names" : false, "suffix" : "" }, { "dropping-particle" : "", "family" : "Ulakhovich", "given" : "N. a.", "non-dropping-particle" : "", "parse-names" : false, "suffix" : "" } ], "container-title" : "Russian Journal of General Chemistry", "id" : "ITEM-1", "issue" : "9", "issued" : { "date-parts" : [ [ "2010" ] ] }, "page" : "1831-1835", "title" : "Structure of hyper-branched polyester polyol BOLTORN H2O-COOH. NMR data", "type" : "article-journal", "volume" : "80" }, "uris" : [ "http://www.mendeley.com/documents/?uuid=f8d21d7c-1f49-481f-8cb5-9e0e6a276d6c" ] }, { "id" : "ITEM-2", "itemData" : { "DOI" : "10.1021/ma047580v", "ISSN" : "00249297", "author" : [ { "dropping-particle" : "", "family" : "Lin", "given" : "Qin", "non-dropping-particle" : "", "parse-names" : false, "suffix" : "" }, { "dropping-particle" : "", "family" : "Long", "given" : "Timothy E.", "non-dropping-particle" : "", "parse-names" : false, "suffix" : "" } ], "container-title" : "Macromolecules", "id" : "ITEM-2", "issued" : { "date-parts" : [ [ "2003" ] ] }, "page" : "9809-9816", "title" : "polymerization of A2 with B3 monomers: a facile approach to hyperbranched poly(aryl ester)s", "type" : "article-journal", "volume" : "36" }, "uris" : [ "http://www.mendeley.com/documents/?uuid=991f7f76-4ebb-4f4e-a094-0e5b2164063e" ] }, { "id" : "ITEM-3", "itemData" : { "DOI" : "10.1016/j.porgcoat.2008.07.012", "ISSN" : "03009440", "abstract" : "A series of hyperbranched polyester-urethane-urea/K10-clay hybrid coatings (AHBPE-1 and AHBPE-2) have been prepared. Initially, the polyester polyols are synthesized separately in a step-wise manner using pentaerythritol (PE), phtallic anhydride (PTA) and trimethylol propane (TMP). The cetyltrimethylammonium bromide (CTAB) modified K10-clay is used as an organoclay for the hybrid composites preparation and dispersed into the polyester matrix by ultrasonication method. This clay-dispersed polyols are used for further synthesis. The degree of branching (DB), percentage of condensation reaction and quantity of dendritic (D), terminal (T) and linear (L) units present in the polyester are calculated, from the NMR peak integration value. The NMR result suggests that, there is formation of nearly 63% of condensation product in the polyester. A structure-property correlation is established, based on the hydrogen bonding effect with increasing clay content by using the FT-IR peak deconvulation technique. The dynamic mechanical and thermal analysis (DMTA) as well as thermo gravimetric analysis (TGA) results show, an increase in room temperature storage modulus (E???), glass transition temperature (Tg) and thermal stability of the hybrid coatings with increasing clay content and NCO/OH ratio. The contact angle measurement study suggests that, the hydrophilicity of the hybrid films increases with increasing clay content and decreases with increasing NCO/OH ratio. ?? 2008 Elsevier B.V. All rights reserved.", "author" : [ { "dropping-particle" : "", "family" : "Mishra", "given" : "Aswini K.", "non-dropping-particle" : "", "parse-names" : false, "suffix" : "" }, { "dropping-particle" : "", "family" : "Jena", "given" : "Kishore K.", "non-dropping-particle" : "", "parse-names" : false, "suffix" : "" }, { "dropping-particle" : "", "family" : "Raju", "given" : "K.V.S.N.", "non-dropping-particle" : "", "parse-names" : false, "suffix" : "" } ], "container-title" : "Progress in Organic Coatings", "id" : "ITEM-3", "issue" : "1", "issued" : { "date-parts" : [ [ "2009" ] ] }, "page" : "47-56", "title" : "Synthesis and characterization of hyperbranched polyester-urethane-urea/K10-clay hybrid coatings", "type" : "article-journal", "volume" : "64" }, "uris" : [ "http://www.mendeley.com/documents/?uuid=f5268903-4d77-4096-877c-ef3c7bcdd724" ] } ], "mendeley" : { "formattedCitation" : "[244,246,247]", "plainTextFormattedCitation" : "[244,246,247]", "previouslyFormattedCitation" : "[244,246,247]"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[244,246,247]</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The ratio of the integral of each resonance is 1 (H</w:t>
      </w:r>
      <w:r w:rsidRPr="001A5452">
        <w:rPr>
          <w:rFonts w:ascii="Times New Roman" w:eastAsia="DengXian" w:hAnsi="Times New Roman" w:cs="Times New Roman"/>
          <w:sz w:val="24"/>
          <w:szCs w:val="24"/>
          <w:vertAlign w:val="superscript"/>
        </w:rPr>
        <w:t>a</w:t>
      </w:r>
      <w:r w:rsidRPr="001A5452">
        <w:rPr>
          <w:rFonts w:ascii="Times New Roman" w:eastAsia="DengXian" w:hAnsi="Times New Roman" w:cs="Times New Roman"/>
          <w:sz w:val="24"/>
          <w:szCs w:val="24"/>
        </w:rPr>
        <w:t>): 1 (H</w:t>
      </w:r>
      <w:r w:rsidRPr="001A5452">
        <w:rPr>
          <w:rFonts w:ascii="Times New Roman" w:eastAsia="DengXian" w:hAnsi="Times New Roman" w:cs="Times New Roman"/>
          <w:sz w:val="24"/>
          <w:szCs w:val="24"/>
          <w:vertAlign w:val="superscript"/>
        </w:rPr>
        <w:t>b</w:t>
      </w:r>
      <w:r w:rsidRPr="001A5452">
        <w:rPr>
          <w:rFonts w:ascii="Times New Roman" w:eastAsia="DengXian" w:hAnsi="Times New Roman" w:cs="Times New Roman"/>
          <w:sz w:val="24"/>
          <w:szCs w:val="24"/>
        </w:rPr>
        <w:t>): 11.81 (H</w:t>
      </w:r>
      <w:r w:rsidRPr="001A5452">
        <w:rPr>
          <w:rFonts w:ascii="Times New Roman" w:eastAsia="DengXian" w:hAnsi="Times New Roman" w:cs="Times New Roman"/>
          <w:sz w:val="24"/>
          <w:szCs w:val="24"/>
          <w:vertAlign w:val="superscript"/>
        </w:rPr>
        <w:t>e</w:t>
      </w:r>
      <w:r w:rsidRPr="001A5452">
        <w:rPr>
          <w:rFonts w:ascii="Times New Roman" w:eastAsia="DengXian" w:hAnsi="Times New Roman" w:cs="Times New Roman"/>
          <w:sz w:val="24"/>
          <w:szCs w:val="24"/>
        </w:rPr>
        <w:t>): 1.5 (H</w:t>
      </w:r>
      <w:r w:rsidRPr="001A5452">
        <w:rPr>
          <w:rFonts w:ascii="Times New Roman" w:eastAsia="DengXian" w:hAnsi="Times New Roman" w:cs="Times New Roman"/>
          <w:sz w:val="24"/>
          <w:szCs w:val="24"/>
          <w:vertAlign w:val="superscript"/>
        </w:rPr>
        <w:t>c</w:t>
      </w:r>
      <w:r w:rsidRPr="001A5452">
        <w:rPr>
          <w:rFonts w:ascii="Times New Roman" w:eastAsia="DengXian" w:hAnsi="Times New Roman" w:cs="Times New Roman"/>
          <w:sz w:val="24"/>
          <w:szCs w:val="24"/>
        </w:rPr>
        <w:t xml:space="preserve">), approximately 6:6:70:9. Theoretically, taking 25% as the mass percentage of the dimer fatty acid, the average number of alkyl protons is calculated as 70. Therefore, it is in great agreement of the expected structure and composition reported in previous work. In </w:t>
      </w:r>
      <w:r w:rsidRPr="001A5452">
        <w:rPr>
          <w:rFonts w:ascii="Times New Roman" w:eastAsia="DengXian" w:hAnsi="Times New Roman" w:cs="Times New Roman"/>
          <w:sz w:val="24"/>
          <w:szCs w:val="24"/>
          <w:vertAlign w:val="superscript"/>
        </w:rPr>
        <w:t>13</w:t>
      </w:r>
      <w:r w:rsidRPr="001A5452">
        <w:rPr>
          <w:rFonts w:ascii="Times New Roman" w:eastAsia="DengXian" w:hAnsi="Times New Roman" w:cs="Times New Roman"/>
          <w:sz w:val="24"/>
          <w:szCs w:val="24"/>
        </w:rPr>
        <w:t xml:space="preserve">C NMR spectrum of Pripol 1040, the carbon atom of carboxyl acid group is visible at 180 ppm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"10.1021/ja052074m", "ISBN" : "0002-7863", "ISSN" : "00027863", "PMID" : "16028945", "abstract" : "A new way to analyze supramolecular dendritic architectures is reported by making use of (13)C NMR and (31)P NMR. Two ethylene glycol guest molecules have been synthesized containing a (13)C labeled carboxylic acid headgroup (2) and a phosphonic acid headgroup (3). The binding of these guests to urea-adamantyl modified poly(propylene imine) dendrimers has been investigated with (13)C NMR and (31)P NMR next to 1D and 2D (1)H NMR techniques. Different amounts of guest 2 have been added to fifth generation dendrimer 1e, and the observed chemical shift values in (13)C NMR were fitted to a model that assumes 1:1 binding between guest and binding site. An association constant of 400 +/- 95 M(-)(1) is obtained for guest 2 with 41 binding sites per dendrimer. When different amounts of phosphonic acid guest 3 are added to dendrimer 1e, two different signals are observed in (31)P NMR. Deconvolution gives the fractions of free and bound guest, resulting in an association constant of (4 +/- 3) x 10(4) M(-)(1) and 61 +/- 1 binding sites. A statistical analysis shows that guest 2 forms a \"polydisperse supramolecular aggregate\", while guest 3 is able to form a \"monodisperse supramolecular aggregate\" when the amount of guest is high enough. The NMR results are compared with dynamic light scattering experiments, and a remarkable agreement is found. Phosphonic acid guest 3 is able to exchange with guest 2, which is in agreement with the obtained association constants, and shows that these techniques can be used to analyze multicomponent dendritic aggregates.", "author" : [ { "dropping-particle" : "", "family" : "Broeren", "given" : "Maarten A.C.", "non-dropping-particle" : "", "parse-names" : false, "suffix" : "" }, { "dropping-particle" : "", "family" : "Waal", "given" : "Bas F.M.", "non-dropping-particle" : "De", "parse-names" : false, "suffix" : "" }, { "dropping-particle" : "", "family" : "Genderen", "given" : "Marcel H.P.", "non-dropping-particle" : "Van", "parse-names" : false, "suffix" : "" }, { "dropping-particle" : "", "family" : "Sanders", "given" : "H. M.H.F.", "non-dropping-particle" : "", "parse-names" : false, "suffix" : "" }, { "dropping-particle" : "", "family" : "Fytas", "given" : "George", "non-dropping-particle" : "", "parse-names" : false, "suffix" : "" }, { "dropping-particle" : "", "family" : "Meijer", "given" : "E. W.", "non-dropping-particle" : "", "parse-names" : false, "suffix" : "" } ], "container-title" : "Journal of the American Chemical Society", "id" : "ITEM-1", "issue" : "29", "issued" : { "date-parts" : [ [ "2005" ] ] }, "page" : "10334-10343", "title" : "Multicomponent host-guest chemistry of carboxylic acid and phosphonic acid based guests with dendritic hosts: An NMR study", "type" : "article-journal", "volume" : "127" }, "uris" : [ "http://www.mendeley.com/documents/?uuid=3309b760-0a1a-4f18-8ad2-dd34da629d1b" ] } ], "mendeley" : { "formattedCitation" : "[245]", "plainTextFormattedCitation" : "[245]", "previouslyFormattedCitation" : "[245]"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[245]</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The secondary carbon atom next to carboxyl acid groups can been seen around 37.07 ppm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"10.1021/ja052074m", "ISBN" : "0002-7863", "ISSN" : "00027863", "PMID" : "16028945", "abstract" : "A new way to analyze supramolecular dendritic architectures is reported by making use of (13)C NMR and (31)P NMR. Two ethylene glycol guest molecules have been synthesized containing a (13)C labeled carboxylic acid headgroup (2) and a phosphonic acid headgroup (3). The binding of these guests to urea-adamantyl modified poly(propylene imine) dendrimers has been investigated with (13)C NMR and (31)P NMR next to 1D and 2D (1)H NMR techniques. Different amounts of guest 2 have been added to fifth generation dendrimer 1e, and the observed chemical shift values in (13)C NMR were fitted to a model that assumes 1:1 binding between guest and binding site. An association constant of 400 +/- 95 M(-)(1) is obtained for guest 2 with 41 binding sites per dendrimer. When different amounts of phosphonic acid guest 3 are added to dendrimer 1e, two different signals are observed in (31)P NMR. Deconvolution gives the fractions of free and bound guest, resulting in an association constant of (4 +/- 3) x 10(4) M(-)(1) and 61 +/- 1 binding sites. A statistical analysis shows that guest 2 forms a \"polydisperse supramolecular aggregate\", while guest 3 is able to form a \"monodisperse supramolecular aggregate\" when the amount of guest is high enough. The NMR results are compared with dynamic light scattering experiments, and a remarkable agreement is found. Phosphonic acid guest 3 is able to exchange with guest 2, which is in agreement with the obtained association constants, and shows that these techniques can be used to analyze multicomponent dendritic aggregates.", "author" : [ { "dropping-particle" : "", "family" : "Broeren", "given" : "Maarten A.C.", "non-dropping-particle" : "", "parse-names" : false, "suffix" : "" }, { "dropping-particle" : "", "family" : "Waal", "given" : "Bas F.M.", "non-dropping-particle" : "De", "parse-names" : false, "suffix" : "" }, { "dropping-particle" : "", "family" : "Genderen", "given" : "Marcel H.P.", "non-dropping-particle" : "Van", "parse-names" : false, "suffix" : "" }, { "dropping-particle" : "", "family" : "Sanders", "given" : "H. M.H.F.", "non-dropping-particle" : "", "parse-names" : false, "suffix" : "" }, { "dropping-particle" : "", "family" : "Fytas", "given" : "George", "non-dropping-particle" : "", "parse-names" : false, "suffix" : "" }, { "dropping-particle" : "", "family" : "Meijer", "given" : "E. W.", "non-dropping-particle" : "", "parse-names" : false, "suffix" : "" } ], "container-title" : "Journal of the American Chemical Society", "id" : "ITEM-1", "issue" : "29", "issued" : { "date-parts" : [ [ "2005" ] ] }, "page" : "10334-10343", "title" : "Multicomponent host-guest chemistry of carboxylic acid and phosphonic acid based guests with dendritic hosts: An NMR study", "type" : "article-journal", "volume" : "127" }, "uris" : [ "http://www.mendeley.com/documents/?uuid=3309b760-0a1a-4f18-8ad2-dd34da629d1b" ] } ], "mendeley" : { "formattedCitation" : "[245]", "plainTextFormattedCitation" : "[245]", "previouslyFormattedCitation" : "[245]"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[245]</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Resonance at 14.11 ppm is related to the end methyl carbon atoms. Various signals can be observed between 20 ppm and 35 ppm are associated to the methyl carbon atoms due to the large molecular size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"10.1002/pola", "ISBN" : "0887-624X", "ISSN" : "00323934", "PMID" : "269090300007", "abstract" : "Well-defined trifluoromethylated poly(phenylene oxide)s were synthesized via nucleophilic aromatic substitution (SNAr) reaction by a chain-growth polymerization manner. Poly- merization of potassium 4-fluoro-3-(trifluoromethyl)phenolate in the presence of an appropriate initiator yielded polymers with molecular weights of ?4000 and polydispersity indices of &lt;1.2, which were characterized by 1H nuclear magnetic resonance spectroscopy and gel permeation chromatography. Initiating sites for atom transfer radical polymerization (ATRP) were intro- duced at the either side of chain ends of the poly(phenylene ox- ide), and used for ATRP of styrene and methyl methacrylate, yielding well-defined rod-coil block copolymers. Differential scan- ning calorimetry study indicated that the well-defined trifluoro- methylated poly(phenylene oxide)s showed high crystallinity and were immiscible with polystyrene. V", "author" : [ { "dropping-particle" : "", "family" : "Pawel", "given" : "G.", "non-dropping-particle" : "", "parse-names" : false, "suffix" : "" }, { "dropping-particle" : "", "family" : "Parzuchowski", "given" : "", "non-dropping-particle" : "", "parse-names" : false, "suffix" : "" }, { "dropping-particle" : "", "family" : "Grabowska", "given" : "Martyna", "non-dropping-particle" : "", "parse-names" : false, "suffix" : "" }, { "dropping-particle" : "", "family" : "Jaroch", "given" : "Michal", "non-dropping-particle" : "", "parse-names" : false, "suffix" : "" }, { "dropping-particle" : "", "family" : "Kusznerczuk", "given" : "Monika", "non-dropping-particle" : "", "parse-names" : false, "suffix" : "" } ], "container-title" : "Journal of polymer science", "id" : "ITEM-1", "issued" : { "date-parts" : [ [ "2009" ] ] }, "page" : "3860-3868", "title" : "Synthesis and characterization of hyperbranched polyesters from glycerol based AB2 monomers", "type" : "article-journal", "volume" : "10" }, "uris" : [ "http://www.mendeley.com/documents/?uuid=4676f944-7d06-4860-9e13-85ccda10834f" ] }, { "id" : "ITEM-2", "itemData" : { "DOI" : "10.1016/j.porgcoat.2008.07.012", "ISSN" : "03009440", "abstract" : "A series of hyperbranched polyester-urethane-urea/K10-clay hybrid coatings (AHBPE-1 and AHBPE-2) have been prepared. Initially, the polyester polyols are synthesized separately in a step-wise manner using pentaerythritol (PE), phtallic anhydride (PTA) and trimethylol propane (TMP). The cetyltrimethylammonium bromide (CTAB) modified K10-clay is used as an organoclay for the hybrid composites preparation and dispersed into the polyester matrix by ultrasonication method. This clay-dispersed polyols are used for further synthesis. The degree of branching (DB), percentage of condensation reaction and quantity of dendritic (D), terminal (T) and linear (L) units present in the polyester are calculated, from the NMR peak integration value. The NMR result suggests that, there is formation of nearly 63% of condensation product in the polyester. A structure-property correlation is established, based on the hydrogen bonding effect with increasing clay content by using the FT-IR peak deconvulation technique. The dynamic mechanical and thermal analysis (DMTA) as well as thermo gravimetric analysis (TGA) results show, an increase in room temperature storage modulus (E???), glass transition temperature (Tg) and thermal stability of the hybrid coatings with increasing clay content and NCO/OH ratio. The contact angle measurement study suggests that, the hydrophilicity of the hybrid films increases with increasing clay content and decreases with increasing NCO/OH ratio. ?? 2008 Elsevier B.V. All rights reserved.", "author" : [ { "dropping-particle" : "", "family" : "Mishra", "given" : "Aswini K.", "non-dropping-particle" : "", "parse-names" : false, "suffix" : "" }, { "dropping-particle" : "", "family" : "Jena", "given" : "Kishore K.", "non-dropping-particle" : "", "parse-names" : false, "suffix" : "" }, { "dropping-particle" : "", "family" : "Raju", "given" : "K.V.S.N.", "non-dropping-particle" : "", "parse-names" : false, "suffix" : "" } ], "container-title" : "Progress in Organic Coatings", "id" : "ITEM-2", "issue" : "1", "issued" : { "date-parts" : [ [ "2009" ] ] }, "page" : "47-56", "title" : "Synthesis and characterization of hyperbranched polyester-urethane-urea/K10-clay hybrid coatings", "type" : "article-journal", "volume" : "64" }, "uris" : [ "http://www.mendeley.com/documents/?uuid=f5268903-4d77-4096-877c-ef3c7bcdd724" ] }, { "id" : "ITEM-3", "itemData" : { "DOI" : "10.1055/s-0034-1394998", "ISSN" : "0032-0943", "author" : [ { "dropping-particle" : "", "family" : "Cieckiewicz", "given" : "E", "non-dropping-particle" : "", "parse-names" : false, "suffix" : "" }, { "dropping-particle" : "", "family" : "Angenot", "given" : "L", "non-dropping-particle" : "", "parse-names" : false, "suffix" : "" }, { "dropping-particle" : "", "family" : "Mathieu", "given" : "V", "non-dropping-particle" : "", "parse-names" : false, "suffix" : "" }, { "dropping-particle" : "", "family" : "Pirotte", "given" : "B", "non-dropping-particle" : "", "parse-names" : false, "suffix" : "" }, { "dropping-particle" : "", "family" : "Tullio", "given" : "P", "non-dropping-particle" : "de", "parse-names" : false, "suffix" : "" }, { "dropping-particle" : "", "family" : "Fr\u00e9d\u00e9rich", "given" : "M", "non-dropping-particle" : "", "parse-names" : false, "suffix" : "" } ], "container-title" : "EUR. J. ORG. CHEM.", "id" : "ITEM-3", "issue" : "16", "issued" : { "date-parts" : [ [ "2015" ] ] }, "page" : "1-15", "title" : "Hemisynthesis and in vitro photodynamic activity evaluations of halogenated and glycosylated derivatives of pheophorbide a", "type" : "article-journal", "volume" : "80" }, "uris" : [ "http://www.mendeley.com/documents/?uuid=bf8ea6ef-89b7-4f3a-881b-b431e611d996" ] }, { "id" : "ITEM-4", "itemData" : { "DOI" : "10.1021/ma047580v", "ISSN" : "00249297", "author" : [ { "dropping-particle" : "", "family" : "Lin", "given" : "Qin", "non-dropping-particle" : "", "parse-names" : false, "suffix" : "" }, { "dropping-particle" : "", "family" : "Long", "given" : "Timothy E.", "non-dropping-particle" : "", "parse-names" : false, "suffix" : "" } ], "container-title" : "Macromolecules", "id" : "ITEM-4", "issued" : { "date-parts" : [ [ "2003" ] ] }, "page" : "9809-9816", "title" : "polymerization of A2 with B3 monomers: a facile approach to hyperbranched poly(aryl ester)s", "type" : "article-journal", "volume" : "36" }, "uris" : [ "http://www.mendeley.com/documents/?uuid=991f7f76-4ebb-4f4e-a094-0e5b2164063e" ] } ], "mendeley" : { "formattedCitation" : "[241,246\u2013248]", "plainTextFormattedCitation" : "[241,246\u2013248]", "previouslyFormattedCitation" : "[241,246\u2013248]"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[241,246–248]</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w:t>
      </w:r>
    </w:p>
    <w:p w14:paraId="2F9AE0ED" w14:textId="77777777" w:rsidR="006F38AE" w:rsidRPr="001A5452" w:rsidRDefault="006F38AE" w:rsidP="006F38AE">
      <w:pPr>
        <w:spacing w:after="0" w:line="480" w:lineRule="auto"/>
        <w:jc w:val="center"/>
        <w:rPr>
          <w:rFonts w:ascii="Times New Roman" w:eastAsia="DengXian" w:hAnsi="Times New Roman" w:cs="Times New Roman"/>
          <w:sz w:val="24"/>
          <w:szCs w:val="24"/>
        </w:rPr>
      </w:pPr>
      <w:r w:rsidRPr="001A5452">
        <w:rPr>
          <w:rFonts w:ascii="Times New Roman" w:eastAsia="DengXian" w:hAnsi="Times New Roman" w:cs="Times New Roman"/>
          <w:b/>
          <w:noProof/>
          <w:sz w:val="24"/>
          <w:szCs w:val="24"/>
          <w:lang w:val="en-GB"/>
        </w:rPr>
        <w:drawing>
          <wp:inline distT="0" distB="0" distL="0" distR="0" wp14:anchorId="6DDCF85B" wp14:editId="5130B51E">
            <wp:extent cx="4536000" cy="685879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36000" cy="6858790"/>
                    </a:xfrm>
                    <a:prstGeom prst="rect">
                      <a:avLst/>
                    </a:prstGeom>
                    <a:noFill/>
                  </pic:spPr>
                </pic:pic>
              </a:graphicData>
            </a:graphic>
          </wp:inline>
        </w:drawing>
      </w:r>
    </w:p>
    <w:p w14:paraId="63B3B46B" w14:textId="4D91E8A6" w:rsidR="006F38AE" w:rsidRPr="001A5452" w:rsidRDefault="00DF72E2" w:rsidP="0065721F">
      <w:pPr>
        <w:pStyle w:val="Caption"/>
        <w:jc w:val="center"/>
        <w:rPr>
          <w:rFonts w:eastAsia="DengXian" w:cs="Times New Roman"/>
          <w:szCs w:val="24"/>
        </w:rPr>
      </w:pPr>
      <w:bookmarkStart w:id="215" w:name="_Toc502662554"/>
      <w:bookmarkStart w:id="216" w:name="_Toc502662666"/>
      <w:bookmarkStart w:id="217" w:name="_Toc518823417"/>
      <w:r>
        <w:t xml:space="preserve">Figure </w:t>
      </w:r>
      <w:r w:rsidR="0014290F">
        <w:t>6</w:t>
      </w:r>
      <w:r>
        <w:t>.</w:t>
      </w:r>
      <w:r w:rsidR="0065721F">
        <w:fldChar w:fldCharType="begin"/>
      </w:r>
      <w:r w:rsidR="0065721F">
        <w:instrText xml:space="preserve"> SEQ Figure_6. \* ARABIC </w:instrText>
      </w:r>
      <w:r w:rsidR="0065721F">
        <w:fldChar w:fldCharType="separate"/>
      </w:r>
      <w:r w:rsidR="00551ED9">
        <w:rPr>
          <w:noProof/>
        </w:rPr>
        <w:t>1</w:t>
      </w:r>
      <w:r w:rsidR="0065721F">
        <w:fldChar w:fldCharType="end"/>
      </w:r>
      <w:r w:rsidR="006F38AE" w:rsidRPr="00DF72E2">
        <w:rPr>
          <w:rFonts w:eastAsia="DengXian" w:cs="Times New Roman"/>
          <w:szCs w:val="24"/>
        </w:rPr>
        <w:t>.</w:t>
      </w:r>
      <w:r w:rsidR="006F38AE" w:rsidRPr="001A5452">
        <w:rPr>
          <w:rFonts w:eastAsia="DengXian" w:cs="Times New Roman"/>
          <w:szCs w:val="24"/>
        </w:rPr>
        <w:t xml:space="preserve"> NMR spectra of Pripol 2030.</w:t>
      </w:r>
      <w:bookmarkEnd w:id="215"/>
      <w:bookmarkEnd w:id="216"/>
      <w:bookmarkEnd w:id="217"/>
    </w:p>
    <w:p w14:paraId="001D624A" w14:textId="77777777" w:rsidR="006F38AE" w:rsidRPr="001A5452" w:rsidRDefault="006F38AE" w:rsidP="006F38AE">
      <w:pPr>
        <w:spacing w:after="0" w:line="480" w:lineRule="auto"/>
        <w:ind w:firstLine="90"/>
        <w:contextualSpacing/>
        <w:jc w:val="center"/>
        <w:rPr>
          <w:rFonts w:ascii="Times New Roman" w:eastAsia="DengXian" w:hAnsi="Times New Roman" w:cs="Times New Roman"/>
          <w:b/>
          <w:sz w:val="24"/>
          <w:szCs w:val="24"/>
        </w:rPr>
      </w:pPr>
      <w:r w:rsidRPr="001A5452">
        <w:rPr>
          <w:rFonts w:ascii="Times New Roman" w:eastAsia="DengXian" w:hAnsi="Times New Roman" w:cs="Times New Roman"/>
          <w:b/>
          <w:noProof/>
          <w:sz w:val="24"/>
          <w:szCs w:val="24"/>
          <w:lang w:val="en-GB"/>
        </w:rPr>
        <w:drawing>
          <wp:inline distT="0" distB="0" distL="0" distR="0" wp14:anchorId="54A115B1" wp14:editId="42CA0051">
            <wp:extent cx="4536000" cy="701747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536000" cy="7017474"/>
                    </a:xfrm>
                    <a:prstGeom prst="rect">
                      <a:avLst/>
                    </a:prstGeom>
                    <a:noFill/>
                  </pic:spPr>
                </pic:pic>
              </a:graphicData>
            </a:graphic>
          </wp:inline>
        </w:drawing>
      </w:r>
    </w:p>
    <w:p w14:paraId="02505634" w14:textId="28547F7D" w:rsidR="006F38AE" w:rsidRPr="001A5452" w:rsidRDefault="00DF72E2" w:rsidP="0065721F">
      <w:pPr>
        <w:pStyle w:val="Caption"/>
        <w:jc w:val="center"/>
        <w:rPr>
          <w:rFonts w:eastAsia="DengXian" w:cs="Times New Roman"/>
          <w:szCs w:val="24"/>
        </w:rPr>
      </w:pPr>
      <w:bookmarkStart w:id="218" w:name="_Toc502662555"/>
      <w:bookmarkStart w:id="219" w:name="_Toc502662667"/>
      <w:bookmarkStart w:id="220" w:name="_Toc518823418"/>
      <w:r>
        <w:t xml:space="preserve">Figure </w:t>
      </w:r>
      <w:r w:rsidR="0014290F">
        <w:t>6</w:t>
      </w:r>
      <w:r>
        <w:t>.</w:t>
      </w:r>
      <w:r w:rsidR="0065721F">
        <w:fldChar w:fldCharType="begin"/>
      </w:r>
      <w:r w:rsidR="0065721F">
        <w:instrText xml:space="preserve"> SEQ Figure_6. \* ARABIC </w:instrText>
      </w:r>
      <w:r w:rsidR="0065721F">
        <w:fldChar w:fldCharType="separate"/>
      </w:r>
      <w:r w:rsidR="00551ED9">
        <w:rPr>
          <w:noProof/>
        </w:rPr>
        <w:t>2</w:t>
      </w:r>
      <w:r w:rsidR="0065721F">
        <w:fldChar w:fldCharType="end"/>
      </w:r>
      <w:r w:rsidR="006F38AE" w:rsidRPr="00DF72E2">
        <w:rPr>
          <w:rFonts w:eastAsia="DengXian" w:cs="Times New Roman"/>
          <w:szCs w:val="24"/>
        </w:rPr>
        <w:t xml:space="preserve">. </w:t>
      </w:r>
      <w:r w:rsidR="006F38AE" w:rsidRPr="001A5452">
        <w:rPr>
          <w:rFonts w:eastAsia="DengXian" w:cs="Times New Roman"/>
          <w:szCs w:val="24"/>
        </w:rPr>
        <w:t>NMR spectra of Pripol 1040.</w:t>
      </w:r>
      <w:bookmarkEnd w:id="218"/>
      <w:bookmarkEnd w:id="219"/>
      <w:bookmarkEnd w:id="220"/>
    </w:p>
    <w:p w14:paraId="5F07A789" w14:textId="77777777" w:rsidR="006F38AE" w:rsidRPr="001A5452" w:rsidRDefault="006F38AE" w:rsidP="006F38AE">
      <w:pPr>
        <w:spacing w:after="0" w:line="480" w:lineRule="auto"/>
        <w:ind w:firstLine="90"/>
        <w:contextualSpacing/>
        <w:jc w:val="center"/>
        <w:rPr>
          <w:rFonts w:ascii="Times New Roman" w:eastAsia="DengXian" w:hAnsi="Times New Roman" w:cs="Times New Roman"/>
          <w:sz w:val="24"/>
          <w:szCs w:val="24"/>
        </w:rPr>
      </w:pPr>
    </w:p>
    <w:p w14:paraId="43B32626" w14:textId="23269272" w:rsidR="006F38AE" w:rsidRPr="001A5452" w:rsidRDefault="006F38AE" w:rsidP="006F38AE">
      <w:pPr>
        <w:spacing w:after="0" w:line="480" w:lineRule="auto"/>
        <w:ind w:firstLine="360"/>
        <w:contextualSpacing/>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HBPE was synthesized from </w:t>
      </w:r>
      <w:r w:rsidRPr="001A5452">
        <w:rPr>
          <w:rFonts w:ascii="Times New Roman" w:eastAsia="DengXian" w:hAnsi="Times New Roman" w:cs="Times New Roman"/>
          <w:color w:val="000000"/>
          <w:sz w:val="24"/>
          <w:szCs w:val="24"/>
        </w:rPr>
        <w:t xml:space="preserve">Pripol 2030 and </w:t>
      </w:r>
      <w:r w:rsidRPr="001A5452">
        <w:rPr>
          <w:rFonts w:ascii="Times New Roman" w:eastAsia="DengXian" w:hAnsi="Times New Roman" w:cs="Times New Roman"/>
          <w:sz w:val="24"/>
          <w:szCs w:val="24"/>
        </w:rPr>
        <w:t xml:space="preserve">Pripol 1040 through condensation polymerization as shown in Figure </w:t>
      </w:r>
      <w:r w:rsidR="001429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3</w:t>
      </w:r>
      <w:r w:rsidRPr="001A5452">
        <w:rPr>
          <w:rFonts w:ascii="Times New Roman" w:eastAsia="DengXian" w:hAnsi="Times New Roman" w:cs="Times New Roman"/>
          <w:sz w:val="24"/>
          <w:szCs w:val="24"/>
        </w:rPr>
        <w:t xml:space="preserve">, including two steps: synthesis of HBPE pre-polymer and curing/molding at 120 </w:t>
      </w:r>
      <w:r w:rsidRPr="001A5452">
        <w:rPr>
          <w:rFonts w:ascii="Times New Roman" w:eastAsia="DengXian" w:hAnsi="Times New Roman" w:cs="Times New Roman"/>
          <w:sz w:val="24"/>
          <w:szCs w:val="24"/>
          <w:vertAlign w:val="superscript"/>
        </w:rPr>
        <w:t>o</w:t>
      </w:r>
      <w:r w:rsidRPr="001A5452">
        <w:rPr>
          <w:rFonts w:ascii="Times New Roman" w:eastAsia="DengXian" w:hAnsi="Times New Roman" w:cs="Times New Roman"/>
          <w:sz w:val="24"/>
          <w:szCs w:val="24"/>
        </w:rPr>
        <w:t xml:space="preserve">C in </w:t>
      </w:r>
      <w:r w:rsidR="00BF4645">
        <w:rPr>
          <w:rFonts w:ascii="Times New Roman" w:eastAsia="DengXian" w:hAnsi="Times New Roman" w:cs="Times New Roman"/>
          <w:sz w:val="24"/>
          <w:szCs w:val="24"/>
        </w:rPr>
        <w:t xml:space="preserve">a </w:t>
      </w:r>
      <w:r w:rsidRPr="001A5452">
        <w:rPr>
          <w:rFonts w:ascii="Times New Roman" w:eastAsia="DengXian" w:hAnsi="Times New Roman" w:cs="Times New Roman"/>
          <w:sz w:val="24"/>
          <w:szCs w:val="24"/>
        </w:rPr>
        <w:t xml:space="preserve">vacuum oven. The chemical structure of HBPE pre-polymer was investigated via </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H NMR and </w:t>
      </w:r>
      <w:r w:rsidRPr="001A5452">
        <w:rPr>
          <w:rFonts w:ascii="Times New Roman" w:eastAsia="DengXian" w:hAnsi="Times New Roman" w:cs="Times New Roman"/>
          <w:sz w:val="24"/>
          <w:szCs w:val="24"/>
          <w:vertAlign w:val="superscript"/>
        </w:rPr>
        <w:t>13</w:t>
      </w:r>
      <w:r w:rsidRPr="001A5452">
        <w:rPr>
          <w:rFonts w:ascii="Times New Roman" w:eastAsia="DengXian" w:hAnsi="Times New Roman" w:cs="Times New Roman"/>
          <w:sz w:val="24"/>
          <w:szCs w:val="24"/>
        </w:rPr>
        <w:t xml:space="preserve">C NMR, as shown in Figure </w:t>
      </w:r>
      <w:r w:rsidR="001429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4</w:t>
      </w:r>
      <w:r w:rsidRPr="001A5452">
        <w:rPr>
          <w:rFonts w:ascii="Times New Roman" w:eastAsia="DengXian" w:hAnsi="Times New Roman" w:cs="Times New Roman"/>
          <w:sz w:val="24"/>
          <w:szCs w:val="24"/>
        </w:rPr>
        <w:t xml:space="preserve">. The new signal at 4.09 ppm in the </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H NMR spectrum is associated with the protons of ester groups. The proton of methyl group next to –OH is still visible around 3.78 ppm, indicating the presence of hydroxyl end groups. The peak at 0.91 ppm refers to the proton of –CH</w:t>
      </w:r>
      <w:r w:rsidRPr="001A5452">
        <w:rPr>
          <w:rFonts w:ascii="Times New Roman" w:eastAsia="DengXian" w:hAnsi="Times New Roman" w:cs="Times New Roman"/>
          <w:sz w:val="24"/>
          <w:szCs w:val="24"/>
          <w:vertAlign w:val="subscript"/>
        </w:rPr>
        <w:t>3</w:t>
      </w:r>
      <w:r w:rsidRPr="001A5452">
        <w:rPr>
          <w:rFonts w:ascii="Times New Roman" w:eastAsia="DengXian" w:hAnsi="Times New Roman" w:cs="Times New Roman"/>
          <w:sz w:val="24"/>
          <w:szCs w:val="24"/>
        </w:rPr>
        <w:t xml:space="preserve"> at the end of alkyl chains from diol and fatty acid. Besides, the peaks at 1.65 ppm, and 1.28 ppm are related to various protons of methyl groups in polymer chains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"10.1016/j.reactfunctpolym.2006.04.012", "ISSN" : "13815148", "abstract" : "A 4th generation commercial hyperbranched polyester (HBP) based on bis(hydroxymethyl) propionic acid, bis(MPA), was used as an original crosslinker for polyurethane networks. However a partial modification of the numerous hydroxyl groups was necessary to obtain complete miscibility between the three polyurethane precursors, i.e. macrodiol, diisocyanate and hyperbranched, HB, crosslinking agent. A monofunctional aromatic isocyanate, para-tolylisocyanate, pTI, was used for that purpose. The pristine hyperbranched polyester was at first quite fully characterized, especially concerning the initial distribution of hydroxyl groups between linear, L, and terminal, T, bis(MPA) units. 1H and 13C NMR (both for urethane formation and hydroxyl consumption) and chemical titration were then used and compared for the determination of OH conversion. It appeared that a small part of the modifier was systematically lost in a side reaction with moisture, even though the reactive species had been thoroughly dried. All the remaining pTI molecules produced exclusively urethane end groups. NMR also demonstrated that the hydroxyls born by linear units had a lower reactivity as compared to T-type OH groups. Therefore their relative proportion increases with the modification degree, and more and more modified crosslinkers become less and less reactive. Calorimetric studies performed on pristine and partially modified HB polyesters revealed that hydrogen bonds played an important role as far as thermal behavior was concerned. With increasing modification, Tg increases but also ordered domains resulting from strong interactions between hydroxyl groups are progressively replaced by new structures created by self-assembling aromatic urethanes. The latter are responsible for a high-temperature pseudo-melting for highly modified samples. However most of these interactions seem to remain intramolecular since the newtonian behavior of pristine HBP is maintained up to about 110-120 \u00b0C for pTI-modified oligomers; but annealing at higher temperature can result in even more ordering and in a final loss of the newtonian behavior. \u00a9 2006 Elsevier B.V. All rights reserved.", "author" : [ { "dropping-particle" : "", "family" : "Thomasson", "given" : "Damien", "non-dropping-particle" : "", "parse-names" : false, "suffix" : "" }, { "dropping-particle" : "", "family" : "Boisson", "given" : "Fernande", "non-dropping-particle" : "", "parse-names" : false, "suffix" : "" }, { "dropping-particle" : "", "family" : "Girard-Reydet", "given" : "Emmanuel", "non-dropping-particle" : "", "parse-names" : false, "suffix" : "" }, { "dropping-particle" : "", "family" : "M\u00e9chin", "given" : "Fran\u00e7oise", "non-dropping-particle" : "", "parse-names" : false, "suffix" : "" } ], "container-title" : "Reactive and Functional Polymers", "id" : "ITEM-1", "issue" : "12", "issued" : { "date-parts" : [ [ "2006" ] ] }, "page" : "1462-1481", "title" : "Hydroxylated hyperbranched polyesters as crosslinking agents for polyurethane networks: Partial modification of the OH chain ends", "type" : "article-journal", "volume" : "66" }, "uris" : [ "http://www.mendeley.com/documents/?uuid=356db58f-f358-4d47-808c-356f0d41641d" ] }, { "id" : "ITEM-2", "itemData" : { "DOI" : "10.1134/S1070363210090197", "ISSN" : "1070-3632", "abstract" : "The methods of one- and two-dimensional 1\u041d and 13\u0421 NMR spectroscopy have been used to study the structure of hyper-branched polyester polyol BOLTORN H2O-COOH and complex \u0421\u043e12[\u0412\u041d20(\u0421\u041e\u041e\u041d)] on its basis. It was shown that both compounds have non-stereoregular structure. Paramagnetic ions Co(II) are coordinated both on the surface of the molecule and near the core.", "author" : [ { "dropping-particle" : "", "family" : "Karataeva", "given" : "F. Kh.", "non-dropping-particle" : "", "parse-names" : false, "suffix" : "" }, { "dropping-particle" : "V.", "family" : "Rezepova", "given" : "M.", "non-dropping-particle" : "", "parse-names" : false, "suffix" : "" }, { "dropping-particle" : "", "family" : "Kutyreva", "given" : "M. P.", "non-dropping-particle" : "", "parse-names" : false, "suffix" : "" }, { "dropping-particle" : "", "family" : "Kutyrev", "given" : "G. a.", "non-dropping-particle" : "", "parse-names" : false, "suffix" : "" }, { "dropping-particle" : "", "family" : "Ulakhovich", "given" : "N. a.", "non-dropping-particle" : "", "parse-names" : false, "suffix" : "" } ], "container-title" : "Russian Journal of General Chemistry", "id" : "ITEM-2", "issue" : "9", "issued" : { "date-parts" : [ [ "2010" ] ] }, "page" : "1831-1835", "title" : "Structure of hyper-branched polyester polyol BOLTORN H2O-COOH. NMR data", "type" : "article-journal", "volume" : "80" }, "uris" : [ "http://www.mendeley.com/documents/?uuid=f8d21d7c-1f49-481f-8cb5-9e0e6a276d6c" ] }, { "id" : "ITEM-3", "itemData" : { "DOI" : "10.1002/pola", "ISBN" : "0887-624X", "ISSN" : "00323934", "PMID" : "269090300007", "abstract" : "Well-defined trifluoromethylated poly(phenylene oxide)s were synthesized via nucleophilic aromatic substitution (SNAr) reaction by a chain-growth polymerization manner. Poly- merization of potassium 4-fluoro-3-(trifluoromethyl)phenolate in the presence of an appropriate initiator yielded polymers with molecular weights of ?4000 and polydispersity indices of &lt;1.2, which were characterized by 1H nuclear magnetic resonance spectroscopy and gel permeation chromatography. Initiating sites for atom transfer radical polymerization (ATRP) were intro- duced at the either side of chain ends of the poly(phenylene ox- ide), and used for ATRP of styrene and methyl methacrylate, yielding well-defined rod-coil block copolymers. Differential scan- ning calorimetry study indicated that the well-defined trifluoro- methylated poly(phenylene oxide)s showed high crystallinity and were immiscible with polystyrene. V", "author" : [ { "dropping-particle" : "", "family" : "Pawel", "given" : "G.", "non-dropping-particle" : "", "parse-names" : false, "suffix" : "" }, { "dropping-particle" : "", "family" : "Parzuchowski", "given" : "", "non-dropping-particle" : "", "parse-names" : false, "suffix" : "" }, { "dropping-particle" : "", "family" : "Grabowska", "given" : "Martyna", "non-dropping-particle" : "", "parse-names" : false, "suffix" : "" }, { "dropping-particle" : "", "family" : "Jaroch", "given" : "Michal", "non-dropping-particle" : "", "parse-names" : false, "suffix" : "" }, { "dropping-particle" : "", "family" : "Kusznerczuk", "given" : "Monika", "non-dropping-particle" : "", "parse-names" : false, "suffix" : "" } ], "container-title" : "Journal of polymer science", "id" : "ITEM-3", "issued" : { "date-parts" : [ [ "2009" ] ] }, "page" : "3860-3868", "title" : "Synthesis and characterization of hyperbranched polyesters from glycerol based AB2 monomers", "type" : "article-journal", "volume" : "10" }, "uris" : [ "http://www.mendeley.com/documents/?uuid=4676f944-7d06-4860-9e13-85ccda10834f" ] }, { "id" : "ITEM-4", "itemData" : { "DOI" : "10.1021/ma047580v", "ISSN" : "00249297", "author" : [ { "dropping-particle" : "", "family" : "Lin", "given" : "Qin", "non-dropping-particle" : "", "parse-names" : false, "suffix" : "" }, { "dropping-particle" : "", "family" : "Long", "given" : "Timothy E.", "non-dropping-particle" : "", "parse-names" : false, "suffix" : "" } ], "container-title" : "Macromolecules", "id" : "ITEM-4", "issued" : { "date-parts" : [ [ "2003" ] ] }, "page" : "9809-9816", "title" : "polymerization of A2 with B3 monomers: a facile approach to hyperbranched poly(aryl ester)s", "type" : "article-journal", "volume" : "36" }, "uris" : [ "http://www.mendeley.com/documents/?uuid=991f7f76-4ebb-4f4e-a094-0e5b2164063e" ] } ], "mendeley" : { "formattedCitation" : "[243,244,246,248]", "plainTextFormattedCitation" : "[243,244,246,248]", "previouslyFormattedCitation" : "[243,244,246,248]"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[243,244,246,248]</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vertAlign w:val="superscript"/>
        </w:rPr>
        <w:t>13</w:t>
      </w:r>
      <w:r w:rsidRPr="001A5452">
        <w:rPr>
          <w:rFonts w:ascii="Times New Roman" w:eastAsia="DengXian" w:hAnsi="Times New Roman" w:cs="Times New Roman"/>
          <w:sz w:val="24"/>
          <w:szCs w:val="24"/>
        </w:rPr>
        <w:t xml:space="preserve">C NMR also provides some information of the condensation. New resonance at 174 ppm is related to the carbon atom of ester groups. The signal of carboxyl acid groups around 180 ppm is much smaller than that in </w:t>
      </w:r>
      <w:r w:rsidRPr="001A5452">
        <w:rPr>
          <w:rFonts w:ascii="Times New Roman" w:eastAsia="DengXian" w:hAnsi="Times New Roman" w:cs="Times New Roman"/>
          <w:sz w:val="24"/>
          <w:szCs w:val="24"/>
          <w:vertAlign w:val="superscript"/>
        </w:rPr>
        <w:t>13</w:t>
      </w:r>
      <w:r w:rsidRPr="001A5452">
        <w:rPr>
          <w:rFonts w:ascii="Times New Roman" w:eastAsia="DengXian" w:hAnsi="Times New Roman" w:cs="Times New Roman"/>
          <w:sz w:val="24"/>
          <w:szCs w:val="24"/>
        </w:rPr>
        <w:t xml:space="preserve">C NMR of fatty acid, indicating that the carboxyl acid group reacted with hydroxyl groups. There are two different peaks at 64.45 ppm and 63.05 ppm, which is assigned to carbon atoms connected to different –OH groups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"10.1134/S1070363210090197", "ISSN" : "1070-3632", "abstract" : "The methods of one- and two-dimensional 1\u041d and 13\u0421 NMR spectroscopy have been used to study the structure of hyper-branched polyester polyol BOLTORN H2O-COOH and complex \u0421\u043e12[\u0412\u041d20(\u0421\u041e\u041e\u041d)] on its basis. It was shown that both compounds have non-stereoregular structure. Paramagnetic ions Co(II) are coordinated both on the surface of the molecule and near the core.", "author" : [ { "dropping-particle" : "", "family" : "Karataeva", "given" : "F. Kh.", "non-dropping-particle" : "", "parse-names" : false, "suffix" : "" }, { "dropping-particle" : "V.", "family" : "Rezepova", "given" : "M.", "non-dropping-particle" : "", "parse-names" : false, "suffix" : "" }, { "dropping-particle" : "", "family" : "Kutyreva", "given" : "M. P.", "non-dropping-particle" : "", "parse-names" : false, "suffix" : "" }, { "dropping-particle" : "", "family" : "Kutyrev", "given" : "G. a.", "non-dropping-particle" : "", "parse-names" : false, "suffix" : "" }, { "dropping-particle" : "", "family" : "Ulakhovich", "given" : "N. a.", "non-dropping-particle" : "", "parse-names" : false, "suffix" : "" } ], "container-title" : "Russian Journal of General Chemistry", "id" : "ITEM-1", "issue" : "9", "issued" : { "date-parts" : [ [ "2010" ] ] }, "page" : "1831-1835", "title" : "Structure of hyper-branched polyester polyol BOLTORN H2O-COOH. NMR data", "type" : "article-journal", "volume" : "80" }, "uris" : [ "http://www.mendeley.com/documents/?uuid=f8d21d7c-1f49-481f-8cb5-9e0e6a276d6c" ] }, { "id" : "ITEM-2", "itemData" : { "DOI" : "10.1021/ma047580v", "ISSN" : "00249297", "author" : [ { "dropping-particle" : "", "family" : "Lin", "given" : "Qin", "non-dropping-particle" : "", "parse-names" : false, "suffix" : "" }, { "dropping-particle" : "", "family" : "Long", "given" : "Timothy E.", "non-dropping-particle" : "", "parse-names" : false, "suffix" : "" } ], "container-title" : "Macromolecules", "id" : "ITEM-2", "issued" : { "date-parts" : [ [ "2003" ] ] }, "page" : "9809-9816", "title" : "polymerization of A2 with B3 monomers: a facile approach to hyperbranched poly(aryl ester)s", "type" : "article-journal", "volume" : "36" }, "uris" : [ "http://www.mendeley.com/documents/?uuid=991f7f76-4ebb-4f4e-a094-0e5b2164063e" ] } ], "mendeley" : { "formattedCitation" : "[244,246]", "plainTextFormattedCitation" : "[244,246]", "previouslyFormattedCitation" : "[244,246]"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[244,246]</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It might be due to the –OH groups in linear units and </w:t>
      </w:r>
      <w:r w:rsidR="0014290F">
        <w:rPr>
          <w:rFonts w:ascii="Times New Roman" w:eastAsia="DengXian" w:hAnsi="Times New Roman" w:cs="Times New Roman"/>
          <w:sz w:val="24"/>
          <w:szCs w:val="24"/>
        </w:rPr>
        <w:t>terminal units shown in Figure 6</w:t>
      </w:r>
      <w:r w:rsidR="00DF72E2">
        <w:rPr>
          <w:rFonts w:ascii="Times New Roman" w:eastAsia="DengXian" w:hAnsi="Times New Roman" w:cs="Times New Roman"/>
          <w:sz w:val="24"/>
          <w:szCs w:val="24"/>
        </w:rPr>
        <w:t>.5</w:t>
      </w:r>
      <w:r w:rsidRPr="001A5452">
        <w:rPr>
          <w:rFonts w:ascii="Times New Roman" w:eastAsia="DengXian" w:hAnsi="Times New Roman" w:cs="Times New Roman"/>
          <w:sz w:val="24"/>
          <w:szCs w:val="24"/>
        </w:rPr>
        <w:t>. Besides, signal at 14.11 ppm is associated to the carbon atoms from –CH</w:t>
      </w:r>
      <w:r w:rsidRPr="001A5452">
        <w:rPr>
          <w:rFonts w:ascii="Times New Roman" w:eastAsia="DengXian" w:hAnsi="Times New Roman" w:cs="Times New Roman"/>
          <w:sz w:val="24"/>
          <w:szCs w:val="24"/>
          <w:vertAlign w:val="subscript"/>
        </w:rPr>
        <w:t>3</w:t>
      </w:r>
      <w:r w:rsidRPr="001A5452">
        <w:rPr>
          <w:rFonts w:ascii="Times New Roman" w:eastAsia="DengXian" w:hAnsi="Times New Roman" w:cs="Times New Roman"/>
          <w:sz w:val="24"/>
          <w:szCs w:val="24"/>
        </w:rPr>
        <w:t xml:space="preserve">. Peaks from 37.46 ppm to 18.43 ppm refer to various carbon atoms in methyl groups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"10.1016/j.porgcoat.2008.07.012", "ISSN" : "03009440", "abstract" : "A series of hyperbranched polyester-urethane-urea/K10-clay hybrid coatings (AHBPE-1 and AHBPE-2) have been prepared. Initially, the polyester polyols are synthesized separately in a step-wise manner using pentaerythritol (PE), phtallic anhydride (PTA) and trimethylol propane (TMP). The cetyltrimethylammonium bromide (CTAB) modified K10-clay is used as an organoclay for the hybrid composites preparation and dispersed into the polyester matrix by ultrasonication method. This clay-dispersed polyols are used for further synthesis. The degree of branching (DB), percentage of condensation reaction and quantity of dendritic (D), terminal (T) and linear (L) units present in the polyester are calculated, from the NMR peak integration value. The NMR result suggests that, there is formation of nearly 63% of condensation product in the polyester. A structure-property correlation is established, based on the hydrogen bonding effect with increasing clay content by using the FT-IR peak deconvulation technique. The dynamic mechanical and thermal analysis (DMTA) as well as thermo gravimetric analysis (TGA) results show, an increase in room temperature storage modulus (E???), glass transition temperature (Tg) and thermal stability of the hybrid coatings with increasing clay content and NCO/OH ratio. The contact angle measurement study suggests that, the hydrophilicity of the hybrid films increases with increasing clay content and decreases with increasing NCO/OH ratio. ?? 2008 Elsevier B.V. All rights reserved.", "author" : [ { "dropping-particle" : "", "family" : "Mishra", "given" : "Aswini K.", "non-dropping-particle" : "", "parse-names" : false, "suffix" : "" }, { "dropping-particle" : "", "family" : "Jena", "given" : "Kishore K.", "non-dropping-particle" : "", "parse-names" : false, "suffix" : "" }, { "dropping-particle" : "", "family" : "Raju", "given" : "K.V.S.N.", "non-dropping-particle" : "", "parse-names" : false, "suffix" : "" } ], "container-title" : "Progress in Organic Coatings", "id" : "ITEM-1", "issue" : "1", "issued" : { "date-parts" : [ [ "2009" ] ] }, "page" : "47-56", "title" : "Synthesis and characterization of hyperbranched polyester-urethane-urea/K10-clay hybrid coatings", "type" : "article-journal", "volume" : "64" }, "uris" : [ "http://www.mendeley.com/documents/?uuid=f5268903-4d77-4096-877c-ef3c7bcdd724" ] }, { "id" : "ITEM-2", "itemData" : { "DOI" : "10.1134/S1070363210090197", "ISSN" : "1070-3632", "abstract" : "The methods of one- and two-dimensional 1\u041d and 13\u0421 NMR spectroscopy have been used to study the structure of hyper-branched polyester polyol BOLTORN H2O-COOH and complex \u0421\u043e12[\u0412\u041d20(\u0421\u041e\u041e\u041d)] on its basis. It was shown that both compounds have non-stereoregular structure. Paramagnetic ions Co(II) are coordinated both on the surface of the molecule and near the core.", "author" : [ { "dropping-particle" : "", "family" : "Karataeva", "given" : "F. Kh.", "non-dropping-particle" : "", "parse-names" : false, "suffix" : "" }, { "dropping-particle" : "V.", "family" : "Rezepova", "given" : "M.", "non-dropping-particle" : "", "parse-names" : false, "suffix" : "" }, { "dropping-particle" : "", "family" : "Kutyreva", "given" : "M. P.", "non-dropping-particle" : "", "parse-names" : false, "suffix" : "" }, { "dropping-particle" : "", "family" : "Kutyrev", "given" : "G. a.", "non-dropping-particle" : "", "parse-names" : false, "suffix" : "" }, { "dropping-particle" : "", "family" : "Ulakhovich", "given" : "N. a.", "non-dropping-particle" : "", "parse-names" : false, "suffix" : "" } ], "container-title" : "Russian Journal of General Chemistry", "id" : "ITEM-2", "issue" : "9", "issued" : { "date-parts" : [ [ "2010" ] ] }, "page" : "1831-1835", "title" : "Structure of hyper-branched polyester polyol BOLTORN H2O-COOH. NMR data", "type" : "article-journal", "volume" : "80" }, "uris" : [ "http://www.mendeley.com/documents/?uuid=f8d21d7c-1f49-481f-8cb5-9e0e6a276d6c" ] }, { "id" : "ITEM-3", "itemData" : { "DOI" : "10.1002/pola", "ISBN" : "0887-624X", "ISSN" : "00323934", "PMID" : "269090300007", "abstract" : "Well-defined trifluoromethylated poly(phenylene oxide)s were synthesized via nucleophilic aromatic substitution (SNAr) reaction by a chain-growth polymerization manner. Poly- merization of potassium 4-fluoro-3-(trifluoromethyl)phenolate in the presence of an appropriate initiator yielded polymers with molecular weights of ?4000 and polydispersity indices of &lt;1.2, which were characterized by 1H nuclear magnetic resonance spectroscopy and gel permeation chromatography. Initiating sites for atom transfer radical polymerization (ATRP) were intro- duced at the either side of chain ends of the poly(phenylene ox- ide), and used for ATRP of styrene and methyl methacrylate, yielding well-defined rod-coil block copolymers. Differential scan- ning calorimetry study indicated that the well-defined trifluoro- methylated poly(phenylene oxide)s showed high crystallinity and were immiscible with polystyrene. V", "author" : [ { "dropping-particle" : "", "family" : "Pawel", "given" : "G.", "non-dropping-particle" : "", "parse-names" : false, "suffix" : "" }, { "dropping-particle" : "", "family" : "Parzuchowski", "given" : "", "non-dropping-particle" : "", "parse-names" : false, "suffix" : "" }, { "dropping-particle" : "", "family" : "Grabowska", "given" : "Martyna", "non-dropping-particle" : "", "parse-names" : false, "suffix" : "" }, { "dropping-particle" : "", "family" : "Jaroch", "given" : "Michal", "non-dropping-particle" : "", "parse-names" : false, "suffix" : "" }, { "dropping-particle" : "", "family" : "Kusznerczuk", "given" : "Monika", "non-dropping-particle" : "", "parse-names" : false, "suffix" : "" } ], "container-title" : "Journal of polymer science", "id" : "ITEM-3", "issued" : { "date-parts" : [ [ "2009" ] ] }, "page" : "3860-3868", "title" : "Synthesis and characterization of hyperbranched polyesters from glycerol based AB2 monomers", "type" : "article-journal", "volume" : "10" }, "uris" : [ "http://www.mendeley.com/documents/?uuid=4676f944-7d06-4860-9e13-85ccda10834f" ] }, { "id" : "ITEM-4", "itemData" : { "DOI" : "10.1021/ma047580v", "ISSN" : "00249297", "author" : [ { "dropping-particle" : "", "family" : "Lin", "given" : "Qin", "non-dropping-particle" : "", "parse-names" : false, "suffix" : "" }, { "dropping-particle" : "", "family" : "Long", "given" : "Timothy E.", "non-dropping-particle" : "", "parse-names" : false, "suffix" : "" } ], "container-title" : "Macromolecules", "id" : "ITEM-4", "issued" : { "date-parts" : [ [ "2003" ] ] }, "page" : "9809-9816", "title" : "polymerization of A2 with B3 monomers: a facile approach to hyperbranched poly(aryl ester)s", "type" : "article-journal", "volume" : "36" }, "uris" : [ "http://www.mendeley.com/documents/?uuid=991f7f76-4ebb-4f4e-a094-0e5b2164063e" ] } ], "mendeley" : { "formattedCitation" : "[244,246\u2013248]", "plainTextFormattedCitation" : "[244,246\u2013248]", "previouslyFormattedCitation" : "[244,246\u2013248]"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[244,246–248]</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xml:space="preserve">. </w:t>
      </w:r>
    </w:p>
    <w:p w14:paraId="4ACB4F3A" w14:textId="5ABC8173" w:rsidR="006F38AE" w:rsidRPr="001A5452" w:rsidRDefault="006F38AE" w:rsidP="006F38AE">
      <w:pPr>
        <w:spacing w:after="0" w:line="480" w:lineRule="auto"/>
        <w:ind w:firstLine="360"/>
        <w:contextualSpacing/>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Due to the presence of trimer acid in Pripol 1040, the products made from Pripol 2030 and Pripol 1040 have numerous randomly formed chemical structures. Figure </w:t>
      </w:r>
      <w:r w:rsidR="00F50AC6">
        <w:rPr>
          <w:rFonts w:ascii="Times New Roman" w:eastAsia="DengXian" w:hAnsi="Times New Roman" w:cs="Times New Roman"/>
          <w:sz w:val="24"/>
          <w:szCs w:val="24"/>
        </w:rPr>
        <w:t>6.</w:t>
      </w:r>
      <w:r w:rsidR="0014290F">
        <w:rPr>
          <w:rFonts w:ascii="Times New Roman" w:eastAsia="DengXian" w:hAnsi="Times New Roman" w:cs="Times New Roman"/>
          <w:sz w:val="24"/>
          <w:szCs w:val="24"/>
        </w:rPr>
        <w:t>5</w:t>
      </w:r>
      <w:r w:rsidRPr="001A5452">
        <w:rPr>
          <w:rFonts w:ascii="Times New Roman" w:eastAsia="DengXian" w:hAnsi="Times New Roman" w:cs="Times New Roman"/>
          <w:sz w:val="24"/>
          <w:szCs w:val="24"/>
        </w:rPr>
        <w:t xml:space="preserve"> shows five probable</w:t>
      </w:r>
      <w:r w:rsidRPr="001A5452" w:rsidDel="003C264B">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t>segment structures</w:t>
      </w:r>
      <w:r w:rsidRPr="001A5452" w:rsidDel="003A03DD">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t>in HBPE pre-polymer.</w:t>
      </w:r>
    </w:p>
    <w:p w14:paraId="74AB5296" w14:textId="77777777" w:rsidR="006F38AE" w:rsidRPr="001A5452" w:rsidRDefault="006F38AE" w:rsidP="006F38AE">
      <w:pPr>
        <w:spacing w:after="0" w:line="480" w:lineRule="auto"/>
        <w:ind w:firstLine="90"/>
        <w:contextualSpacing/>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5A7AF52C" wp14:editId="3A1C7958">
            <wp:extent cx="4572000" cy="362571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72000" cy="3625712"/>
                    </a:xfrm>
                    <a:prstGeom prst="rect">
                      <a:avLst/>
                    </a:prstGeom>
                    <a:noFill/>
                  </pic:spPr>
                </pic:pic>
              </a:graphicData>
            </a:graphic>
          </wp:inline>
        </w:drawing>
      </w:r>
    </w:p>
    <w:p w14:paraId="6B8C419F" w14:textId="20E882FF" w:rsidR="006F38AE" w:rsidRPr="001A5452" w:rsidRDefault="0014290F" w:rsidP="0065721F">
      <w:pPr>
        <w:pStyle w:val="Caption"/>
        <w:ind w:firstLine="0"/>
        <w:rPr>
          <w:rFonts w:eastAsia="DengXian" w:cs="Times New Roman"/>
          <w:szCs w:val="24"/>
        </w:rPr>
      </w:pPr>
      <w:bookmarkStart w:id="221" w:name="_Toc502662556"/>
      <w:bookmarkStart w:id="222" w:name="_Toc502662668"/>
      <w:bookmarkStart w:id="223" w:name="_Toc518823419"/>
      <w:r>
        <w:t>Figure 6</w:t>
      </w:r>
      <w:r w:rsidR="00DF72E2">
        <w:t>.</w:t>
      </w:r>
      <w:r w:rsidR="0065721F">
        <w:fldChar w:fldCharType="begin"/>
      </w:r>
      <w:r w:rsidR="0065721F">
        <w:instrText xml:space="preserve"> SEQ Figure_6. \* ARABIC </w:instrText>
      </w:r>
      <w:r w:rsidR="0065721F">
        <w:fldChar w:fldCharType="separate"/>
      </w:r>
      <w:r w:rsidR="00551ED9">
        <w:rPr>
          <w:noProof/>
        </w:rPr>
        <w:t>3</w:t>
      </w:r>
      <w:r w:rsidR="0065721F">
        <w:fldChar w:fldCharType="end"/>
      </w:r>
      <w:r w:rsidR="006F38AE" w:rsidRPr="001A5452">
        <w:rPr>
          <w:rFonts w:eastAsia="DengXian" w:cs="Times New Roman"/>
          <w:b w:val="0"/>
          <w:szCs w:val="24"/>
        </w:rPr>
        <w:t>.</w:t>
      </w:r>
      <w:r w:rsidR="006F38AE" w:rsidRPr="001A5452">
        <w:rPr>
          <w:rFonts w:eastAsia="DengXian" w:cs="Times New Roman"/>
          <w:szCs w:val="24"/>
        </w:rPr>
        <w:t xml:space="preserve"> Schematic representation of synthesis of bio-based hyperbranched</w:t>
      </w:r>
      <w:r w:rsidR="0019633B">
        <w:rPr>
          <w:rFonts w:eastAsia="DengXian" w:cs="Times New Roman"/>
          <w:szCs w:val="24"/>
        </w:rPr>
        <w:t xml:space="preserve"> polyester (prepolymer)</w:t>
      </w:r>
      <w:bookmarkEnd w:id="221"/>
      <w:bookmarkEnd w:id="222"/>
      <w:bookmarkEnd w:id="223"/>
      <w:r w:rsidR="004975D1">
        <w:rPr>
          <w:rFonts w:eastAsia="DengXian" w:cs="Times New Roman"/>
          <w:szCs w:val="24"/>
        </w:rPr>
        <w:t>.</w:t>
      </w:r>
    </w:p>
    <w:p w14:paraId="7EBE57C9" w14:textId="77777777" w:rsidR="006F38AE" w:rsidRPr="001A5452" w:rsidRDefault="006F38AE" w:rsidP="006F38AE">
      <w:pPr>
        <w:spacing w:after="0" w:line="480" w:lineRule="auto"/>
        <w:ind w:firstLine="360"/>
        <w:contextualSpacing/>
        <w:jc w:val="both"/>
        <w:rPr>
          <w:rFonts w:ascii="Times New Roman" w:eastAsia="DengXian" w:hAnsi="Times New Roman" w:cs="Times New Roman"/>
        </w:rPr>
      </w:pPr>
    </w:p>
    <w:p w14:paraId="673AB0EE" w14:textId="77777777" w:rsidR="006F38AE" w:rsidRPr="001A5452" w:rsidRDefault="006F38AE" w:rsidP="006F38AE">
      <w:pPr>
        <w:spacing w:after="0" w:line="480" w:lineRule="auto"/>
        <w:ind w:firstLine="288"/>
        <w:contextualSpacing/>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7167EF12" wp14:editId="3B4B7808">
            <wp:extent cx="4536000" cy="706222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36000" cy="7062222"/>
                    </a:xfrm>
                    <a:prstGeom prst="rect">
                      <a:avLst/>
                    </a:prstGeom>
                    <a:noFill/>
                  </pic:spPr>
                </pic:pic>
              </a:graphicData>
            </a:graphic>
          </wp:inline>
        </w:drawing>
      </w:r>
    </w:p>
    <w:p w14:paraId="51A27E7D" w14:textId="758D70B4" w:rsidR="006F38AE" w:rsidRPr="001A5452" w:rsidRDefault="0065721F" w:rsidP="0065721F">
      <w:pPr>
        <w:pStyle w:val="Caption"/>
        <w:rPr>
          <w:rFonts w:eastAsia="DengXian" w:cs="Times New Roman"/>
          <w:szCs w:val="24"/>
        </w:rPr>
      </w:pPr>
      <w:r>
        <w:t xml:space="preserve">      </w:t>
      </w:r>
      <w:bookmarkStart w:id="224" w:name="_Toc502662557"/>
      <w:bookmarkStart w:id="225" w:name="_Toc502662669"/>
      <w:bookmarkStart w:id="226" w:name="_Toc518823420"/>
      <w:r w:rsidR="00DF72E2">
        <w:t xml:space="preserve">Figure </w:t>
      </w:r>
      <w:r w:rsidR="0014290F">
        <w:t>6</w:t>
      </w:r>
      <w:r w:rsidR="00DF72E2" w:rsidRPr="00DF72E2">
        <w:t>.</w:t>
      </w:r>
      <w:r w:rsidRPr="00DF72E2">
        <w:fldChar w:fldCharType="begin"/>
      </w:r>
      <w:r w:rsidRPr="00DF72E2">
        <w:instrText xml:space="preserve"> SEQ Figure_6. \* ARABIC </w:instrText>
      </w:r>
      <w:r w:rsidRPr="00DF72E2">
        <w:fldChar w:fldCharType="separate"/>
      </w:r>
      <w:r w:rsidR="00551ED9" w:rsidRPr="00DF72E2">
        <w:rPr>
          <w:noProof/>
        </w:rPr>
        <w:t>4</w:t>
      </w:r>
      <w:r w:rsidRPr="00DF72E2">
        <w:fldChar w:fldCharType="end"/>
      </w:r>
      <w:r w:rsidR="006F38AE" w:rsidRPr="00DF72E2">
        <w:rPr>
          <w:rFonts w:eastAsia="DengXian" w:cs="Times New Roman"/>
          <w:szCs w:val="24"/>
        </w:rPr>
        <w:t>.</w:t>
      </w:r>
      <w:r w:rsidR="006F38AE" w:rsidRPr="001A5452">
        <w:rPr>
          <w:rFonts w:eastAsia="DengXian" w:cs="Times New Roman"/>
          <w:szCs w:val="24"/>
        </w:rPr>
        <w:t xml:space="preserve"> NMR spectra of HBPE pre-polymer.</w:t>
      </w:r>
      <w:r w:rsidR="00FC4D2E">
        <w:rPr>
          <w:rFonts w:eastAsia="DengXian" w:cs="Times New Roman"/>
          <w:szCs w:val="24"/>
        </w:rPr>
        <w:t xml:space="preserve"> CH2OH: 2 should be subscript.</w:t>
      </w:r>
      <w:bookmarkEnd w:id="224"/>
      <w:bookmarkEnd w:id="225"/>
      <w:bookmarkEnd w:id="226"/>
      <w:r w:rsidR="00FC4D2E">
        <w:rPr>
          <w:rFonts w:eastAsia="DengXian" w:cs="Times New Roman"/>
          <w:szCs w:val="24"/>
        </w:rPr>
        <w:t xml:space="preserve"> </w:t>
      </w:r>
    </w:p>
    <w:p w14:paraId="61DB6E0E" w14:textId="77777777" w:rsidR="006F38AE" w:rsidRPr="001A5452" w:rsidRDefault="006F38AE" w:rsidP="006F38AE">
      <w:pPr>
        <w:spacing w:after="0" w:line="480" w:lineRule="auto"/>
        <w:ind w:hanging="90"/>
        <w:contextualSpacing/>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5948935C" wp14:editId="504A2310">
            <wp:extent cx="5472000" cy="494921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4949217"/>
                    </a:xfrm>
                    <a:prstGeom prst="rect">
                      <a:avLst/>
                    </a:prstGeom>
                    <a:noFill/>
                  </pic:spPr>
                </pic:pic>
              </a:graphicData>
            </a:graphic>
          </wp:inline>
        </w:drawing>
      </w:r>
    </w:p>
    <w:p w14:paraId="3A19F776" w14:textId="38B543E7" w:rsidR="006F38AE" w:rsidRPr="001A5452" w:rsidRDefault="0014290F" w:rsidP="0065721F">
      <w:pPr>
        <w:pStyle w:val="Caption"/>
        <w:jc w:val="center"/>
        <w:rPr>
          <w:rFonts w:eastAsia="DengXian" w:cs="Times New Roman"/>
          <w:szCs w:val="24"/>
        </w:rPr>
      </w:pPr>
      <w:bookmarkStart w:id="227" w:name="_Toc502662558"/>
      <w:bookmarkStart w:id="228" w:name="_Toc502662670"/>
      <w:bookmarkStart w:id="229" w:name="_Toc518823421"/>
      <w:r>
        <w:t>Figure 6</w:t>
      </w:r>
      <w:r w:rsidR="00DF72E2">
        <w:t>.</w:t>
      </w:r>
      <w:r w:rsidR="0065721F">
        <w:fldChar w:fldCharType="begin"/>
      </w:r>
      <w:r w:rsidR="0065721F">
        <w:instrText xml:space="preserve"> SEQ Figure_6. \* ARABIC </w:instrText>
      </w:r>
      <w:r w:rsidR="0065721F">
        <w:fldChar w:fldCharType="separate"/>
      </w:r>
      <w:r w:rsidR="00551ED9">
        <w:rPr>
          <w:noProof/>
        </w:rPr>
        <w:t>5</w:t>
      </w:r>
      <w:r w:rsidR="0065721F">
        <w:fldChar w:fldCharType="end"/>
      </w:r>
      <w:r w:rsidR="006F38AE" w:rsidRPr="00DF72E2">
        <w:rPr>
          <w:rFonts w:eastAsia="DengXian" w:cs="Times New Roman"/>
          <w:szCs w:val="24"/>
        </w:rPr>
        <w:t>.</w:t>
      </w:r>
      <w:r w:rsidR="006F38AE" w:rsidRPr="00345B5C">
        <w:rPr>
          <w:rFonts w:eastAsia="DengXian" w:cs="Times New Roman"/>
          <w:szCs w:val="24"/>
        </w:rPr>
        <w:t xml:space="preserve"> Probable segments of HBPE pre-polymer.</w:t>
      </w:r>
      <w:bookmarkEnd w:id="227"/>
      <w:bookmarkEnd w:id="228"/>
      <w:bookmarkEnd w:id="229"/>
    </w:p>
    <w:p w14:paraId="113744AF" w14:textId="77777777" w:rsidR="006F38AE" w:rsidRPr="001A5452" w:rsidRDefault="006F38AE" w:rsidP="006F38AE">
      <w:pPr>
        <w:spacing w:after="0" w:line="480" w:lineRule="auto"/>
        <w:ind w:firstLine="288"/>
        <w:contextualSpacing/>
        <w:jc w:val="center"/>
        <w:rPr>
          <w:rFonts w:ascii="Times New Roman" w:eastAsia="DengXian" w:hAnsi="Times New Roman" w:cs="Times New Roman"/>
          <w:sz w:val="24"/>
          <w:szCs w:val="24"/>
        </w:rPr>
      </w:pPr>
    </w:p>
    <w:p w14:paraId="1052A6BF" w14:textId="60FE85B5" w:rsidR="006F38AE" w:rsidRPr="001A5452" w:rsidRDefault="001B3FB7" w:rsidP="00A22DC4">
      <w:pPr>
        <w:pStyle w:val="Heading3"/>
      </w:pPr>
      <w:bookmarkStart w:id="230" w:name="_Toc518823351"/>
      <w:r>
        <w:t>6</w:t>
      </w:r>
      <w:r w:rsidR="00BD1DD2">
        <w:t>.</w:t>
      </w:r>
      <w:r w:rsidR="006F38AE" w:rsidRPr="001A5452">
        <w:t>3.1.2. Molar Mass of HBPE pre-polymer</w:t>
      </w:r>
      <w:bookmarkEnd w:id="230"/>
    </w:p>
    <w:p w14:paraId="4DD3B791" w14:textId="77777777" w:rsidR="006F38AE" w:rsidRPr="001A5452" w:rsidRDefault="006F38AE" w:rsidP="006F38AE">
      <w:pPr>
        <w:keepNext/>
        <w:keepLines/>
        <w:spacing w:after="0" w:line="480" w:lineRule="auto"/>
        <w:jc w:val="both"/>
        <w:outlineLvl w:val="3"/>
        <w:rPr>
          <w:rFonts w:ascii="Times New Roman" w:eastAsia="DengXian Light" w:hAnsi="Times New Roman" w:cs="Times New Roman"/>
          <w:i/>
          <w:iCs/>
          <w:sz w:val="24"/>
          <w:szCs w:val="24"/>
        </w:rPr>
      </w:pPr>
      <w:r w:rsidRPr="001A5452">
        <w:rPr>
          <w:rFonts w:ascii="Times New Roman" w:eastAsia="DengXian Light" w:hAnsi="Times New Roman" w:cs="Times New Roman"/>
          <w:i/>
          <w:iCs/>
          <w:sz w:val="24"/>
          <w:szCs w:val="24"/>
        </w:rPr>
        <w:t xml:space="preserve">Gel permeation chromatography (GPC) </w:t>
      </w:r>
    </w:p>
    <w:p w14:paraId="4E3608C5" w14:textId="54DE84E6" w:rsidR="006F38AE" w:rsidRPr="001A5452" w:rsidRDefault="006F38AE" w:rsidP="006F38AE">
      <w:pPr>
        <w:spacing w:after="0" w:line="480" w:lineRule="auto"/>
        <w:contextualSpacing/>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GPC was employed to determine the average molecular weight (</w:t>
      </w:r>
      <m:oMath>
        <m:sSub>
          <m:sSubPr>
            <m:ctrlPr>
              <w:rPr>
                <w:rFonts w:ascii="Cambria Math" w:eastAsia="DengXian" w:hAnsi="Cambria Math" w:cs="Times New Roman"/>
                <w:szCs w:val="24"/>
              </w:rPr>
            </m:ctrlPr>
          </m:sSubPr>
          <m:e>
            <m:acc>
              <m:accPr>
                <m:chr m:val="̅"/>
                <m:ctrlPr>
                  <w:rPr>
                    <w:rFonts w:ascii="Cambria Math" w:eastAsia="DengXian" w:hAnsi="Cambria Math" w:cs="Times New Roman"/>
                    <w:szCs w:val="24"/>
                  </w:rPr>
                </m:ctrlPr>
              </m:accPr>
              <m:e>
                <m:r>
                  <w:rPr>
                    <w:rFonts w:ascii="Cambria Math" w:eastAsia="DengXian" w:hAnsi="Cambria Math" w:cs="Times New Roman"/>
                    <w:szCs w:val="24"/>
                  </w:rPr>
                  <m:t>M</m:t>
                </m:r>
              </m:e>
            </m:acc>
          </m:e>
          <m:sub>
            <m:r>
              <w:rPr>
                <w:rFonts w:ascii="Cambria Math" w:eastAsia="DengXian" w:hAnsi="Cambria Math" w:cs="Times New Roman"/>
                <w:szCs w:val="24"/>
              </w:rPr>
              <m:t>n</m:t>
            </m:r>
          </m:sub>
        </m:sSub>
      </m:oMath>
      <w:r w:rsidRPr="001A5452">
        <w:rPr>
          <w:rFonts w:ascii="Times New Roman" w:eastAsia="DengXian" w:hAnsi="Times New Roman" w:cs="Times New Roman"/>
          <w:szCs w:val="24"/>
        </w:rPr>
        <w:t xml:space="preserve"> and </w:t>
      </w:r>
      <m:oMath>
        <m:sSub>
          <m:sSubPr>
            <m:ctrlPr>
              <w:rPr>
                <w:rFonts w:ascii="Cambria Math" w:eastAsia="DengXian" w:hAnsi="Cambria Math" w:cs="Times New Roman"/>
                <w:szCs w:val="24"/>
              </w:rPr>
            </m:ctrlPr>
          </m:sSubPr>
          <m:e>
            <m:acc>
              <m:accPr>
                <m:chr m:val="̅"/>
                <m:ctrlPr>
                  <w:rPr>
                    <w:rFonts w:ascii="Cambria Math" w:eastAsia="DengXian" w:hAnsi="Cambria Math" w:cs="Times New Roman"/>
                    <w:szCs w:val="24"/>
                  </w:rPr>
                </m:ctrlPr>
              </m:accPr>
              <m:e>
                <m:r>
                  <w:rPr>
                    <w:rFonts w:ascii="Cambria Math" w:eastAsia="DengXian" w:hAnsi="Cambria Math" w:cs="Times New Roman"/>
                    <w:szCs w:val="24"/>
                  </w:rPr>
                  <m:t>M</m:t>
                </m:r>
              </m:e>
            </m:acc>
          </m:e>
          <m:sub>
            <m:r>
              <w:rPr>
                <w:rFonts w:ascii="Cambria Math" w:eastAsia="DengXian" w:hAnsi="Cambria Math" w:cs="Times New Roman"/>
                <w:szCs w:val="24"/>
              </w:rPr>
              <m:t>w</m:t>
            </m:r>
          </m:sub>
        </m:sSub>
      </m:oMath>
      <w:r w:rsidRPr="001A5452">
        <w:rPr>
          <w:rFonts w:ascii="Times New Roman" w:eastAsia="DengXian" w:hAnsi="Times New Roman" w:cs="Times New Roman"/>
          <w:sz w:val="24"/>
          <w:szCs w:val="24"/>
        </w:rPr>
        <w:t xml:space="preserve">) and molecular weight distribution (MWD) of HBPE pre-polymer (Figure </w:t>
      </w:r>
      <w:r w:rsidR="001429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DF72E2">
        <w:rPr>
          <w:rFonts w:ascii="Times New Roman" w:eastAsia="DengXian" w:hAnsi="Times New Roman" w:cs="Times New Roman"/>
          <w:sz w:val="24"/>
          <w:szCs w:val="24"/>
        </w:rPr>
        <w:t>6</w:t>
      </w:r>
      <w:r w:rsidRPr="001A5452">
        <w:rPr>
          <w:rFonts w:ascii="Times New Roman" w:eastAsia="DengXian" w:hAnsi="Times New Roman" w:cs="Times New Roman"/>
          <w:sz w:val="24"/>
          <w:szCs w:val="24"/>
        </w:rPr>
        <w:t>). The number average molecular weight (</w:t>
      </w:r>
      <m:oMath>
        <m:sSub>
          <m:sSubPr>
            <m:ctrlPr>
              <w:rPr>
                <w:rFonts w:ascii="Cambria Math" w:eastAsia="DengXian" w:hAnsi="Cambria Math" w:cs="Times New Roman"/>
                <w:szCs w:val="24"/>
              </w:rPr>
            </m:ctrlPr>
          </m:sSubPr>
          <m:e>
            <m:acc>
              <m:accPr>
                <m:chr m:val="̅"/>
                <m:ctrlPr>
                  <w:rPr>
                    <w:rFonts w:ascii="Cambria Math" w:eastAsia="DengXian" w:hAnsi="Cambria Math" w:cs="Times New Roman"/>
                    <w:szCs w:val="24"/>
                  </w:rPr>
                </m:ctrlPr>
              </m:accPr>
              <m:e>
                <m:r>
                  <w:rPr>
                    <w:rFonts w:ascii="Cambria Math" w:eastAsia="DengXian" w:hAnsi="Cambria Math" w:cs="Times New Roman"/>
                    <w:szCs w:val="24"/>
                  </w:rPr>
                  <m:t>M</m:t>
                </m:r>
              </m:e>
            </m:acc>
          </m:e>
          <m:sub>
            <m:r>
              <w:rPr>
                <w:rFonts w:ascii="Cambria Math" w:eastAsia="DengXian" w:hAnsi="Cambria Math" w:cs="Times New Roman"/>
                <w:szCs w:val="24"/>
              </w:rPr>
              <m:t>n</m:t>
            </m:r>
          </m:sub>
        </m:sSub>
      </m:oMath>
      <w:r w:rsidRPr="001A5452">
        <w:rPr>
          <w:rFonts w:ascii="Times New Roman" w:eastAsia="DengXian" w:hAnsi="Times New Roman" w:cs="Times New Roman"/>
          <w:sz w:val="24"/>
          <w:szCs w:val="24"/>
        </w:rPr>
        <w:t>), and weight average molecular weight (</w:t>
      </w:r>
      <m:oMath>
        <m:sSub>
          <m:sSubPr>
            <m:ctrlPr>
              <w:rPr>
                <w:rFonts w:ascii="Cambria Math" w:eastAsia="DengXian" w:hAnsi="Cambria Math" w:cs="Times New Roman"/>
                <w:szCs w:val="24"/>
              </w:rPr>
            </m:ctrlPr>
          </m:sSubPr>
          <m:e>
            <m:acc>
              <m:accPr>
                <m:chr m:val="̅"/>
                <m:ctrlPr>
                  <w:rPr>
                    <w:rFonts w:ascii="Cambria Math" w:eastAsia="DengXian" w:hAnsi="Cambria Math" w:cs="Times New Roman"/>
                    <w:szCs w:val="24"/>
                  </w:rPr>
                </m:ctrlPr>
              </m:accPr>
              <m:e>
                <m:r>
                  <w:rPr>
                    <w:rFonts w:ascii="Cambria Math" w:eastAsia="DengXian" w:hAnsi="Cambria Math" w:cs="Times New Roman"/>
                    <w:szCs w:val="24"/>
                  </w:rPr>
                  <m:t>M</m:t>
                </m:r>
              </m:e>
            </m:acc>
          </m:e>
          <m:sub>
            <m:r>
              <w:rPr>
                <w:rFonts w:ascii="Cambria Math" w:eastAsia="DengXian" w:hAnsi="Cambria Math" w:cs="Times New Roman"/>
                <w:szCs w:val="24"/>
              </w:rPr>
              <m:t>w</m:t>
            </m:r>
          </m:sub>
        </m:sSub>
      </m:oMath>
      <w:r w:rsidRPr="001A5452">
        <w:rPr>
          <w:rFonts w:ascii="Times New Roman" w:eastAsia="DengXian" w:hAnsi="Times New Roman" w:cs="Times New Roman"/>
          <w:szCs w:val="24"/>
        </w:rPr>
        <w:t xml:space="preserve">) </w:t>
      </w:r>
      <w:r w:rsidRPr="001A5452">
        <w:rPr>
          <w:rFonts w:ascii="Times New Roman" w:eastAsia="DengXian" w:hAnsi="Times New Roman" w:cs="Times New Roman"/>
          <w:sz w:val="24"/>
          <w:szCs w:val="24"/>
        </w:rPr>
        <w:t>obtained from GPC were 5641</w:t>
      </w:r>
      <w:r w:rsidR="00FC4D2E">
        <w:rPr>
          <w:rFonts w:ascii="Times New Roman" w:eastAsia="DengXian" w:hAnsi="Times New Roman" w:cs="Times New Roman"/>
          <w:sz w:val="24"/>
          <w:szCs w:val="24"/>
        </w:rPr>
        <w:t xml:space="preserve"> and </w:t>
      </w:r>
      <w:r w:rsidRPr="001A5452">
        <w:rPr>
          <w:rFonts w:ascii="Times New Roman" w:eastAsia="DengXian" w:hAnsi="Times New Roman" w:cs="Times New Roman"/>
          <w:sz w:val="24"/>
          <w:szCs w:val="24"/>
        </w:rPr>
        <w:t>27013, respectively, with a</w:t>
      </w:r>
      <w:r w:rsidR="00FC4D2E">
        <w:rPr>
          <w:rFonts w:ascii="Times New Roman" w:eastAsia="DengXian" w:hAnsi="Times New Roman" w:cs="Times New Roman"/>
          <w:sz w:val="24"/>
          <w:szCs w:val="24"/>
        </w:rPr>
        <w:t xml:space="preserve"> MWD</w:t>
      </w:r>
      <w:r w:rsidRPr="001A5452">
        <w:rPr>
          <w:rFonts w:ascii="Times New Roman" w:eastAsia="DengXian" w:hAnsi="Times New Roman" w:cs="Times New Roman"/>
          <w:sz w:val="24"/>
          <w:szCs w:val="24"/>
        </w:rPr>
        <w:t xml:space="preserve"> of 4.78. </w:t>
      </w:r>
    </w:p>
    <w:p w14:paraId="09FB5845" w14:textId="2EC5B083" w:rsidR="006F38AE" w:rsidRPr="001A5452" w:rsidRDefault="006F38AE" w:rsidP="006F38AE">
      <w:pPr>
        <w:spacing w:after="0" w:line="480" w:lineRule="auto"/>
        <w:ind w:left="90" w:firstLine="288"/>
        <w:contextualSpacing/>
        <w:jc w:val="center"/>
        <w:rPr>
          <w:rFonts w:ascii="Times New Roman" w:eastAsia="DengXian" w:hAnsi="Times New Roman" w:cs="Times New Roman"/>
        </w:rPr>
      </w:pPr>
      <w:r w:rsidRPr="001A5452">
        <w:rPr>
          <w:rFonts w:ascii="Times New Roman" w:eastAsia="DengXian" w:hAnsi="Times New Roman" w:cs="Times New Roman"/>
          <w:noProof/>
          <w:lang w:val="en-GB"/>
        </w:rPr>
        <w:drawing>
          <wp:inline distT="0" distB="0" distL="0" distR="0" wp14:anchorId="472FF334" wp14:editId="7D25399D">
            <wp:extent cx="4609400" cy="32289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21394" cy="3237377"/>
                    </a:xfrm>
                    <a:prstGeom prst="rect">
                      <a:avLst/>
                    </a:prstGeom>
                    <a:noFill/>
                  </pic:spPr>
                </pic:pic>
              </a:graphicData>
            </a:graphic>
          </wp:inline>
        </w:drawing>
      </w:r>
    </w:p>
    <w:p w14:paraId="0A75F55C" w14:textId="4756BA02" w:rsidR="006F38AE" w:rsidRPr="001A5452" w:rsidRDefault="0014290F" w:rsidP="0065721F">
      <w:pPr>
        <w:pStyle w:val="Caption"/>
        <w:rPr>
          <w:rFonts w:eastAsia="DengXian" w:cs="Times New Roman"/>
        </w:rPr>
      </w:pPr>
      <w:bookmarkStart w:id="231" w:name="_Toc502662559"/>
      <w:bookmarkStart w:id="232" w:name="_Toc502662671"/>
      <w:bookmarkStart w:id="233" w:name="_Toc518823422"/>
      <w:r>
        <w:t>Figure 6</w:t>
      </w:r>
      <w:r w:rsidR="00DF72E2">
        <w:t>.</w:t>
      </w:r>
      <w:r w:rsidR="0065721F" w:rsidRPr="00DF72E2">
        <w:fldChar w:fldCharType="begin"/>
      </w:r>
      <w:r w:rsidR="0065721F" w:rsidRPr="00DF72E2">
        <w:instrText xml:space="preserve"> SEQ Figure_6. \* ARABIC </w:instrText>
      </w:r>
      <w:r w:rsidR="0065721F" w:rsidRPr="00DF72E2">
        <w:fldChar w:fldCharType="separate"/>
      </w:r>
      <w:r w:rsidR="00551ED9" w:rsidRPr="00DF72E2">
        <w:rPr>
          <w:noProof/>
        </w:rPr>
        <w:t>6</w:t>
      </w:r>
      <w:r w:rsidR="0065721F" w:rsidRPr="00DF72E2">
        <w:fldChar w:fldCharType="end"/>
      </w:r>
      <w:r w:rsidR="006F38AE" w:rsidRPr="00DF72E2">
        <w:rPr>
          <w:rFonts w:eastAsia="DengXian" w:cs="Times New Roman"/>
        </w:rPr>
        <w:t xml:space="preserve">. </w:t>
      </w:r>
      <w:r w:rsidR="006F38AE" w:rsidRPr="00345B5C">
        <w:rPr>
          <w:rFonts w:eastAsia="DengXian" w:cs="Times New Roman"/>
        </w:rPr>
        <w:t>GPC chromatogram (CDCl</w:t>
      </w:r>
      <w:r w:rsidR="006F38AE" w:rsidRPr="00345B5C">
        <w:rPr>
          <w:rFonts w:eastAsia="DengXian" w:cs="Times New Roman"/>
          <w:vertAlign w:val="subscript"/>
        </w:rPr>
        <w:t>3</w:t>
      </w:r>
      <w:r w:rsidR="006F38AE" w:rsidRPr="00345B5C">
        <w:rPr>
          <w:rFonts w:eastAsia="DengXian" w:cs="Times New Roman"/>
        </w:rPr>
        <w:t xml:space="preserve"> eluent, RI detector) of HBPE pre-polymer</w:t>
      </w:r>
      <w:r w:rsidR="0065721F">
        <w:rPr>
          <w:rFonts w:eastAsia="DengXian" w:cs="Times New Roman"/>
        </w:rPr>
        <w:t>.</w:t>
      </w:r>
      <w:bookmarkEnd w:id="231"/>
      <w:bookmarkEnd w:id="232"/>
      <w:bookmarkEnd w:id="233"/>
    </w:p>
    <w:p w14:paraId="6A5276ED" w14:textId="77777777" w:rsidR="006F38AE" w:rsidRPr="001A5452" w:rsidRDefault="006F38AE" w:rsidP="006F38AE">
      <w:pPr>
        <w:spacing w:after="0" w:line="480" w:lineRule="auto"/>
        <w:ind w:left="90" w:firstLine="288"/>
        <w:contextualSpacing/>
        <w:jc w:val="center"/>
        <w:rPr>
          <w:rFonts w:ascii="Times New Roman" w:eastAsia="DengXian" w:hAnsi="Times New Roman" w:cs="Times New Roman"/>
        </w:rPr>
      </w:pPr>
    </w:p>
    <w:p w14:paraId="78A95E40" w14:textId="25F49E22" w:rsidR="006F38AE" w:rsidRPr="001A5452" w:rsidRDefault="0014290F" w:rsidP="00A22DC4">
      <w:pPr>
        <w:pStyle w:val="Heading3"/>
      </w:pPr>
      <w:bookmarkStart w:id="234" w:name="_Toc518823352"/>
      <w:r>
        <w:t>6</w:t>
      </w:r>
      <w:r w:rsidR="00BD1DD2">
        <w:t>.</w:t>
      </w:r>
      <w:r w:rsidR="006F38AE" w:rsidRPr="001A5452">
        <w:t xml:space="preserve">3.1.3. Titration </w:t>
      </w:r>
      <w:r w:rsidR="00FA115E">
        <w:t>a</w:t>
      </w:r>
      <w:r w:rsidR="00FA115E" w:rsidRPr="001A5452">
        <w:t xml:space="preserve">nalysis </w:t>
      </w:r>
      <w:r w:rsidR="006F38AE" w:rsidRPr="001A5452">
        <w:t>of end–groups of HBPE pre-polymer</w:t>
      </w:r>
      <w:bookmarkEnd w:id="234"/>
    </w:p>
    <w:p w14:paraId="1491BCA2" w14:textId="7A79B837" w:rsidR="006F38AE" w:rsidRDefault="006F38AE" w:rsidP="006F38AE">
      <w:pPr>
        <w:spacing w:after="0" w:line="480" w:lineRule="auto"/>
        <w:jc w:val="both"/>
        <w:rPr>
          <w:rFonts w:ascii="Times New Roman" w:eastAsia="DengXian" w:hAnsi="Times New Roman" w:cs="Times New Roman"/>
          <w:sz w:val="24"/>
          <w:szCs w:val="24"/>
        </w:rPr>
      </w:pPr>
      <w:r w:rsidRPr="00345B5C">
        <w:rPr>
          <w:rFonts w:ascii="Times New Roman" w:eastAsia="DengXian" w:hAnsi="Times New Roman" w:cs="Times New Roman"/>
          <w:sz w:val="24"/>
          <w:szCs w:val="24"/>
        </w:rPr>
        <w:t xml:space="preserve">Theoretically, the </w:t>
      </w:r>
      <w:r w:rsidR="000F19FE">
        <w:rPr>
          <w:rFonts w:ascii="Times New Roman" w:eastAsia="DengXian" w:hAnsi="Times New Roman" w:cs="Times New Roman"/>
          <w:sz w:val="24"/>
          <w:szCs w:val="24"/>
        </w:rPr>
        <w:t xml:space="preserve">multiple </w:t>
      </w:r>
      <w:r w:rsidRPr="00345B5C">
        <w:rPr>
          <w:rFonts w:ascii="Times New Roman" w:eastAsia="DengXian" w:hAnsi="Times New Roman" w:cs="Times New Roman"/>
          <w:sz w:val="24"/>
          <w:szCs w:val="24"/>
        </w:rPr>
        <w:t xml:space="preserve">end groups, highly depended on the ratio of starting monomers and </w:t>
      </w:r>
      <w:r w:rsidR="00141D04">
        <w:rPr>
          <w:rFonts w:ascii="Times New Roman" w:eastAsia="DengXian" w:hAnsi="Times New Roman" w:cs="Times New Roman"/>
          <w:sz w:val="24"/>
          <w:szCs w:val="24"/>
        </w:rPr>
        <w:t xml:space="preserve">the </w:t>
      </w:r>
      <w:r w:rsidRPr="00345B5C">
        <w:rPr>
          <w:rFonts w:ascii="Times New Roman" w:eastAsia="DengXian" w:hAnsi="Times New Roman" w:cs="Times New Roman"/>
          <w:sz w:val="24"/>
          <w:szCs w:val="24"/>
        </w:rPr>
        <w:t>polymerization degree for A</w:t>
      </w:r>
      <w:r w:rsidRPr="00345B5C">
        <w:rPr>
          <w:rFonts w:ascii="Times New Roman" w:eastAsia="DengXian" w:hAnsi="Times New Roman" w:cs="Times New Roman"/>
          <w:sz w:val="24"/>
          <w:szCs w:val="24"/>
          <w:vertAlign w:val="subscript"/>
        </w:rPr>
        <w:t>2</w:t>
      </w:r>
      <w:r w:rsidRPr="00345B5C">
        <w:rPr>
          <w:rFonts w:ascii="Times New Roman" w:eastAsia="DengXian" w:hAnsi="Times New Roman" w:cs="Times New Roman"/>
          <w:sz w:val="24"/>
          <w:szCs w:val="24"/>
        </w:rPr>
        <w:t>B</w:t>
      </w:r>
      <w:r w:rsidRPr="00345B5C">
        <w:rPr>
          <w:rFonts w:ascii="Times New Roman" w:eastAsia="DengXian" w:hAnsi="Times New Roman" w:cs="Times New Roman"/>
          <w:sz w:val="24"/>
          <w:szCs w:val="24"/>
          <w:vertAlign w:val="subscript"/>
        </w:rPr>
        <w:t>3</w:t>
      </w:r>
      <w:r w:rsidRPr="00345B5C">
        <w:rPr>
          <w:rFonts w:ascii="Times New Roman" w:eastAsia="DengXian" w:hAnsi="Times New Roman" w:cs="Times New Roman"/>
          <w:sz w:val="24"/>
          <w:szCs w:val="24"/>
        </w:rPr>
        <w:t>-type</w:t>
      </w:r>
      <w:r w:rsidRPr="00345B5C">
        <w:rPr>
          <w:rFonts w:ascii="Times New Roman" w:eastAsia="DengXian" w:hAnsi="Times New Roman" w:cs="Times New Roman"/>
          <w:sz w:val="24"/>
          <w:szCs w:val="24"/>
          <w:vertAlign w:val="subscript"/>
        </w:rPr>
        <w:t xml:space="preserve"> </w:t>
      </w:r>
      <w:r w:rsidRPr="00345B5C">
        <w:rPr>
          <w:rFonts w:ascii="Times New Roman" w:eastAsia="DengXian" w:hAnsi="Times New Roman" w:cs="Times New Roman"/>
          <w:sz w:val="24"/>
          <w:szCs w:val="24"/>
        </w:rPr>
        <w:t xml:space="preserve">polymers, are expected to produce branched polymers. Therefore, it is important to study the </w:t>
      </w:r>
      <w:r w:rsidR="000F19FE">
        <w:rPr>
          <w:rFonts w:ascii="Times New Roman" w:eastAsia="DengXian" w:hAnsi="Times New Roman" w:cs="Times New Roman"/>
          <w:sz w:val="24"/>
          <w:szCs w:val="24"/>
        </w:rPr>
        <w:t xml:space="preserve">number of </w:t>
      </w:r>
      <w:r w:rsidRPr="00345B5C">
        <w:rPr>
          <w:rFonts w:ascii="Times New Roman" w:eastAsia="DengXian" w:hAnsi="Times New Roman" w:cs="Times New Roman"/>
          <w:sz w:val="24"/>
          <w:szCs w:val="24"/>
        </w:rPr>
        <w:t>end-groups on the HBPE pre-polymers. Titration is one effective end-group analysis method. Here, both hydroxyl value (OHV) and acid value (AV) were titrated by potassium hydroxide based on the standards ASTM E 1899–08, and ASTMD 4662 – 03, respectively.</w:t>
      </w:r>
      <w:r w:rsidRPr="001A5452">
        <w:rPr>
          <w:rFonts w:ascii="Times New Roman" w:eastAsia="DengXian" w:hAnsi="Times New Roman" w:cs="Times New Roman"/>
          <w:sz w:val="24"/>
          <w:szCs w:val="24"/>
        </w:rPr>
        <w:t xml:space="preserve"> </w:t>
      </w:r>
    </w:p>
    <w:p w14:paraId="6861B520" w14:textId="77777777" w:rsidR="00E546EF" w:rsidRPr="001A5452" w:rsidRDefault="00E546EF" w:rsidP="006F38AE">
      <w:pPr>
        <w:spacing w:after="0" w:line="480" w:lineRule="auto"/>
        <w:jc w:val="both"/>
        <w:rPr>
          <w:rFonts w:ascii="Times New Roman" w:eastAsia="DengXian" w:hAnsi="Times New Roman" w:cs="Times New Roman"/>
          <w:sz w:val="24"/>
          <w:szCs w:val="24"/>
        </w:rPr>
      </w:pPr>
    </w:p>
    <w:p w14:paraId="35FE3E3C" w14:textId="77777777" w:rsidR="006F38AE" w:rsidRPr="001A5452" w:rsidRDefault="006F38AE" w:rsidP="006F38AE">
      <w:pPr>
        <w:keepNext/>
        <w:keepLines/>
        <w:spacing w:after="0" w:line="480" w:lineRule="auto"/>
        <w:jc w:val="both"/>
        <w:outlineLvl w:val="3"/>
        <w:rPr>
          <w:rFonts w:ascii="Times New Roman" w:eastAsia="DengXian Light" w:hAnsi="Times New Roman" w:cs="Times New Roman"/>
          <w:i/>
          <w:iCs/>
          <w:sz w:val="24"/>
        </w:rPr>
      </w:pPr>
      <w:r w:rsidRPr="001A5452">
        <w:rPr>
          <w:rFonts w:ascii="Times New Roman" w:eastAsia="DengXian Light" w:hAnsi="Times New Roman" w:cs="Times New Roman"/>
          <w:i/>
          <w:iCs/>
          <w:sz w:val="24"/>
        </w:rPr>
        <w:t>Hydroxyl value (OHV)</w:t>
      </w:r>
    </w:p>
    <w:p w14:paraId="75A66427" w14:textId="0C8D2D26" w:rsidR="006F38AE" w:rsidRPr="001A5452" w:rsidRDefault="006F38AE" w:rsidP="006F38AE">
      <w:pPr>
        <w:spacing w:after="0" w:line="480" w:lineRule="auto"/>
        <w:jc w:val="both"/>
        <w:rPr>
          <w:rFonts w:ascii="Times New Roman" w:eastAsia="DengXian" w:hAnsi="Times New Roman" w:cs="Times New Roman"/>
          <w:sz w:val="24"/>
          <w:szCs w:val="24"/>
          <w:lang w:val="en-GB"/>
        </w:rPr>
      </w:pPr>
      <w:r w:rsidRPr="001A5452">
        <w:rPr>
          <w:rFonts w:ascii="Times New Roman" w:eastAsia="DengXian" w:hAnsi="Times New Roman" w:cs="Times New Roman"/>
          <w:sz w:val="24"/>
          <w:szCs w:val="24"/>
        </w:rPr>
        <w:t xml:space="preserve">The OHV corresponds to the amount of hydroxyl groups and was obtained from equation </w:t>
      </w:r>
      <w:r w:rsidRPr="001A5452">
        <w:rPr>
          <w:rFonts w:ascii="Times New Roman" w:eastAsia="DengXian" w:hAnsi="Times New Roman" w:cs="Times New Roman"/>
          <w:sz w:val="24"/>
          <w:szCs w:val="24"/>
          <w:lang w:val="en-GB"/>
        </w:rPr>
        <w:t>(</w:t>
      </w:r>
      <w:r w:rsidR="0014290F">
        <w:rPr>
          <w:rFonts w:ascii="Times New Roman" w:eastAsia="DengXian" w:hAnsi="Times New Roman" w:cs="Times New Roman"/>
          <w:sz w:val="24"/>
          <w:szCs w:val="24"/>
          <w:lang w:val="en-GB"/>
        </w:rPr>
        <w:t>6</w:t>
      </w:r>
      <w:r w:rsidR="00212FE7">
        <w:rPr>
          <w:rFonts w:ascii="Times New Roman" w:eastAsia="DengXian" w:hAnsi="Times New Roman" w:cs="Times New Roman"/>
          <w:sz w:val="24"/>
          <w:szCs w:val="24"/>
          <w:lang w:val="en-GB"/>
        </w:rPr>
        <w:t>.</w:t>
      </w:r>
      <w:r w:rsidRPr="001A5452">
        <w:rPr>
          <w:rFonts w:ascii="Times New Roman" w:eastAsia="DengXian" w:hAnsi="Times New Roman" w:cs="Times New Roman"/>
          <w:sz w:val="24"/>
          <w:szCs w:val="24"/>
          <w:lang w:val="en-GB"/>
        </w:rPr>
        <w:t>2) below:</w:t>
      </w:r>
    </w:p>
    <w:p w14:paraId="0B5D1CA4" w14:textId="2D494185" w:rsidR="006F38AE" w:rsidRPr="001A5452" w:rsidRDefault="006F38AE" w:rsidP="006F38AE">
      <w:pPr>
        <w:spacing w:after="0" w:line="480" w:lineRule="auto"/>
        <w:ind w:firstLine="270"/>
        <w:jc w:val="center"/>
        <w:rPr>
          <w:rFonts w:ascii="Times New Roman" w:eastAsia="DengXian" w:hAnsi="Times New Roman" w:cs="Times New Roman"/>
          <w:b/>
          <w:sz w:val="24"/>
          <w:szCs w:val="24"/>
        </w:rPr>
      </w:pPr>
      <m:oMath>
        <m:r>
          <m:rPr>
            <m:sty m:val="bi"/>
          </m:rPr>
          <w:rPr>
            <w:rFonts w:ascii="Cambria Math" w:eastAsia="DengXian" w:hAnsi="Cambria Math" w:cs="Times New Roman"/>
            <w:sz w:val="28"/>
            <w:szCs w:val="28"/>
          </w:rPr>
          <m:t xml:space="preserve">OHV </m:t>
        </m:r>
        <m:r>
          <m:rPr>
            <m:sty m:val="b"/>
          </m:rPr>
          <w:rPr>
            <w:rFonts w:ascii="Cambria Math" w:eastAsia="DengXian" w:hAnsi="Cambria Math" w:cs="Times New Roman"/>
            <w:sz w:val="28"/>
            <w:szCs w:val="28"/>
          </w:rPr>
          <m:t>=</m:t>
        </m:r>
        <m:f>
          <m:fPr>
            <m:ctrlPr>
              <w:rPr>
                <w:rFonts w:ascii="Cambria Math" w:eastAsia="DengXian" w:hAnsi="Cambria Math" w:cs="Times New Roman"/>
                <w:b/>
                <w:i/>
                <w:sz w:val="28"/>
                <w:szCs w:val="28"/>
              </w:rPr>
            </m:ctrlPr>
          </m:fPr>
          <m:num>
            <m:d>
              <m:dPr>
                <m:ctrlPr>
                  <w:rPr>
                    <w:rFonts w:ascii="Cambria Math" w:eastAsia="DengXian" w:hAnsi="Cambria Math" w:cs="Times New Roman"/>
                    <w:b/>
                    <w:i/>
                    <w:sz w:val="28"/>
                    <w:szCs w:val="28"/>
                  </w:rPr>
                </m:ctrlPr>
              </m:dPr>
              <m:e>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V</m:t>
                    </m:r>
                  </m:e>
                  <m:sub>
                    <m:r>
                      <m:rPr>
                        <m:sty m:val="bi"/>
                      </m:rPr>
                      <w:rPr>
                        <w:rFonts w:ascii="Cambria Math" w:eastAsia="DengXian" w:hAnsi="Cambria Math" w:cs="Times New Roman"/>
                        <w:sz w:val="28"/>
                        <w:szCs w:val="28"/>
                      </w:rPr>
                      <m:t>2</m:t>
                    </m:r>
                  </m:sub>
                </m:sSub>
                <m:r>
                  <m:rPr>
                    <m:sty m:val="bi"/>
                  </m:rPr>
                  <w:rPr>
                    <w:rFonts w:ascii="Cambria Math" w:eastAsia="DengXian" w:hAnsi="Cambria Math" w:cs="Times New Roman"/>
                    <w:sz w:val="28"/>
                    <w:szCs w:val="28"/>
                  </w:rPr>
                  <m:t>-</m:t>
                </m:r>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V</m:t>
                    </m:r>
                  </m:e>
                  <m:sub>
                    <m:r>
                      <m:rPr>
                        <m:sty m:val="bi"/>
                      </m:rPr>
                      <w:rPr>
                        <w:rFonts w:ascii="Cambria Math" w:eastAsia="DengXian" w:hAnsi="Cambria Math" w:cs="Times New Roman"/>
                        <w:sz w:val="28"/>
                        <w:szCs w:val="28"/>
                      </w:rPr>
                      <m:t>1</m:t>
                    </m:r>
                  </m:sub>
                </m:sSub>
              </m:e>
            </m:d>
            <m:r>
              <m:rPr>
                <m:sty m:val="bi"/>
              </m:rPr>
              <w:rPr>
                <w:rFonts w:ascii="Cambria Math" w:eastAsia="DengXian" w:hAnsi="Cambria Math" w:cs="Times New Roman"/>
                <w:sz w:val="28"/>
                <w:szCs w:val="28"/>
              </w:rPr>
              <m:t xml:space="preserve"> × N ×56.1</m:t>
            </m:r>
          </m:num>
          <m:den>
            <m:r>
              <m:rPr>
                <m:sty m:val="bi"/>
              </m:rPr>
              <w:rPr>
                <w:rFonts w:ascii="Cambria Math" w:eastAsia="DengXian" w:hAnsi="Cambria Math" w:cs="Times New Roman"/>
                <w:sz w:val="28"/>
                <w:szCs w:val="28"/>
              </w:rPr>
              <m:t>W</m:t>
            </m:r>
          </m:den>
        </m:f>
      </m:oMath>
      <w:r w:rsidRPr="001A5452">
        <w:rPr>
          <w:rFonts w:ascii="Times New Roman" w:eastAsia="DengXian" w:hAnsi="Times New Roman" w:cs="Times New Roman"/>
          <w:b/>
          <w:sz w:val="24"/>
          <w:szCs w:val="24"/>
        </w:rPr>
        <w:t xml:space="preserve">                (</w:t>
      </w:r>
      <w:r w:rsidR="0014290F">
        <w:rPr>
          <w:rFonts w:ascii="Times New Roman" w:eastAsia="DengXian" w:hAnsi="Times New Roman" w:cs="Times New Roman"/>
          <w:b/>
          <w:sz w:val="24"/>
          <w:szCs w:val="24"/>
        </w:rPr>
        <w:t>6</w:t>
      </w:r>
      <w:r w:rsidR="00212FE7">
        <w:rPr>
          <w:rFonts w:ascii="Times New Roman" w:eastAsia="DengXian" w:hAnsi="Times New Roman" w:cs="Times New Roman"/>
          <w:b/>
          <w:sz w:val="24"/>
          <w:szCs w:val="24"/>
        </w:rPr>
        <w:t>.</w:t>
      </w:r>
      <w:r w:rsidRPr="001A5452">
        <w:rPr>
          <w:rFonts w:ascii="Times New Roman" w:eastAsia="DengXian" w:hAnsi="Times New Roman" w:cs="Times New Roman"/>
          <w:b/>
          <w:sz w:val="24"/>
          <w:szCs w:val="24"/>
        </w:rPr>
        <w:t>2)</w:t>
      </w:r>
    </w:p>
    <w:p w14:paraId="0E20656C" w14:textId="77777777" w:rsidR="006F38AE" w:rsidRPr="001A5452" w:rsidRDefault="006F38AE" w:rsidP="006F38AE">
      <w:pPr>
        <w:spacing w:after="0" w:line="480" w:lineRule="auto"/>
        <w:rPr>
          <w:rFonts w:ascii="Times New Roman" w:eastAsia="DengXian" w:hAnsi="Times New Roman" w:cs="Times New Roman"/>
          <w:sz w:val="24"/>
          <w:szCs w:val="24"/>
        </w:rPr>
      </w:pPr>
      <w:r w:rsidRPr="001A5452">
        <w:rPr>
          <w:rFonts w:ascii="Times New Roman" w:eastAsia="DengXian" w:hAnsi="Times New Roman" w:cs="Times New Roman"/>
          <w:sz w:val="24"/>
          <w:szCs w:val="24"/>
        </w:rPr>
        <w:t>where</w:t>
      </w:r>
    </w:p>
    <w:p w14:paraId="0BDF894C" w14:textId="77777777" w:rsidR="006F38AE" w:rsidRPr="001A5452" w:rsidRDefault="006F38AE" w:rsidP="006F38AE">
      <w:pPr>
        <w:spacing w:after="0" w:line="480" w:lineRule="auto"/>
        <w:ind w:firstLine="274"/>
        <w:rPr>
          <w:rFonts w:ascii="Times New Roman" w:eastAsia="DengXian" w:hAnsi="Times New Roman" w:cs="Times New Roman"/>
          <w:sz w:val="24"/>
          <w:szCs w:val="24"/>
        </w:rPr>
      </w:pPr>
      <w:r w:rsidRPr="001A5452">
        <w:rPr>
          <w:rFonts w:ascii="Times New Roman" w:eastAsia="DengXian" w:hAnsi="Times New Roman" w:cs="Times New Roman"/>
          <w:sz w:val="24"/>
          <w:szCs w:val="24"/>
        </w:rPr>
        <w:t>V</w:t>
      </w:r>
      <w:r w:rsidRPr="001A5452">
        <w:rPr>
          <w:rFonts w:ascii="Times New Roman" w:eastAsia="DengXian" w:hAnsi="Times New Roman" w:cs="Times New Roman"/>
          <w:sz w:val="24"/>
          <w:szCs w:val="24"/>
          <w:vertAlign w:val="subscript"/>
        </w:rPr>
        <w:t>1</w:t>
      </w:r>
      <w:r w:rsidRPr="001A5452">
        <w:rPr>
          <w:rFonts w:ascii="Times New Roman" w:eastAsia="DengXian" w:hAnsi="Times New Roman" w:cs="Times New Roman"/>
          <w:sz w:val="24"/>
          <w:szCs w:val="24"/>
        </w:rPr>
        <w:t>: The volume of titrant (Bu</w:t>
      </w:r>
      <w:r w:rsidRPr="001A5452">
        <w:rPr>
          <w:rFonts w:ascii="Times New Roman" w:eastAsia="DengXian" w:hAnsi="Times New Roman" w:cs="Times New Roman"/>
          <w:sz w:val="24"/>
          <w:szCs w:val="24"/>
          <w:vertAlign w:val="subscript"/>
        </w:rPr>
        <w:t>4</w:t>
      </w:r>
      <w:r w:rsidRPr="001A5452">
        <w:rPr>
          <w:rFonts w:ascii="Times New Roman" w:eastAsia="DengXian" w:hAnsi="Times New Roman" w:cs="Times New Roman"/>
          <w:sz w:val="24"/>
          <w:szCs w:val="24"/>
        </w:rPr>
        <w:t xml:space="preserve">OH) at the first step </w:t>
      </w:r>
    </w:p>
    <w:p w14:paraId="19A2F0C5" w14:textId="77777777" w:rsidR="006F38AE" w:rsidRPr="001A5452" w:rsidRDefault="006F38AE" w:rsidP="006F38AE">
      <w:pPr>
        <w:spacing w:after="0" w:line="480" w:lineRule="auto"/>
        <w:ind w:left="360" w:hanging="90"/>
        <w:rPr>
          <w:rFonts w:ascii="Times New Roman" w:eastAsia="DengXian" w:hAnsi="Times New Roman" w:cs="Times New Roman"/>
          <w:sz w:val="24"/>
          <w:szCs w:val="24"/>
        </w:rPr>
      </w:pPr>
      <w:r w:rsidRPr="001A5452">
        <w:rPr>
          <w:rFonts w:ascii="Times New Roman" w:eastAsia="DengXian" w:hAnsi="Times New Roman" w:cs="Times New Roman"/>
          <w:sz w:val="24"/>
          <w:szCs w:val="24"/>
        </w:rPr>
        <w:t>V</w:t>
      </w:r>
      <w:r w:rsidRPr="001A5452">
        <w:rPr>
          <w:rFonts w:ascii="Times New Roman" w:eastAsia="DengXian" w:hAnsi="Times New Roman" w:cs="Times New Roman"/>
          <w:sz w:val="24"/>
          <w:szCs w:val="24"/>
          <w:vertAlign w:val="subscript"/>
        </w:rPr>
        <w:t>2</w:t>
      </w:r>
      <w:r w:rsidRPr="001A5452">
        <w:rPr>
          <w:rFonts w:ascii="Times New Roman" w:eastAsia="DengXian" w:hAnsi="Times New Roman" w:cs="Times New Roman"/>
          <w:sz w:val="24"/>
          <w:szCs w:val="24"/>
        </w:rPr>
        <w:t>: The volume of titrant (Bu</w:t>
      </w:r>
      <w:r w:rsidRPr="001A5452">
        <w:rPr>
          <w:rFonts w:ascii="Times New Roman" w:eastAsia="DengXian" w:hAnsi="Times New Roman" w:cs="Times New Roman"/>
          <w:sz w:val="24"/>
          <w:szCs w:val="24"/>
          <w:vertAlign w:val="subscript"/>
        </w:rPr>
        <w:t>4</w:t>
      </w:r>
      <w:r w:rsidRPr="001A5452">
        <w:rPr>
          <w:rFonts w:ascii="Times New Roman" w:eastAsia="DengXian" w:hAnsi="Times New Roman" w:cs="Times New Roman"/>
          <w:sz w:val="24"/>
          <w:szCs w:val="24"/>
        </w:rPr>
        <w:t xml:space="preserve">OH) at the second step </w:t>
      </w:r>
    </w:p>
    <w:p w14:paraId="1AFB65F9" w14:textId="0F6A3155" w:rsidR="006F38AE" w:rsidRPr="001A5452" w:rsidRDefault="006F38AE" w:rsidP="006F38AE">
      <w:pPr>
        <w:spacing w:after="0" w:line="480" w:lineRule="auto"/>
        <w:ind w:firstLine="274"/>
        <w:rPr>
          <w:rFonts w:ascii="Times New Roman" w:eastAsia="DengXian" w:hAnsi="Times New Roman" w:cs="Times New Roman"/>
          <w:sz w:val="24"/>
          <w:szCs w:val="24"/>
        </w:rPr>
      </w:pPr>
      <w:r w:rsidRPr="001A5452">
        <w:rPr>
          <w:rFonts w:ascii="Times New Roman" w:eastAsia="DengXian" w:hAnsi="Times New Roman" w:cs="Times New Roman"/>
          <w:sz w:val="24"/>
          <w:szCs w:val="24"/>
        </w:rPr>
        <w:t>N: Concentration of Bu</w:t>
      </w:r>
      <w:r w:rsidRPr="001A5452">
        <w:rPr>
          <w:rFonts w:ascii="Times New Roman" w:eastAsia="DengXian" w:hAnsi="Times New Roman" w:cs="Times New Roman"/>
          <w:sz w:val="24"/>
          <w:szCs w:val="24"/>
          <w:vertAlign w:val="subscript"/>
        </w:rPr>
        <w:t>4</w:t>
      </w:r>
      <w:r w:rsidRPr="001A5452">
        <w:rPr>
          <w:rFonts w:ascii="Times New Roman" w:eastAsia="DengXian" w:hAnsi="Times New Roman" w:cs="Times New Roman"/>
          <w:sz w:val="24"/>
          <w:szCs w:val="24"/>
        </w:rPr>
        <w:t>OH solution, mol 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which is 0.1017 mol L</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from equation (</w:t>
      </w:r>
      <w:r w:rsidR="0014290F">
        <w:rPr>
          <w:rFonts w:ascii="Times New Roman" w:eastAsia="DengXian" w:hAnsi="Times New Roman" w:cs="Times New Roman"/>
          <w:sz w:val="24"/>
          <w:szCs w:val="24"/>
        </w:rPr>
        <w:t>6.</w:t>
      </w:r>
      <w:r w:rsidRPr="001A5452">
        <w:rPr>
          <w:rFonts w:ascii="Times New Roman" w:eastAsia="DengXian" w:hAnsi="Times New Roman" w:cs="Times New Roman"/>
          <w:sz w:val="24"/>
          <w:szCs w:val="24"/>
        </w:rPr>
        <w:t>1)</w:t>
      </w:r>
      <w:r w:rsidRPr="001A5452">
        <w:rPr>
          <w:rFonts w:ascii="Times New Roman" w:eastAsia="DengXian" w:hAnsi="Times New Roman" w:cs="Times New Roman"/>
          <w:sz w:val="24"/>
          <w:szCs w:val="24"/>
          <w:vertAlign w:val="superscript"/>
        </w:rPr>
        <w:t xml:space="preserve"> </w:t>
      </w:r>
    </w:p>
    <w:p w14:paraId="3983C1F9" w14:textId="77777777" w:rsidR="006F38AE" w:rsidRPr="001A5452" w:rsidRDefault="006F38AE" w:rsidP="006F38AE">
      <w:pPr>
        <w:spacing w:after="0" w:line="480" w:lineRule="auto"/>
        <w:ind w:firstLine="274"/>
        <w:rPr>
          <w:rFonts w:ascii="Times New Roman" w:eastAsia="DengXian" w:hAnsi="Times New Roman" w:cs="Times New Roman"/>
          <w:sz w:val="24"/>
          <w:szCs w:val="24"/>
        </w:rPr>
      </w:pPr>
      <w:r w:rsidRPr="001A5452">
        <w:rPr>
          <w:rFonts w:ascii="Times New Roman" w:eastAsia="DengXian" w:hAnsi="Times New Roman" w:cs="Times New Roman"/>
          <w:sz w:val="24"/>
          <w:szCs w:val="24"/>
        </w:rPr>
        <w:t>56.1: Molecular mass of KOH, mol g</w:t>
      </w:r>
      <w:r w:rsidRPr="001A5452">
        <w:rPr>
          <w:rFonts w:ascii="Times New Roman" w:eastAsia="DengXian" w:hAnsi="Times New Roman" w:cs="Times New Roman"/>
          <w:sz w:val="24"/>
          <w:szCs w:val="24"/>
          <w:vertAlign w:val="superscript"/>
        </w:rPr>
        <w:t>-1</w:t>
      </w:r>
    </w:p>
    <w:p w14:paraId="0EB52FFF" w14:textId="77777777" w:rsidR="006F38AE" w:rsidRPr="001A5452" w:rsidRDefault="006F38AE" w:rsidP="006F38AE">
      <w:pPr>
        <w:spacing w:after="0" w:line="480" w:lineRule="auto"/>
        <w:ind w:firstLine="274"/>
        <w:rPr>
          <w:rFonts w:ascii="Times New Roman" w:eastAsia="DengXian" w:hAnsi="Times New Roman" w:cs="Times New Roman"/>
        </w:rPr>
      </w:pPr>
      <w:r w:rsidRPr="001A5452">
        <w:rPr>
          <w:rFonts w:ascii="Times New Roman" w:eastAsia="DengXian" w:hAnsi="Times New Roman" w:cs="Times New Roman"/>
          <w:sz w:val="24"/>
          <w:szCs w:val="24"/>
        </w:rPr>
        <w:t>W: Sample used, g</w:t>
      </w:r>
    </w:p>
    <w:p w14:paraId="57FF0880" w14:textId="6A15AD5D" w:rsidR="006F38AE" w:rsidRDefault="006F38AE" w:rsidP="006F38AE">
      <w:pPr>
        <w:spacing w:after="0" w:line="480" w:lineRule="auto"/>
        <w:ind w:firstLine="360"/>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The titration curve of pH against volume of titrant (Bu</w:t>
      </w:r>
      <w:r w:rsidRPr="001A5452">
        <w:rPr>
          <w:rFonts w:ascii="Times New Roman" w:eastAsia="DengXian" w:hAnsi="Times New Roman" w:cs="Times New Roman"/>
          <w:sz w:val="24"/>
          <w:szCs w:val="24"/>
          <w:vertAlign w:val="subscript"/>
        </w:rPr>
        <w:t>4</w:t>
      </w:r>
      <w:r w:rsidRPr="001A5452">
        <w:rPr>
          <w:rFonts w:ascii="Times New Roman" w:eastAsia="DengXian" w:hAnsi="Times New Roman" w:cs="Times New Roman"/>
          <w:sz w:val="24"/>
          <w:szCs w:val="24"/>
        </w:rPr>
        <w:t xml:space="preserve">OH) was shown in Figure </w:t>
      </w:r>
      <w:r w:rsidR="0014290F">
        <w:rPr>
          <w:rFonts w:ascii="Times New Roman" w:eastAsia="DengXian" w:hAnsi="Times New Roman" w:cs="Times New Roman"/>
          <w:sz w:val="24"/>
          <w:szCs w:val="24"/>
        </w:rPr>
        <w:t>6</w:t>
      </w:r>
      <w:r w:rsidR="005128D5">
        <w:rPr>
          <w:rFonts w:ascii="Times New Roman" w:eastAsia="DengXian" w:hAnsi="Times New Roman" w:cs="Times New Roman"/>
          <w:sz w:val="24"/>
          <w:szCs w:val="24"/>
        </w:rPr>
        <w:t>.7</w:t>
      </w:r>
      <w:r w:rsidRPr="001A5452">
        <w:rPr>
          <w:rFonts w:ascii="Times New Roman" w:eastAsia="DengXian" w:hAnsi="Times New Roman" w:cs="Times New Roman"/>
          <w:sz w:val="24"/>
          <w:szCs w:val="24"/>
        </w:rPr>
        <w:t>. The first consumption volume of Bu</w:t>
      </w:r>
      <w:r w:rsidRPr="001A5452">
        <w:rPr>
          <w:rFonts w:ascii="Times New Roman" w:eastAsia="DengXian" w:hAnsi="Times New Roman" w:cs="Times New Roman"/>
          <w:sz w:val="24"/>
          <w:szCs w:val="24"/>
          <w:vertAlign w:val="subscript"/>
        </w:rPr>
        <w:t>4</w:t>
      </w:r>
      <w:r w:rsidRPr="001A5452">
        <w:rPr>
          <w:rFonts w:ascii="Times New Roman" w:eastAsia="DengXian" w:hAnsi="Times New Roman" w:cs="Times New Roman"/>
          <w:sz w:val="24"/>
          <w:szCs w:val="24"/>
        </w:rPr>
        <w:t>OH (V</w:t>
      </w:r>
      <w:r w:rsidRPr="009A1ACE">
        <w:rPr>
          <w:rFonts w:ascii="Times New Roman" w:eastAsia="DengXian" w:hAnsi="Times New Roman" w:cs="Times New Roman"/>
          <w:sz w:val="24"/>
          <w:szCs w:val="24"/>
          <w:vertAlign w:val="subscript"/>
        </w:rPr>
        <w:t>1</w:t>
      </w:r>
      <w:r w:rsidRPr="001A5452">
        <w:rPr>
          <w:rFonts w:ascii="Times New Roman" w:eastAsia="DengXian" w:hAnsi="Times New Roman" w:cs="Times New Roman"/>
          <w:sz w:val="24"/>
          <w:szCs w:val="24"/>
        </w:rPr>
        <w:t>) was calculated as 0.2 ml from the first step around pH 3-5 which is related to the age of reagent (TSI). The second consumption volume of Bu</w:t>
      </w:r>
      <w:r w:rsidRPr="001A5452">
        <w:rPr>
          <w:rFonts w:ascii="Times New Roman" w:eastAsia="DengXian" w:hAnsi="Times New Roman" w:cs="Times New Roman"/>
          <w:sz w:val="24"/>
          <w:szCs w:val="24"/>
          <w:vertAlign w:val="subscript"/>
        </w:rPr>
        <w:t>4</w:t>
      </w:r>
      <w:r w:rsidRPr="001A5452">
        <w:rPr>
          <w:rFonts w:ascii="Times New Roman" w:eastAsia="DengXian" w:hAnsi="Times New Roman" w:cs="Times New Roman"/>
          <w:sz w:val="24"/>
          <w:szCs w:val="24"/>
        </w:rPr>
        <w:t>OH (V</w:t>
      </w:r>
      <w:r w:rsidRPr="001A5452">
        <w:rPr>
          <w:rFonts w:ascii="Times New Roman" w:eastAsia="DengXian" w:hAnsi="Times New Roman" w:cs="Times New Roman"/>
          <w:sz w:val="24"/>
          <w:szCs w:val="24"/>
          <w:vertAlign w:val="subscript"/>
        </w:rPr>
        <w:t>2</w:t>
      </w:r>
      <w:r w:rsidRPr="001A5452">
        <w:rPr>
          <w:rFonts w:ascii="Times New Roman" w:eastAsia="DengXian" w:hAnsi="Times New Roman" w:cs="Times New Roman"/>
          <w:sz w:val="24"/>
          <w:szCs w:val="24"/>
        </w:rPr>
        <w:t>) was calculated as 1.7 ml from the second step around pH 6-8 which is related to the reaction of sample and Bu4OH, and the difference of two consumption volumes are proportional to the titration of the acidic carbamate formed from the hydroxyl compound and the TSI reagent. The hydroxyl number of HBPE pre-polymer obtained from this method is 8.57 mg KOH g</w:t>
      </w:r>
      <w:r w:rsidR="00F50AC6" w:rsidRPr="00F50AC6">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w:t>
      </w:r>
    </w:p>
    <w:p w14:paraId="34DAB13B" w14:textId="6BF7324A" w:rsidR="0014290F" w:rsidRDefault="0014290F" w:rsidP="006F38AE">
      <w:pPr>
        <w:spacing w:after="0" w:line="480" w:lineRule="auto"/>
        <w:ind w:firstLine="360"/>
        <w:jc w:val="both"/>
        <w:rPr>
          <w:rFonts w:ascii="Times New Roman" w:eastAsia="DengXian" w:hAnsi="Times New Roman" w:cs="Times New Roman"/>
          <w:sz w:val="24"/>
          <w:szCs w:val="24"/>
        </w:rPr>
      </w:pPr>
    </w:p>
    <w:p w14:paraId="05512FB5" w14:textId="77777777" w:rsidR="0014290F" w:rsidRPr="001A5452" w:rsidRDefault="0014290F" w:rsidP="006F38AE">
      <w:pPr>
        <w:spacing w:after="0" w:line="480" w:lineRule="auto"/>
        <w:ind w:firstLine="360"/>
        <w:jc w:val="both"/>
        <w:rPr>
          <w:rFonts w:ascii="Times New Roman" w:eastAsia="DengXian" w:hAnsi="Times New Roman" w:cs="Times New Roman"/>
          <w:sz w:val="24"/>
          <w:szCs w:val="24"/>
        </w:rPr>
      </w:pPr>
    </w:p>
    <w:p w14:paraId="6DF5FF8C" w14:textId="77777777" w:rsidR="006F38AE" w:rsidRPr="001A5452" w:rsidRDefault="006F38AE" w:rsidP="006F38AE">
      <w:pPr>
        <w:spacing w:after="0" w:line="480" w:lineRule="auto"/>
        <w:ind w:firstLine="270"/>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2A332B11" wp14:editId="5059F1DB">
            <wp:extent cx="5029200" cy="3514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9471" cy="3521876"/>
                    </a:xfrm>
                    <a:prstGeom prst="rect">
                      <a:avLst/>
                    </a:prstGeom>
                    <a:noFill/>
                  </pic:spPr>
                </pic:pic>
              </a:graphicData>
            </a:graphic>
          </wp:inline>
        </w:drawing>
      </w:r>
    </w:p>
    <w:p w14:paraId="11599107" w14:textId="04D994F8" w:rsidR="006F38AE" w:rsidRPr="001A5452" w:rsidRDefault="00212FE7" w:rsidP="0014290F">
      <w:pPr>
        <w:pStyle w:val="Caption"/>
        <w:ind w:firstLine="0"/>
        <w:jc w:val="both"/>
        <w:rPr>
          <w:rFonts w:eastAsia="DengXian" w:cs="Times New Roman"/>
          <w:szCs w:val="24"/>
        </w:rPr>
      </w:pPr>
      <w:bookmarkStart w:id="235" w:name="_Toc502662560"/>
      <w:bookmarkStart w:id="236" w:name="_Toc502662672"/>
      <w:bookmarkStart w:id="237" w:name="_Toc518823423"/>
      <w:r w:rsidRPr="00212FE7">
        <w:t xml:space="preserve">Figure </w:t>
      </w:r>
      <w:r w:rsidR="0014290F">
        <w:t>6</w:t>
      </w:r>
      <w:r w:rsidRPr="00212FE7">
        <w:t>.</w:t>
      </w:r>
      <w:r w:rsidR="0065721F" w:rsidRPr="00212FE7">
        <w:fldChar w:fldCharType="begin"/>
      </w:r>
      <w:r w:rsidR="0065721F" w:rsidRPr="00212FE7">
        <w:instrText xml:space="preserve"> SEQ Figure_6. \* ARABIC </w:instrText>
      </w:r>
      <w:r w:rsidR="0065721F" w:rsidRPr="00212FE7">
        <w:fldChar w:fldCharType="separate"/>
      </w:r>
      <w:r w:rsidR="00551ED9" w:rsidRPr="00212FE7">
        <w:rPr>
          <w:noProof/>
        </w:rPr>
        <w:t>7</w:t>
      </w:r>
      <w:r w:rsidR="0065721F" w:rsidRPr="00212FE7">
        <w:fldChar w:fldCharType="end"/>
      </w:r>
      <w:r w:rsidR="006F38AE" w:rsidRPr="00212FE7">
        <w:rPr>
          <w:rFonts w:eastAsia="DengXian" w:cs="Times New Roman"/>
          <w:szCs w:val="24"/>
        </w:rPr>
        <w:t>.</w:t>
      </w:r>
      <w:r w:rsidR="006F38AE" w:rsidRPr="001A5452">
        <w:rPr>
          <w:rFonts w:eastAsia="DengXian" w:cs="Times New Roman"/>
          <w:szCs w:val="24"/>
        </w:rPr>
        <w:t xml:space="preserve"> Potentiometric titration curve for determination of hydroxyl number with TSI reagent.</w:t>
      </w:r>
      <w:bookmarkEnd w:id="235"/>
      <w:bookmarkEnd w:id="236"/>
      <w:bookmarkEnd w:id="237"/>
    </w:p>
    <w:p w14:paraId="341D7410" w14:textId="77777777" w:rsidR="006F38AE" w:rsidRPr="001A5452" w:rsidRDefault="006F38AE" w:rsidP="006F38AE">
      <w:pPr>
        <w:spacing w:after="0" w:line="480" w:lineRule="auto"/>
        <w:jc w:val="both"/>
        <w:rPr>
          <w:rFonts w:ascii="Times New Roman" w:eastAsia="DengXian" w:hAnsi="Times New Roman" w:cs="Times New Roman"/>
          <w:sz w:val="24"/>
          <w:szCs w:val="24"/>
        </w:rPr>
      </w:pPr>
    </w:p>
    <w:p w14:paraId="68FA5E54" w14:textId="77777777" w:rsidR="006F38AE" w:rsidRPr="001A5452" w:rsidRDefault="006F38AE" w:rsidP="006F38AE">
      <w:pPr>
        <w:keepNext/>
        <w:keepLines/>
        <w:spacing w:after="0" w:line="480" w:lineRule="auto"/>
        <w:jc w:val="both"/>
        <w:outlineLvl w:val="3"/>
        <w:rPr>
          <w:rFonts w:ascii="Times New Roman" w:eastAsia="DengXian Light" w:hAnsi="Times New Roman" w:cs="Times New Roman"/>
          <w:i/>
          <w:iCs/>
          <w:sz w:val="24"/>
        </w:rPr>
      </w:pPr>
      <w:r w:rsidRPr="001A5452">
        <w:rPr>
          <w:rFonts w:ascii="Times New Roman" w:eastAsia="DengXian Light" w:hAnsi="Times New Roman" w:cs="Times New Roman"/>
          <w:i/>
          <w:iCs/>
          <w:sz w:val="24"/>
        </w:rPr>
        <w:t>Acid value (AV)</w:t>
      </w:r>
    </w:p>
    <w:p w14:paraId="6801B885" w14:textId="7620441F" w:rsidR="006F38AE"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Acid volume (AV) corresponds to the amount of carboxylic acid groups, and is given in mg KOH per gram sample. AV was calculated by equation (</w:t>
      </w:r>
      <w:r w:rsidR="002C5D79">
        <w:rPr>
          <w:rFonts w:ascii="Times New Roman" w:eastAsia="DengXian" w:hAnsi="Times New Roman" w:cs="Times New Roman"/>
          <w:sz w:val="24"/>
          <w:szCs w:val="24"/>
        </w:rPr>
        <w:t>6</w:t>
      </w:r>
      <w:r w:rsidR="00212FE7">
        <w:rPr>
          <w:rFonts w:ascii="Times New Roman" w:eastAsia="DengXian" w:hAnsi="Times New Roman" w:cs="Times New Roman"/>
          <w:sz w:val="24"/>
          <w:szCs w:val="24"/>
        </w:rPr>
        <w:t>.</w:t>
      </w:r>
      <w:r w:rsidRPr="001A5452">
        <w:rPr>
          <w:rFonts w:ascii="Times New Roman" w:eastAsia="DengXian" w:hAnsi="Times New Roman" w:cs="Times New Roman"/>
          <w:sz w:val="24"/>
          <w:szCs w:val="24"/>
        </w:rPr>
        <w:t xml:space="preserve">3), and the results are summarized in Table </w:t>
      </w:r>
      <w:r w:rsidR="002C5D79">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Pr="001A5452">
        <w:rPr>
          <w:rFonts w:ascii="Times New Roman" w:eastAsia="DengXian" w:hAnsi="Times New Roman" w:cs="Times New Roman"/>
          <w:sz w:val="24"/>
          <w:szCs w:val="24"/>
        </w:rPr>
        <w:t xml:space="preserve">1. </w:t>
      </w:r>
    </w:p>
    <w:p w14:paraId="3F6FF5EC" w14:textId="77777777" w:rsidR="009A1ACE" w:rsidRPr="001A5452" w:rsidRDefault="009A1ACE" w:rsidP="006F38AE">
      <w:pPr>
        <w:spacing w:after="0" w:line="480" w:lineRule="auto"/>
        <w:jc w:val="both"/>
        <w:rPr>
          <w:rFonts w:ascii="Times New Roman" w:eastAsia="DengXian" w:hAnsi="Times New Roman" w:cs="Times New Roman"/>
          <w:sz w:val="24"/>
          <w:szCs w:val="24"/>
        </w:rPr>
      </w:pPr>
    </w:p>
    <w:p w14:paraId="2510B7C3" w14:textId="11898A9D" w:rsidR="006F38AE" w:rsidRPr="001A5452" w:rsidRDefault="006F38AE" w:rsidP="006F38AE">
      <w:pPr>
        <w:spacing w:after="0" w:line="480" w:lineRule="auto"/>
        <w:ind w:firstLine="270"/>
        <w:jc w:val="center"/>
        <w:rPr>
          <w:rFonts w:ascii="Times New Roman" w:eastAsia="DengXian" w:hAnsi="Times New Roman" w:cs="Times New Roman"/>
          <w:b/>
          <w:sz w:val="24"/>
          <w:szCs w:val="24"/>
        </w:rPr>
      </w:pPr>
      <m:oMath>
        <m:r>
          <m:rPr>
            <m:sty m:val="bi"/>
          </m:rPr>
          <w:rPr>
            <w:rFonts w:ascii="Cambria Math" w:eastAsia="DengXian" w:hAnsi="Cambria Math" w:cs="Times New Roman"/>
            <w:sz w:val="28"/>
            <w:szCs w:val="28"/>
          </w:rPr>
          <m:t>AV=</m:t>
        </m:r>
        <m:f>
          <m:fPr>
            <m:ctrlPr>
              <w:rPr>
                <w:rFonts w:ascii="Cambria Math" w:eastAsia="DengXian" w:hAnsi="Cambria Math" w:cs="Times New Roman"/>
                <w:b/>
                <w:i/>
                <w:sz w:val="28"/>
                <w:szCs w:val="28"/>
              </w:rPr>
            </m:ctrlPr>
          </m:fPr>
          <m:num>
            <m:r>
              <m:rPr>
                <m:sty m:val="bi"/>
              </m:rPr>
              <w:rPr>
                <w:rFonts w:ascii="Cambria Math" w:eastAsia="DengXian" w:hAnsi="Cambria Math" w:cs="Times New Roman"/>
                <w:sz w:val="28"/>
                <w:szCs w:val="28"/>
              </w:rPr>
              <m:t>(A-B)N×56.1</m:t>
            </m:r>
          </m:num>
          <m:den>
            <m:r>
              <m:rPr>
                <m:sty m:val="bi"/>
              </m:rPr>
              <w:rPr>
                <w:rFonts w:ascii="Cambria Math" w:eastAsia="DengXian" w:hAnsi="Cambria Math" w:cs="Times New Roman"/>
                <w:sz w:val="28"/>
                <w:szCs w:val="28"/>
              </w:rPr>
              <m:t>W</m:t>
            </m:r>
          </m:den>
        </m:f>
      </m:oMath>
      <w:r w:rsidRPr="001A5452">
        <w:rPr>
          <w:rFonts w:ascii="Times New Roman" w:eastAsia="DengXian" w:hAnsi="Times New Roman" w:cs="Times New Roman"/>
          <w:b/>
          <w:sz w:val="24"/>
          <w:szCs w:val="24"/>
        </w:rPr>
        <w:t xml:space="preserve">            (</w:t>
      </w:r>
      <w:r w:rsidR="002C5D79">
        <w:rPr>
          <w:rFonts w:ascii="Times New Roman" w:eastAsia="DengXian" w:hAnsi="Times New Roman" w:cs="Times New Roman"/>
          <w:b/>
          <w:sz w:val="24"/>
          <w:szCs w:val="24"/>
        </w:rPr>
        <w:t>6</w:t>
      </w:r>
      <w:r w:rsidR="00212FE7">
        <w:rPr>
          <w:rFonts w:ascii="Times New Roman" w:eastAsia="DengXian" w:hAnsi="Times New Roman" w:cs="Times New Roman"/>
          <w:b/>
          <w:sz w:val="24"/>
          <w:szCs w:val="24"/>
        </w:rPr>
        <w:t>.</w:t>
      </w:r>
      <w:r w:rsidRPr="001A5452">
        <w:rPr>
          <w:rFonts w:ascii="Times New Roman" w:eastAsia="DengXian" w:hAnsi="Times New Roman" w:cs="Times New Roman"/>
          <w:b/>
          <w:sz w:val="24"/>
          <w:szCs w:val="24"/>
        </w:rPr>
        <w:t>3)</w:t>
      </w:r>
    </w:p>
    <w:p w14:paraId="0D666778" w14:textId="23FBAB32" w:rsidR="006F38AE" w:rsidRPr="001A5452" w:rsidRDefault="000F19FE" w:rsidP="006F38AE">
      <w:pPr>
        <w:spacing w:after="0" w:line="480" w:lineRule="auto"/>
        <w:ind w:firstLine="274"/>
        <w:rPr>
          <w:rFonts w:ascii="Times New Roman" w:eastAsia="DengXian" w:hAnsi="Times New Roman" w:cs="Times New Roman"/>
          <w:sz w:val="24"/>
          <w:szCs w:val="24"/>
        </w:rPr>
      </w:pPr>
      <w:r>
        <w:rPr>
          <w:rFonts w:ascii="Times New Roman" w:eastAsia="DengXian" w:hAnsi="Times New Roman" w:cs="Times New Roman"/>
          <w:sz w:val="24"/>
          <w:szCs w:val="24"/>
        </w:rPr>
        <w:t>w</w:t>
      </w:r>
      <w:r w:rsidRPr="001A5452">
        <w:rPr>
          <w:rFonts w:ascii="Times New Roman" w:eastAsia="DengXian" w:hAnsi="Times New Roman" w:cs="Times New Roman"/>
          <w:sz w:val="24"/>
          <w:szCs w:val="24"/>
        </w:rPr>
        <w:t>here</w:t>
      </w:r>
      <w:r>
        <w:rPr>
          <w:rFonts w:ascii="Times New Roman" w:eastAsia="DengXian" w:hAnsi="Times New Roman" w:cs="Times New Roman"/>
          <w:sz w:val="24"/>
          <w:szCs w:val="24"/>
        </w:rPr>
        <w:t>:</w:t>
      </w:r>
    </w:p>
    <w:p w14:paraId="2C9C1FD7" w14:textId="77777777" w:rsidR="006F38AE" w:rsidRPr="001A5452" w:rsidRDefault="006F38AE" w:rsidP="006F38AE">
      <w:pPr>
        <w:spacing w:after="0" w:line="480" w:lineRule="auto"/>
        <w:ind w:firstLine="274"/>
        <w:rPr>
          <w:rFonts w:ascii="Times New Roman" w:eastAsia="DengXian" w:hAnsi="Times New Roman" w:cs="Times New Roman"/>
          <w:sz w:val="24"/>
          <w:szCs w:val="24"/>
        </w:rPr>
      </w:pPr>
      <w:r w:rsidRPr="001A5452">
        <w:rPr>
          <w:rFonts w:ascii="Times New Roman" w:eastAsia="DengXian" w:hAnsi="Times New Roman" w:cs="Times New Roman"/>
          <w:sz w:val="24"/>
          <w:szCs w:val="24"/>
        </w:rPr>
        <w:t>A: KOH solution required for titration of the sample (HBPE), ml</w:t>
      </w:r>
    </w:p>
    <w:p w14:paraId="7C7E4C40" w14:textId="77777777" w:rsidR="006F38AE" w:rsidRPr="001A5452" w:rsidRDefault="006F38AE" w:rsidP="006F38AE">
      <w:pPr>
        <w:spacing w:after="0" w:line="480" w:lineRule="auto"/>
        <w:ind w:firstLine="274"/>
        <w:rPr>
          <w:rFonts w:ascii="Times New Roman" w:eastAsia="DengXian" w:hAnsi="Times New Roman" w:cs="Times New Roman"/>
          <w:sz w:val="24"/>
          <w:szCs w:val="24"/>
        </w:rPr>
      </w:pPr>
      <w:r w:rsidRPr="001A5452">
        <w:rPr>
          <w:rFonts w:ascii="Times New Roman" w:eastAsia="DengXian" w:hAnsi="Times New Roman" w:cs="Times New Roman"/>
          <w:sz w:val="24"/>
          <w:szCs w:val="24"/>
        </w:rPr>
        <w:t>B: KOH solution required for titration of the blank (solvents without sample), ml</w:t>
      </w:r>
    </w:p>
    <w:p w14:paraId="14402897" w14:textId="77777777" w:rsidR="006F38AE" w:rsidRPr="001A5452" w:rsidRDefault="006F38AE" w:rsidP="006F38AE">
      <w:pPr>
        <w:spacing w:after="0" w:line="480" w:lineRule="auto"/>
        <w:ind w:firstLine="274"/>
        <w:rPr>
          <w:rFonts w:ascii="Times New Roman" w:eastAsia="DengXian" w:hAnsi="Times New Roman" w:cs="Times New Roman"/>
          <w:sz w:val="24"/>
          <w:szCs w:val="24"/>
        </w:rPr>
      </w:pPr>
      <w:r w:rsidRPr="001A5452">
        <w:rPr>
          <w:rFonts w:ascii="Times New Roman" w:eastAsia="DengXian" w:hAnsi="Times New Roman" w:cs="Times New Roman"/>
          <w:sz w:val="24"/>
          <w:szCs w:val="24"/>
        </w:rPr>
        <w:t>56.1: Molecular mass of KOH, mol g</w:t>
      </w:r>
      <w:r w:rsidRPr="001A5452">
        <w:rPr>
          <w:rFonts w:ascii="Times New Roman" w:eastAsia="DengXian" w:hAnsi="Times New Roman" w:cs="Times New Roman"/>
          <w:sz w:val="24"/>
          <w:szCs w:val="24"/>
          <w:vertAlign w:val="superscript"/>
        </w:rPr>
        <w:t>-1</w:t>
      </w:r>
    </w:p>
    <w:p w14:paraId="7C61EDB6" w14:textId="77D32453" w:rsidR="006F38AE" w:rsidRPr="001A5452" w:rsidRDefault="006F38AE" w:rsidP="006F38AE">
      <w:pPr>
        <w:spacing w:after="0" w:line="480" w:lineRule="auto"/>
        <w:ind w:firstLine="274"/>
        <w:rPr>
          <w:rFonts w:ascii="Times New Roman" w:eastAsia="DengXian" w:hAnsi="Times New Roman" w:cs="Times New Roman"/>
          <w:sz w:val="24"/>
          <w:szCs w:val="24"/>
        </w:rPr>
      </w:pPr>
      <w:r w:rsidRPr="001A5452">
        <w:rPr>
          <w:rFonts w:ascii="Times New Roman" w:eastAsia="DengXian" w:hAnsi="Times New Roman" w:cs="Times New Roman"/>
          <w:sz w:val="24"/>
          <w:szCs w:val="24"/>
        </w:rPr>
        <w:t>N: Concentration of KOH solution, 0.0948 mol L</w:t>
      </w:r>
      <w:r w:rsidRPr="001A5452">
        <w:rPr>
          <w:rFonts w:ascii="Times New Roman" w:eastAsia="DengXian" w:hAnsi="Times New Roman" w:cs="Times New Roman"/>
          <w:sz w:val="24"/>
          <w:szCs w:val="24"/>
          <w:vertAlign w:val="superscript"/>
        </w:rPr>
        <w:t xml:space="preserve">-1 </w:t>
      </w:r>
      <w:r w:rsidRPr="001A5452">
        <w:rPr>
          <w:rFonts w:ascii="Times New Roman" w:eastAsia="DengXian" w:hAnsi="Times New Roman" w:cs="Times New Roman"/>
          <w:sz w:val="24"/>
          <w:szCs w:val="24"/>
        </w:rPr>
        <w:t>calculated from equation (</w:t>
      </w:r>
      <w:r w:rsidR="002C5D79">
        <w:rPr>
          <w:rFonts w:ascii="Times New Roman" w:eastAsia="DengXian" w:hAnsi="Times New Roman" w:cs="Times New Roman"/>
          <w:sz w:val="24"/>
          <w:szCs w:val="24"/>
        </w:rPr>
        <w:t>6.</w:t>
      </w:r>
      <w:r w:rsidRPr="001A5452">
        <w:rPr>
          <w:rFonts w:ascii="Times New Roman" w:eastAsia="DengXian" w:hAnsi="Times New Roman" w:cs="Times New Roman"/>
          <w:sz w:val="24"/>
          <w:szCs w:val="24"/>
        </w:rPr>
        <w:t>1)</w:t>
      </w:r>
    </w:p>
    <w:p w14:paraId="53E95C8C" w14:textId="77777777" w:rsidR="006F38AE" w:rsidRPr="001A5452" w:rsidRDefault="006F38AE" w:rsidP="006F38AE">
      <w:pPr>
        <w:spacing w:after="0" w:line="480" w:lineRule="auto"/>
        <w:ind w:firstLine="274"/>
        <w:rPr>
          <w:rFonts w:ascii="Times New Roman" w:eastAsia="DengXian" w:hAnsi="Times New Roman" w:cs="Times New Roman"/>
          <w:sz w:val="24"/>
          <w:szCs w:val="24"/>
        </w:rPr>
      </w:pPr>
      <w:r w:rsidRPr="001A5452">
        <w:rPr>
          <w:rFonts w:ascii="Times New Roman" w:eastAsia="DengXian" w:hAnsi="Times New Roman" w:cs="Times New Roman"/>
          <w:sz w:val="24"/>
          <w:szCs w:val="24"/>
        </w:rPr>
        <w:t>W: Sample used, g</w:t>
      </w:r>
    </w:p>
    <w:p w14:paraId="3A904365" w14:textId="77777777" w:rsidR="006F38AE" w:rsidRPr="001A5452" w:rsidRDefault="006F38AE" w:rsidP="006F38AE">
      <w:pPr>
        <w:spacing w:after="0" w:line="480" w:lineRule="auto"/>
        <w:ind w:firstLine="274"/>
        <w:rPr>
          <w:rFonts w:ascii="Times New Roman" w:eastAsia="DengXian" w:hAnsi="Times New Roman" w:cs="Times New Roman"/>
          <w:sz w:val="24"/>
          <w:szCs w:val="24"/>
        </w:rPr>
      </w:pPr>
    </w:p>
    <w:p w14:paraId="4B76600B" w14:textId="2ACD4F25" w:rsidR="006F38AE" w:rsidRPr="0065721F" w:rsidRDefault="00212FE7" w:rsidP="0065721F">
      <w:pPr>
        <w:pStyle w:val="Caption"/>
        <w:ind w:firstLine="0"/>
      </w:pPr>
      <w:bookmarkStart w:id="238" w:name="_Toc502660886"/>
      <w:bookmarkStart w:id="239" w:name="_Toc502660957"/>
      <w:bookmarkStart w:id="240" w:name="_Toc502661179"/>
      <w:bookmarkStart w:id="241" w:name="_Toc518823476"/>
      <w:r>
        <w:t xml:space="preserve">Table </w:t>
      </w:r>
      <w:r w:rsidR="002C5D79">
        <w:t>6</w:t>
      </w:r>
      <w:r>
        <w:t>.</w:t>
      </w:r>
      <w:r w:rsidR="0065721F">
        <w:fldChar w:fldCharType="begin"/>
      </w:r>
      <w:r w:rsidR="0065721F">
        <w:instrText xml:space="preserve"> SEQ Table_6. \* ARABIC </w:instrText>
      </w:r>
      <w:r w:rsidR="0065721F">
        <w:fldChar w:fldCharType="separate"/>
      </w:r>
      <w:r w:rsidR="00551ED9">
        <w:rPr>
          <w:noProof/>
        </w:rPr>
        <w:t>1</w:t>
      </w:r>
      <w:r w:rsidR="0065721F">
        <w:fldChar w:fldCharType="end"/>
      </w:r>
      <w:r w:rsidR="006F38AE" w:rsidRPr="00212FE7">
        <w:rPr>
          <w:rFonts w:eastAsia="DengXian" w:cs="Times New Roman"/>
          <w:szCs w:val="24"/>
        </w:rPr>
        <w:t xml:space="preserve">. </w:t>
      </w:r>
      <w:r w:rsidR="006F38AE" w:rsidRPr="001A01B3">
        <w:rPr>
          <w:rFonts w:eastAsia="DengXian" w:cs="Times New Roman"/>
          <w:szCs w:val="24"/>
        </w:rPr>
        <w:t>The titration results of carboxylic acid groups.</w:t>
      </w:r>
      <w:bookmarkEnd w:id="238"/>
      <w:bookmarkEnd w:id="239"/>
      <w:bookmarkEnd w:id="240"/>
      <w:bookmarkEnd w:id="241"/>
    </w:p>
    <w:tbl>
      <w:tblPr>
        <w:tblStyle w:val="TableGrid2"/>
        <w:tblW w:w="10075" w:type="dxa"/>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firstRow="1" w:lastRow="0" w:firstColumn="1" w:lastColumn="0" w:noHBand="0" w:noVBand="1"/>
      </w:tblPr>
      <w:tblGrid>
        <w:gridCol w:w="1870"/>
        <w:gridCol w:w="1005"/>
        <w:gridCol w:w="1080"/>
        <w:gridCol w:w="2795"/>
        <w:gridCol w:w="3325"/>
      </w:tblGrid>
      <w:tr w:rsidR="006F38AE" w:rsidRPr="001A01B3" w14:paraId="3E710A52" w14:textId="77777777" w:rsidTr="00B14E10">
        <w:tc>
          <w:tcPr>
            <w:tcW w:w="1870" w:type="dxa"/>
            <w:vAlign w:val="center"/>
          </w:tcPr>
          <w:p w14:paraId="174F647C"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Sample used / g</w:t>
            </w:r>
          </w:p>
        </w:tc>
        <w:tc>
          <w:tcPr>
            <w:tcW w:w="1005" w:type="dxa"/>
            <w:vAlign w:val="center"/>
          </w:tcPr>
          <w:p w14:paraId="5BCE9E65"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A</w:t>
            </w:r>
            <w:r w:rsidRPr="001A01B3">
              <w:rPr>
                <w:rFonts w:ascii="Times New Roman" w:eastAsia="DengXian" w:hAnsi="Times New Roman" w:cs="Times New Roman"/>
                <w:sz w:val="24"/>
                <w:szCs w:val="24"/>
                <w:vertAlign w:val="superscript"/>
              </w:rPr>
              <w:t>*</w:t>
            </w:r>
            <w:r w:rsidRPr="001A01B3">
              <w:rPr>
                <w:rFonts w:ascii="Times New Roman" w:eastAsia="DengXian" w:hAnsi="Times New Roman" w:cs="Times New Roman"/>
                <w:sz w:val="24"/>
                <w:szCs w:val="24"/>
              </w:rPr>
              <w:t xml:space="preserve"> / ml</w:t>
            </w:r>
          </w:p>
        </w:tc>
        <w:tc>
          <w:tcPr>
            <w:tcW w:w="1080" w:type="dxa"/>
            <w:vAlign w:val="center"/>
          </w:tcPr>
          <w:p w14:paraId="209F6F1F"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B</w:t>
            </w:r>
            <w:r w:rsidRPr="001A01B3">
              <w:rPr>
                <w:rFonts w:ascii="Times New Roman" w:eastAsia="DengXian" w:hAnsi="Times New Roman" w:cs="Times New Roman"/>
                <w:sz w:val="24"/>
                <w:szCs w:val="24"/>
                <w:vertAlign w:val="superscript"/>
              </w:rPr>
              <w:t xml:space="preserve">* </w:t>
            </w:r>
            <w:r w:rsidRPr="001A01B3">
              <w:rPr>
                <w:rFonts w:ascii="Times New Roman" w:eastAsia="DengXian" w:hAnsi="Times New Roman" w:cs="Times New Roman"/>
                <w:sz w:val="24"/>
                <w:szCs w:val="24"/>
              </w:rPr>
              <w:t>/ ml</w:t>
            </w:r>
          </w:p>
        </w:tc>
        <w:tc>
          <w:tcPr>
            <w:tcW w:w="2795" w:type="dxa"/>
            <w:vAlign w:val="center"/>
          </w:tcPr>
          <w:p w14:paraId="1F76B75B"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AV / mg KOH g</w:t>
            </w:r>
            <w:r w:rsidRPr="001A01B3">
              <w:rPr>
                <w:rFonts w:ascii="Times New Roman" w:eastAsia="DengXian" w:hAnsi="Times New Roman" w:cs="Times New Roman"/>
                <w:sz w:val="24"/>
                <w:szCs w:val="24"/>
                <w:vertAlign w:val="superscript"/>
              </w:rPr>
              <w:t>-1</w:t>
            </w:r>
          </w:p>
        </w:tc>
        <w:tc>
          <w:tcPr>
            <w:tcW w:w="3325" w:type="dxa"/>
            <w:vAlign w:val="center"/>
          </w:tcPr>
          <w:p w14:paraId="2864CF4A"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Average AV / mg KOH g</w:t>
            </w:r>
            <w:r w:rsidRPr="001A01B3">
              <w:rPr>
                <w:rFonts w:ascii="Times New Roman" w:eastAsia="DengXian" w:hAnsi="Times New Roman" w:cs="Times New Roman"/>
                <w:sz w:val="24"/>
                <w:szCs w:val="24"/>
                <w:vertAlign w:val="superscript"/>
              </w:rPr>
              <w:t>-1</w:t>
            </w:r>
          </w:p>
        </w:tc>
      </w:tr>
      <w:tr w:rsidR="006F38AE" w:rsidRPr="001A5452" w14:paraId="69CCAFA2" w14:textId="77777777" w:rsidTr="00B14E10">
        <w:tc>
          <w:tcPr>
            <w:tcW w:w="1870" w:type="dxa"/>
            <w:vAlign w:val="center"/>
          </w:tcPr>
          <w:p w14:paraId="11A5CDB9"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0.8284</w:t>
            </w:r>
          </w:p>
          <w:p w14:paraId="20D1F532"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0.6435</w:t>
            </w:r>
          </w:p>
        </w:tc>
        <w:tc>
          <w:tcPr>
            <w:tcW w:w="1005" w:type="dxa"/>
            <w:vAlign w:val="center"/>
          </w:tcPr>
          <w:p w14:paraId="31B8417A"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9.60</w:t>
            </w:r>
          </w:p>
          <w:p w14:paraId="04B4B5A6"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7.75</w:t>
            </w:r>
          </w:p>
        </w:tc>
        <w:tc>
          <w:tcPr>
            <w:tcW w:w="1080" w:type="dxa"/>
            <w:vAlign w:val="center"/>
          </w:tcPr>
          <w:p w14:paraId="23A949FE"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0.15</w:t>
            </w:r>
          </w:p>
          <w:p w14:paraId="308860F4"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0.16</w:t>
            </w:r>
          </w:p>
        </w:tc>
        <w:tc>
          <w:tcPr>
            <w:tcW w:w="2795" w:type="dxa"/>
            <w:vAlign w:val="center"/>
          </w:tcPr>
          <w:p w14:paraId="7AFC35A5"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60.6</w:t>
            </w:r>
          </w:p>
          <w:p w14:paraId="38A3064F" w14:textId="77777777" w:rsidR="006F38AE" w:rsidRPr="001A01B3"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62.7</w:t>
            </w:r>
          </w:p>
        </w:tc>
        <w:tc>
          <w:tcPr>
            <w:tcW w:w="3325" w:type="dxa"/>
            <w:vAlign w:val="center"/>
          </w:tcPr>
          <w:p w14:paraId="6135D8D8" w14:textId="77777777" w:rsidR="006F38AE" w:rsidRPr="001A5452" w:rsidRDefault="006F38AE" w:rsidP="00B05D79">
            <w:pPr>
              <w:tabs>
                <w:tab w:val="center" w:pos="4680"/>
                <w:tab w:val="right" w:pos="9360"/>
              </w:tabs>
              <w:spacing w:line="360" w:lineRule="auto"/>
              <w:ind w:firstLine="289"/>
              <w:jc w:val="center"/>
              <w:rPr>
                <w:rFonts w:ascii="Times New Roman" w:eastAsia="DengXian" w:hAnsi="Times New Roman" w:cs="Times New Roman"/>
                <w:sz w:val="24"/>
                <w:szCs w:val="24"/>
              </w:rPr>
            </w:pPr>
            <w:r w:rsidRPr="001A01B3">
              <w:rPr>
                <w:rFonts w:ascii="Times New Roman" w:eastAsia="DengXian" w:hAnsi="Times New Roman" w:cs="Times New Roman"/>
                <w:sz w:val="24"/>
                <w:szCs w:val="24"/>
              </w:rPr>
              <w:t>61.7 ± 1.5</w:t>
            </w:r>
          </w:p>
        </w:tc>
      </w:tr>
    </w:tbl>
    <w:p w14:paraId="6C7AB988" w14:textId="77777777" w:rsidR="006F38AE" w:rsidRPr="001A5452" w:rsidRDefault="006F38AE" w:rsidP="001B3F6C">
      <w:pPr>
        <w:spacing w:after="0" w:line="240" w:lineRule="auto"/>
        <w:ind w:left="180" w:hanging="180"/>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vertAlign w:val="superscript"/>
        </w:rPr>
        <w:t>*</w:t>
      </w:r>
      <w:r w:rsidRPr="001A5452">
        <w:rPr>
          <w:rFonts w:ascii="Times New Roman" w:eastAsia="DengXian" w:hAnsi="Times New Roman" w:cs="Times New Roman"/>
          <w:sz w:val="24"/>
          <w:szCs w:val="24"/>
        </w:rPr>
        <w:t xml:space="preserve"> A refers to the volume of KOH solution required for titration of the sample (HBPE), and B for the volume of KOH solution required for titration of the blank (solvents without sample). Titration was performed twice to get the average AV.</w:t>
      </w:r>
    </w:p>
    <w:p w14:paraId="3B2C94E3" w14:textId="77777777" w:rsidR="006F38AE" w:rsidRPr="001A5452" w:rsidRDefault="006F38AE" w:rsidP="006F38AE">
      <w:pPr>
        <w:spacing w:after="0" w:line="240" w:lineRule="auto"/>
        <w:ind w:left="180" w:hanging="180"/>
        <w:rPr>
          <w:rFonts w:ascii="Times New Roman" w:eastAsia="DengXian" w:hAnsi="Times New Roman" w:cs="Times New Roman"/>
          <w:sz w:val="24"/>
          <w:szCs w:val="24"/>
        </w:rPr>
      </w:pPr>
    </w:p>
    <w:p w14:paraId="38589352" w14:textId="77777777" w:rsidR="006F38AE" w:rsidRPr="001A5452" w:rsidRDefault="006F38AE" w:rsidP="006F38AE">
      <w:pPr>
        <w:spacing w:after="0" w:line="240" w:lineRule="auto"/>
        <w:ind w:left="180" w:hanging="180"/>
        <w:rPr>
          <w:rFonts w:ascii="Times New Roman" w:eastAsia="DengXian" w:hAnsi="Times New Roman" w:cs="Times New Roman"/>
          <w:sz w:val="24"/>
          <w:szCs w:val="24"/>
        </w:rPr>
      </w:pPr>
    </w:p>
    <w:p w14:paraId="391875E0" w14:textId="6D618595" w:rsidR="006F38AE" w:rsidRPr="001B3F6C" w:rsidRDefault="002C5D79" w:rsidP="00A22DC4">
      <w:pPr>
        <w:pStyle w:val="Heading3"/>
      </w:pPr>
      <w:bookmarkStart w:id="242" w:name="_Toc518823353"/>
      <w:r>
        <w:t>6</w:t>
      </w:r>
      <w:r w:rsidR="00BD1DD2">
        <w:t>.</w:t>
      </w:r>
      <w:r w:rsidR="006F38AE" w:rsidRPr="001B3F6C">
        <w:t>3.1.4. FTIR spectroscopy of HBPE</w:t>
      </w:r>
      <w:bookmarkEnd w:id="242"/>
      <w:r w:rsidR="006F38AE" w:rsidRPr="001B3F6C">
        <w:t xml:space="preserve"> </w:t>
      </w:r>
    </w:p>
    <w:p w14:paraId="7A6ED7FB" w14:textId="7ED29302" w:rsidR="006F38AE" w:rsidRPr="001A5452" w:rsidRDefault="006F38AE" w:rsidP="006F38AE">
      <w:pPr>
        <w:spacing w:after="0" w:line="480" w:lineRule="auto"/>
        <w:contextualSpacing/>
        <w:jc w:val="both"/>
        <w:rPr>
          <w:rFonts w:ascii="Times New Roman" w:eastAsia="DengXian" w:hAnsi="Times New Roman" w:cs="Times New Roman"/>
          <w:sz w:val="24"/>
          <w:szCs w:val="24"/>
        </w:rPr>
      </w:pPr>
      <w:r w:rsidRPr="001B3F6C">
        <w:rPr>
          <w:rFonts w:ascii="Times New Roman" w:eastAsia="DengXian" w:hAnsi="Times New Roman" w:cs="Times New Roman"/>
          <w:sz w:val="24"/>
          <w:szCs w:val="24"/>
        </w:rPr>
        <w:t xml:space="preserve">The chemical structure of monomers, HBPE pre-polymer, HBPE and the esterification reaction </w:t>
      </w:r>
      <w:r w:rsidR="000F19FE" w:rsidRPr="001B3F6C">
        <w:rPr>
          <w:rFonts w:ascii="Times New Roman" w:eastAsia="DengXian" w:hAnsi="Times New Roman" w:cs="Times New Roman"/>
          <w:sz w:val="24"/>
          <w:szCs w:val="24"/>
        </w:rPr>
        <w:t xml:space="preserve">was </w:t>
      </w:r>
      <w:r w:rsidRPr="001B3F6C">
        <w:rPr>
          <w:rFonts w:ascii="Times New Roman" w:eastAsia="DengXian" w:hAnsi="Times New Roman" w:cs="Times New Roman"/>
          <w:sz w:val="24"/>
          <w:szCs w:val="24"/>
        </w:rPr>
        <w:t xml:space="preserve">investigated by FTIR analysis, as shown in Figure </w:t>
      </w:r>
      <w:r w:rsidR="002C5D79">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8</w:t>
      </w:r>
      <w:r w:rsidRPr="001B3F6C">
        <w:rPr>
          <w:rFonts w:ascii="Times New Roman" w:eastAsia="DengXian" w:hAnsi="Times New Roman" w:cs="Times New Roman"/>
          <w:sz w:val="24"/>
          <w:szCs w:val="24"/>
        </w:rPr>
        <w:t>. FTIR spectrum of  Pripol 2030 shows the absorption peaks at 3321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2921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xml:space="preserve"> and 2852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1460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xml:space="preserve"> and 1377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1056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xml:space="preserve">, which are assigned to O-H stretch, C-H stretch from alkane, C-H bending from </w:t>
      </w:r>
      <w:r w:rsidR="000F19FE" w:rsidRPr="001B3F6C">
        <w:rPr>
          <w:rFonts w:ascii="Times New Roman" w:eastAsia="DengXian" w:hAnsi="Times New Roman" w:cs="Times New Roman"/>
          <w:sz w:val="24"/>
          <w:szCs w:val="24"/>
        </w:rPr>
        <w:t>a</w:t>
      </w:r>
      <w:r w:rsidRPr="001B3F6C">
        <w:rPr>
          <w:rFonts w:ascii="Times New Roman" w:eastAsia="DengXian" w:hAnsi="Times New Roman" w:cs="Times New Roman"/>
          <w:sz w:val="24"/>
          <w:szCs w:val="24"/>
        </w:rPr>
        <w:t>lkane, and C-O stretch from alcohol groups, respectively. The spectrum of  Pripol 1040 shows the peaks at 2921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xml:space="preserve"> and 2852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1705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1458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xml:space="preserve"> and 1421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1283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xml:space="preserve"> and 1236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1034 cm</w:t>
      </w:r>
      <w:r w:rsidRPr="001B3F6C">
        <w:rPr>
          <w:rFonts w:ascii="Times New Roman" w:eastAsia="DengXian" w:hAnsi="Times New Roman" w:cs="Times New Roman"/>
          <w:sz w:val="24"/>
          <w:szCs w:val="24"/>
          <w:vertAlign w:val="superscript"/>
        </w:rPr>
        <w:t>-1</w:t>
      </w:r>
      <w:r w:rsidRPr="001B3F6C">
        <w:rPr>
          <w:rFonts w:ascii="Times New Roman" w:eastAsia="DengXian" w:hAnsi="Times New Roman" w:cs="Times New Roman"/>
          <w:sz w:val="24"/>
          <w:szCs w:val="24"/>
        </w:rPr>
        <w:t xml:space="preserve">, which </w:t>
      </w:r>
      <w:r w:rsidR="000F19FE" w:rsidRPr="001B3F6C">
        <w:rPr>
          <w:rFonts w:ascii="Times New Roman" w:eastAsia="DengXian" w:hAnsi="Times New Roman" w:cs="Times New Roman"/>
          <w:sz w:val="24"/>
          <w:szCs w:val="24"/>
        </w:rPr>
        <w:t xml:space="preserve">are </w:t>
      </w:r>
      <w:r w:rsidRPr="001B3F6C">
        <w:rPr>
          <w:rFonts w:ascii="Times New Roman" w:eastAsia="DengXian" w:hAnsi="Times New Roman" w:cs="Times New Roman"/>
          <w:sz w:val="24"/>
          <w:szCs w:val="24"/>
        </w:rPr>
        <w:t xml:space="preserve">attributed to C-H stretch from alkane, C=O stretch from carbonyl, C=C stretch, C-O stretch from carboxyl group, C-H bending from alkene, respectively </w:t>
      </w:r>
      <w:r w:rsidRPr="00330429">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"10.1016/j.jcis.2005.08.037", "ISBN" : "0021-9797", "ISSN" : "00219797", "PMID" : "16165144", "abstract" : "Nanocrystalline TiO2 powders of the rutile polymorph, synthesized by a sol-gel method, were treated with water solutions containing, respectively, formic, acetic, and citric acid and glycine in order to study the adsorption properties of these organic species. The samples were characterized by FTIR, Raman, powder XRD, and TEM. It was found that HCOOH, CH3COOH and HOC(COOH)(CH2COOH)2 - but not NH2CH 2COOH - adsorbed onto TiO2. The adsorption of HCOOH, CH3COOH and NH2CH2COOH onto the (110) surface of rutile was also studied by quantum-chemical periodic density functional theory (DFT) calculations. The organic molecules were from the computations found to adsorb strongly to the surfaces in a bridge-coordinating mode, where the two oxygens of the deprotonated carboxylic acid bind to two surface titanium ions. Surface relaxation is found to influence adsorption geometries and energies significantly. The results from DFT calculations and ab initio molecular-dynamics simulations of formic acid adsorption onto TiO2 are compared and match well with the experimental IR measurements, supporting the bridge-binding geometry of carboxylic-acid adsorption on the TiO2 nanoparticles. \u00a9 2005 Elsevier Inc. All rights reserved.", "author" : [ { "dropping-particle" : "", "family" : "Ojam\u00e4e", "given" : "Lars", "non-dropping-particle" : "", "parse-names" : false, "suffix" : "" }, { "dropping-particle" : "", "family" : "Aulin", "given" : "Christian", "non-dropping-particle" : "", "parse-names" : false, "suffix" : "" }, { "dropping-particle" : "", "family" : "Pedersen", "given" : "Henrik", "non-dropping-particle" : "", "parse-names" : false, "suffix" : "" }, { "dropping-particle" : "", "family" : "K\u00e4ll", "given" : "Per Olov", "non-dropping-particle" : "", "parse-names" : false, "suffix" : "" } ], "container-title" : "Journal of Colloid and Interface Science", "id" : "ITEM-1", "issue" : "1", "issued" : { "date-parts" : [ [ "2006" ] ] }, "page" : "71-78", "title" : "IR and quantum-chemical studies of carboxylic acid and glycine adsorption on rutile TiO2 nanoparticles", "type" : "article-journal", "volume" : "296" }, "uris" : [ "http://www.mendeley.com/documents/?uuid=639f7ff5-0df2-4587-a793-d79ff92d9c06" ] }, { "id" : "ITEM-2", "itemData" : { "DOI" : "10.1021/jp0360974", "ISBN" : "1520-6106", "ISSN" : "1520-6106", "abstract" : "The adsorption of formate and acetate from aqueous solutions at pH 3?9 onto the TiO2 rutile (110) surface was studied by ATR-FTIR spectroscopy. The spectra indicated that there was only one type of adsorbed species, and that formate and acetate were adsorbed in a similar manner. On the basis of the measured ?as(COO) ? ?s(COO) splitting (??as-s) of 191 and 87 cm-1, for formate and acetate, respectively, the monodentate (ester type) binding mode could be excluded. Ab initio calculations at the Hartree?Fock level showed that for pentacoordinated TiIV, present in the (110) surface, the chelating bidentate binding mode is unstable with respect to the rearrangement to the monodentate or the bridging bidentate mode. The computed vibrational frequencies of formate and acetate adsorbed in a bridging bidentate mode onto Ti clusters with 2?5 Ti centers, representing the (110) surface, agreed with experiment and thus showed that this methodology can be used for the determination of the structures of adsorbates on, for example, metal oxide surfaces in contact with aqueous solutions.", "author" : [ { "dropping-particle" : "", "family" : "Rotzinger", "given" : "Fran\u00e7ois P.", "non-dropping-particle" : "", "parse-names" : false, "suffix" : "" }, { "dropping-particle" : "", "family" : "Kesselman-Truttmann", "given" : "Janet M.", "non-dropping-particle" : "", "parse-names" : false, "suffix" : "" }, { "dropping-particle" : "", "family" : "Hug", "given" : "Stephan J.", "non-dropping-particle" : "", "parse-names" : false, "suffix" : "" }, { "dropping-particle" : "", "family" : "Shklover", "given" : "Valery", "non-dropping-particle" : "", "parse-names" : false, "suffix" : "" }, { "dropping-particle" : "", "family" : "Gr\u00e4tzel", "given" : "Michael", "non-dropping-particle" : "", "parse-names" : false, "suffix" : "" } ], "container-title" : "The Journal of Physical Chemistry B", "id" : "ITEM-2", "issue" : "16", "issued" : { "date-parts" : [ [ "2004" ] ] }, "page" : "5004-5017", "title" : "Structure and Vibrational Spectrum of Formate and Acetate Adsorbed from Aqueous Solution onto the TiO 2 Rutile (110) Surface", "type" : "article-journal", "volume" : "108" }, "uris" : [ "http://www.mendeley.com/documents/?uuid=6dcbf719-2131-4e47-95a3-2c861d079602" ] } ], "mendeley" : { "formattedCitation" : "[249,250]", "plainTextFormattedCitation" : "[249,250]", "previouslyFormattedCitation" : "[249,250]" }, "properties" : {  }, "schema" : "https://github.com/citation-style-language/schema/raw/master/csl-citation.json" }</w:instrText>
      </w:r>
      <w:r w:rsidRPr="00330429">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[249,250]</w:t>
      </w:r>
      <w:r w:rsidRPr="00330429">
        <w:rPr>
          <w:rFonts w:ascii="Times New Roman" w:eastAsia="DengXian" w:hAnsi="Times New Roman" w:cs="Times New Roman"/>
          <w:sz w:val="24"/>
          <w:szCs w:val="24"/>
        </w:rPr>
        <w:fldChar w:fldCharType="end"/>
      </w:r>
      <w:r w:rsidRPr="001B3F6C">
        <w:rPr>
          <w:rFonts w:ascii="Times New Roman" w:eastAsia="DengXian" w:hAnsi="Times New Roman" w:cs="Times New Roman"/>
          <w:sz w:val="24"/>
          <w:szCs w:val="24"/>
        </w:rPr>
        <w:t>. From spectrum of</w:t>
      </w:r>
      <w:r w:rsidRPr="000F19FE">
        <w:rPr>
          <w:rFonts w:ascii="Times New Roman" w:eastAsia="DengXian" w:hAnsi="Times New Roman" w:cs="Times New Roman"/>
          <w:sz w:val="24"/>
          <w:szCs w:val="24"/>
        </w:rPr>
        <w:t xml:space="preserve"> </w:t>
      </w:r>
      <w:r w:rsidRPr="00330429">
        <w:rPr>
          <w:rFonts w:ascii="Times New Roman" w:eastAsia="DengXian" w:hAnsi="Times New Roman" w:cs="Times New Roman"/>
          <w:sz w:val="24"/>
          <w:szCs w:val="24"/>
        </w:rPr>
        <w:t>HBPE, new peaks at 1737 cm</w:t>
      </w:r>
      <w:r w:rsidRPr="00330429">
        <w:rPr>
          <w:rFonts w:ascii="Times New Roman" w:eastAsia="DengXian" w:hAnsi="Times New Roman" w:cs="Times New Roman"/>
          <w:sz w:val="24"/>
          <w:szCs w:val="24"/>
          <w:vertAlign w:val="superscript"/>
        </w:rPr>
        <w:t>-1</w:t>
      </w:r>
      <w:r w:rsidRPr="00330429">
        <w:rPr>
          <w:rFonts w:ascii="Times New Roman" w:eastAsia="DengXian" w:hAnsi="Times New Roman" w:cs="Times New Roman"/>
          <w:sz w:val="24"/>
          <w:szCs w:val="24"/>
        </w:rPr>
        <w:t xml:space="preserve"> can be observed which is related to C=O stretch from COOH groups. Peak at 1705 cm</w:t>
      </w:r>
      <w:r w:rsidRPr="00330429">
        <w:rPr>
          <w:rFonts w:ascii="Times New Roman" w:eastAsia="DengXian" w:hAnsi="Times New Roman" w:cs="Times New Roman"/>
          <w:sz w:val="24"/>
          <w:szCs w:val="24"/>
          <w:vertAlign w:val="superscript"/>
        </w:rPr>
        <w:t>-1</w:t>
      </w:r>
      <w:r w:rsidRPr="00330429">
        <w:rPr>
          <w:rFonts w:ascii="Times New Roman" w:eastAsia="DengXian" w:hAnsi="Times New Roman" w:cs="Times New Roman"/>
          <w:sz w:val="24"/>
          <w:szCs w:val="24"/>
        </w:rPr>
        <w:t xml:space="preserve"> </w:t>
      </w:r>
      <w:r w:rsidRPr="00B05D79">
        <w:rPr>
          <w:rFonts w:ascii="Times New Roman" w:eastAsia="DengXian" w:hAnsi="Times New Roman" w:cs="Times New Roman"/>
          <w:sz w:val="24"/>
          <w:szCs w:val="24"/>
        </w:rPr>
        <w:t>from acid shift to 1709 cm</w:t>
      </w:r>
      <w:r w:rsidRPr="00B05D79">
        <w:rPr>
          <w:rFonts w:ascii="Times New Roman" w:eastAsia="DengXian" w:hAnsi="Times New Roman" w:cs="Times New Roman"/>
          <w:sz w:val="24"/>
          <w:szCs w:val="24"/>
          <w:vertAlign w:val="superscript"/>
        </w:rPr>
        <w:t>-1</w:t>
      </w:r>
      <w:r w:rsidRPr="00B05D79">
        <w:rPr>
          <w:rFonts w:ascii="Times New Roman" w:eastAsia="DengXian" w:hAnsi="Times New Roman" w:cs="Times New Roman"/>
          <w:sz w:val="24"/>
          <w:szCs w:val="24"/>
        </w:rPr>
        <w:t xml:space="preserve"> in HBPE, which is attributed to C=O stretch. New peaks at 1167 cm</w:t>
      </w:r>
      <w:r w:rsidRPr="00B05D79">
        <w:rPr>
          <w:rFonts w:ascii="Times New Roman" w:eastAsia="DengXian" w:hAnsi="Times New Roman" w:cs="Times New Roman"/>
          <w:sz w:val="24"/>
          <w:szCs w:val="24"/>
          <w:vertAlign w:val="superscript"/>
        </w:rPr>
        <w:t>-1</w:t>
      </w:r>
      <w:r w:rsidRPr="00B05D79">
        <w:rPr>
          <w:rFonts w:ascii="Times New Roman" w:eastAsia="DengXian" w:hAnsi="Times New Roman" w:cs="Times New Roman"/>
          <w:sz w:val="24"/>
          <w:szCs w:val="24"/>
        </w:rPr>
        <w:t xml:space="preserve"> and 1100 cm</w:t>
      </w:r>
      <w:r w:rsidRPr="00B05D79">
        <w:rPr>
          <w:rFonts w:ascii="Times New Roman" w:eastAsia="DengXian" w:hAnsi="Times New Roman" w:cs="Times New Roman"/>
          <w:sz w:val="24"/>
          <w:szCs w:val="24"/>
          <w:vertAlign w:val="superscript"/>
        </w:rPr>
        <w:t>-1</w:t>
      </w:r>
      <w:r w:rsidRPr="00B05D79">
        <w:rPr>
          <w:rFonts w:ascii="Times New Roman" w:eastAsia="DengXian" w:hAnsi="Times New Roman" w:cs="Times New Roman"/>
          <w:sz w:val="24"/>
          <w:szCs w:val="24"/>
        </w:rPr>
        <w:t xml:space="preserve"> from HBPE are related to C-O stretch from ester groups. Peaks at 1283 cm</w:t>
      </w:r>
      <w:r w:rsidRPr="00B05D79">
        <w:rPr>
          <w:rFonts w:ascii="Times New Roman" w:eastAsia="DengXian" w:hAnsi="Times New Roman" w:cs="Times New Roman"/>
          <w:sz w:val="24"/>
          <w:szCs w:val="24"/>
          <w:vertAlign w:val="superscript"/>
        </w:rPr>
        <w:t>-1</w:t>
      </w:r>
      <w:r w:rsidRPr="00B05D79">
        <w:rPr>
          <w:rFonts w:ascii="Times New Roman" w:eastAsia="DengXian" w:hAnsi="Times New Roman" w:cs="Times New Roman"/>
          <w:sz w:val="24"/>
          <w:szCs w:val="24"/>
        </w:rPr>
        <w:t xml:space="preserve"> from acid shifts to 1261 cm</w:t>
      </w:r>
      <w:r w:rsidRPr="00B05D79">
        <w:rPr>
          <w:rFonts w:ascii="Times New Roman" w:eastAsia="DengXian" w:hAnsi="Times New Roman" w:cs="Times New Roman"/>
          <w:sz w:val="24"/>
          <w:szCs w:val="24"/>
          <w:vertAlign w:val="superscript"/>
        </w:rPr>
        <w:t>-1</w:t>
      </w:r>
      <w:r w:rsidRPr="00B05D79">
        <w:rPr>
          <w:rFonts w:ascii="Times New Roman" w:eastAsia="DengXian" w:hAnsi="Times New Roman" w:cs="Times New Roman"/>
          <w:sz w:val="24"/>
          <w:szCs w:val="24"/>
        </w:rPr>
        <w:t xml:space="preserve">, which is assigned to C-O from ester groups </w:t>
      </w:r>
      <w:r w:rsidRPr="00B05D79">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"10.1016/j.porgcoat.2008.07.012", "ISSN" : "03009440", "abstract" : "A series of hyperbranched polyester-urethane-urea/K10-clay hybrid coatings (AHBPE-1 and AHBPE-2) have been prepared. Initially, the polyester polyols are synthesized separately in a step-wise manner using pentaerythritol (PE), phtallic anhydride (PTA) and trimethylol propane (TMP). The cetyltrimethylammonium bromide (CTAB) modified K10-clay is used as an organoclay for the hybrid composites preparation and dispersed into the polyester matrix by ultrasonication method. This clay-dispersed polyols are used for further synthesis. The degree of branching (DB), percentage of condensation reaction and quantity of dendritic (D), terminal (T) and linear (L) units present in the polyester are calculated, from the NMR peak integration value. The NMR result suggests that, there is formation of nearly 63% of condensation product in the polyester. A structure-property correlation is established, based on the hydrogen bonding effect with increasing clay content by using the FT-IR peak deconvulation technique. The dynamic mechanical and thermal analysis (DMTA) as well as thermo gravimetric analysis (TGA) results show, an increase in room temperature storage modulus (E???), glass transition temperature (Tg) and thermal stability of the hybrid coatings with increasing clay content and NCO/OH ratio. The contact angle measurement study suggests that, the hydrophilicity of the hybrid films increases with increasing clay content and decreases with increasing NCO/OH ratio. ?? 2008 Elsevier B.V. All rights reserved.", "author" : [ { "dropping-particle" : "", "family" : "Mishra", "given" : "Aswini K.", "non-dropping-particle" : "", "parse-names" : false, "suffix" : "" }, { "dropping-particle" : "", "family" : "Jena", "given" : "Kishore K.", "non-dropping-particle" : "", "parse-names" : false, "suffix" : "" }, { "dropping-particle" : "", "family" : "Raju", "given" : "K.V.S.N.", "non-dropping-particle" : "", "parse-names" : false, "suffix" : "" } ], "container-title" : "Progress in Organic Coatings", "id" : "ITEM-1", "issue" : "1", "issued" : { "date-parts" : [ [ "2009" ] ] }, "page" : "47-56", "title" : "Synthesis and characterization of hyperbranched polyester-urethane-urea/K10-clay hybrid coatings", "type" : "article-journal", "volume" : "64" }, "uris" : [ "http://www.mendeley.com/documents/?uuid=f5268903-4d77-4096-877c-ef3c7bcdd724" ] }, { "id" : "ITEM-2", "itemData" : { "author" : [ { "dropping-particle" : "", "family" : "Pamula", "given" : "Elzbieta", "non-dropping-particle" : "", "parse-names" : false, "suffix" : "" }, { "dropping-particle" : "", "family" : "Blazewicz", "given" : "Marta", "non-dropping-particle" : "", "parse-names" : false, "suffix" : "" }, { "dropping-particle" : "", "family" : "Paluszkiewicz", "given" : "Czeslawa", "non-dropping-particle" : "", "parse-names" : false, "suffix" : "" }, { "dropping-particle" : "", "family" : "Dobrzynski", "given" : "Piotr", "non-dropping-particle" : "", "parse-names" : false, "suffix" : "" } ], "container-title" : "Journal of molecular structure", "id" : "ITEM-2", "issued" : { "date-parts" : [ [ "2001" ] ] }, "page" : "69-75", "title" : "FTIR study of degradation products of aliphatic polyesters-carbon fibres composites", "type" : "article-journal", "volume" : "596" }, "uris" : [ "http://www.mendeley.com/documents/?uuid=bb1d27aa-0eb4-428b-a0c9-09283f0fb262" ] }, { "id" : "ITEM-3", "itemData" : { "DOI" : "10.1002/polb.1993.090310601", "ISSN" : "10990488", "abstract" : "A reactive rubber obtained by isocyanation of hydroxyl-terminated polybutadiene was used as toughening agent for an unsaturated polyester resin. Both the isocyanation and the successive reaction between the modified rubber and the polyester were investigated by Fourier-transform infrared spectroscopy (FTIR). Fracture measurements at high and low strain rate were carried out on the cured materials to test their toughness. The failure mechanisms were established by morphological analysis of fractured surfaces, performed by scanning electron microscopy.", "author" : [ { "dropping-particle" : "", "family" : "Martuscelli", "given" : "E.", "non-dropping-particle" : "", "parse-names" : false, "suffix" : "" }, { "dropping-particle" : "", "family" : "P.Musto", "given" : "", "non-dropping-particle" : "", "parse-names" : false, "suffix" : "" }, { "dropping-particle" : "", "family" : "G.Ragosta", "given" : "", "non-dropping-particle" : "", "parse-names" : false, "suffix" : "" }, { "dropping-particle" : "", "family" : "Scarinzi", "given" : "G.", "non-dropping-particle" : "", "parse-names" : false, "suffix" : "" }, { "dropping-particle" : "", "family" : "Bertotti", "given" : "E.", "non-dropping-particle" : "", "parse-names" : false, "suffix" : "" } ], "container-title" : "Journal of Polymer Science Part B: Polymer Physics", "id" : "ITEM-3", "issue" : "6", "issued" : { "date-parts" : [ [ "1993" ] ] }, "page" : "619-632", "title" : "Reactive rubbers as toughening agents for thermoset polyester resins. Molecular analysis by FTIR and fracture behavior of the resulting blends", "type" : "article-journal", "volume" : "31" }, "uris" : [ "http://www.mendeley.com/documents/?uuid=edb81857-4538-4674-8acc-995b6fbfe0fd" ] } ], "mendeley" : { "formattedCitation" : "[247,251,252]", "plainTextFormattedCitation" : "[247,251,252]", "previouslyFormattedCitation" : "[247,251,252]" }, "properties" : {  }, "schema" : "https://github.com/citation-style-language/schema/raw/master/csl-citation.json" }</w:instrText>
      </w:r>
      <w:r w:rsidRPr="00B05D79">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[247,251,252]</w:t>
      </w:r>
      <w:r w:rsidRPr="00B05D79">
        <w:rPr>
          <w:rFonts w:ascii="Times New Roman" w:eastAsia="DengXian" w:hAnsi="Times New Roman" w:cs="Times New Roman"/>
          <w:sz w:val="24"/>
          <w:szCs w:val="24"/>
        </w:rPr>
        <w:fldChar w:fldCharType="end"/>
      </w:r>
      <w:r w:rsidRPr="00B05D79">
        <w:rPr>
          <w:rFonts w:ascii="Times New Roman" w:eastAsia="DengXian" w:hAnsi="Times New Roman" w:cs="Times New Roman"/>
          <w:sz w:val="24"/>
          <w:szCs w:val="24"/>
        </w:rPr>
        <w:t>. All phenomenon</w:t>
      </w:r>
      <w:r w:rsidRPr="00330429">
        <w:rPr>
          <w:rFonts w:ascii="Times New Roman" w:eastAsia="DengXian" w:hAnsi="Times New Roman" w:cs="Times New Roman"/>
          <w:sz w:val="24"/>
          <w:szCs w:val="24"/>
        </w:rPr>
        <w:t xml:space="preserve"> above confirmed the presence of ester groups formed between hydroxyl groups and carboxyl groups. Compared with the FTIR spectra of pre-polymer, the peak at 1171 cm</w:t>
      </w:r>
      <w:r w:rsidRPr="00330429">
        <w:rPr>
          <w:rFonts w:ascii="Times New Roman" w:eastAsia="DengXian" w:hAnsi="Times New Roman" w:cs="Times New Roman"/>
          <w:sz w:val="24"/>
          <w:szCs w:val="24"/>
          <w:vertAlign w:val="superscript"/>
        </w:rPr>
        <w:t>-1</w:t>
      </w:r>
      <w:r w:rsidRPr="00330429">
        <w:rPr>
          <w:rFonts w:ascii="Times New Roman" w:eastAsia="DengXian" w:hAnsi="Times New Roman" w:cs="Times New Roman"/>
          <w:sz w:val="24"/>
          <w:szCs w:val="24"/>
        </w:rPr>
        <w:t xml:space="preserve"> (pre-polymer) shift</w:t>
      </w:r>
      <w:r w:rsidR="007A0425">
        <w:rPr>
          <w:rFonts w:ascii="Times New Roman" w:eastAsia="DengXian" w:hAnsi="Times New Roman" w:cs="Times New Roman"/>
          <w:sz w:val="24"/>
          <w:szCs w:val="24"/>
        </w:rPr>
        <w:t>s</w:t>
      </w:r>
      <w:r w:rsidRPr="00330429">
        <w:rPr>
          <w:rFonts w:ascii="Times New Roman" w:eastAsia="DengXian" w:hAnsi="Times New Roman" w:cs="Times New Roman"/>
          <w:sz w:val="24"/>
          <w:szCs w:val="24"/>
        </w:rPr>
        <w:t xml:space="preserve"> to 1167 cm</w:t>
      </w:r>
      <w:r w:rsidRPr="00330429">
        <w:rPr>
          <w:rFonts w:ascii="Times New Roman" w:eastAsia="DengXian" w:hAnsi="Times New Roman" w:cs="Times New Roman"/>
          <w:sz w:val="24"/>
          <w:szCs w:val="24"/>
          <w:vertAlign w:val="superscript"/>
        </w:rPr>
        <w:t>-1</w:t>
      </w:r>
      <w:r w:rsidRPr="00330429">
        <w:rPr>
          <w:rFonts w:ascii="Times New Roman" w:eastAsia="DengXian" w:hAnsi="Times New Roman" w:cs="Times New Roman"/>
          <w:sz w:val="24"/>
          <w:szCs w:val="24"/>
        </w:rPr>
        <w:t xml:space="preserve"> (C-O stretch from ester groups), and two new peaks at 1655 cm</w:t>
      </w:r>
      <w:r w:rsidRPr="00330429">
        <w:rPr>
          <w:rFonts w:ascii="Times New Roman" w:eastAsia="DengXian" w:hAnsi="Times New Roman" w:cs="Times New Roman"/>
          <w:sz w:val="24"/>
          <w:szCs w:val="24"/>
          <w:vertAlign w:val="superscript"/>
        </w:rPr>
        <w:t>-1</w:t>
      </w:r>
      <w:r w:rsidRPr="00330429">
        <w:rPr>
          <w:rFonts w:ascii="Times New Roman" w:eastAsia="DengXian" w:hAnsi="Times New Roman" w:cs="Times New Roman"/>
          <w:sz w:val="24"/>
          <w:szCs w:val="24"/>
        </w:rPr>
        <w:t xml:space="preserve"> and 1544 cm</w:t>
      </w:r>
      <w:r w:rsidRPr="00330429">
        <w:rPr>
          <w:rFonts w:ascii="Times New Roman" w:eastAsia="DengXian" w:hAnsi="Times New Roman" w:cs="Times New Roman"/>
          <w:sz w:val="24"/>
          <w:szCs w:val="24"/>
          <w:vertAlign w:val="superscript"/>
        </w:rPr>
        <w:t>-1</w:t>
      </w:r>
      <w:r w:rsidRPr="00330429">
        <w:rPr>
          <w:rFonts w:ascii="Times New Roman" w:eastAsia="DengXian" w:hAnsi="Times New Roman" w:cs="Times New Roman"/>
          <w:sz w:val="24"/>
          <w:szCs w:val="24"/>
        </w:rPr>
        <w:t xml:space="preserve"> (C-O stretch from ester groups) were also observed </w:t>
      </w:r>
      <w:r w:rsidRPr="00330429">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"10.1002/polb.1993.090310601", "ISSN" : "10990488", "abstract" : "A reactive rubber obtained by isocyanation of hydroxyl-terminated polybutadiene was used as toughening agent for an unsaturated polyester resin. Both the isocyanation and the successive reaction between the modified rubber and the polyester were investigated by Fourier-transform infrared spectroscopy (FTIR). Fracture measurements at high and low strain rate were carried out on the cured materials to test their toughness. The failure mechanisms were established by morphological analysis of fractured surfaces, performed by scanning electron microscopy.", "author" : [ { "dropping-particle" : "", "family" : "Martuscelli", "given" : "E.", "non-dropping-particle" : "", "parse-names" : false, "suffix" : "" }, { "dropping-particle" : "", "family" : "P.Musto", "given" : "", "non-dropping-particle" : "", "parse-names" : false, "suffix" : "" }, { "dropping-particle" : "", "family" : "G.Ragosta", "given" : "", "non-dropping-particle" : "", "parse-names" : false, "suffix" : "" }, { "dropping-particle" : "", "family" : "Scarinzi", "given" : "G.", "non-dropping-particle" : "", "parse-names" : false, "suffix" : "" }, { "dropping-particle" : "", "family" : "Bertotti", "given" : "E.", "non-dropping-particle" : "", "parse-names" : false, "suffix" : "" } ], "container-title" : "Journal of Polymer Science Part B: Polymer Physics", "id" : "ITEM-1", "issue" : "6", "issued" : { "date-parts" : [ [ "1993" ] ] }, "page" : "619-632", "title" : "Reactive rubbers as toughening agents for thermoset polyester resins. Molecular analysis by FTIR and fracture behavior of the resulting blends", "type" : "article-journal", "volume" : "31" }, "uris" : [ "http://www.mendeley.com/documents/?uuid=edb81857-4538-4674-8acc-995b6fbfe0fd" ] } ], "mendeley" : { "formattedCitation" : "[252]", "plainTextFormattedCitation" : "[252]", "previouslyFormattedCitation" : "[252]" }, "properties" : {  }, "schema" : "https://github.com/citation-style-language/schema/raw/master/csl-citation.json" }</w:instrText>
      </w:r>
      <w:r w:rsidRPr="00330429">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[252]</w:t>
      </w:r>
      <w:r w:rsidRPr="00330429">
        <w:rPr>
          <w:rFonts w:ascii="Times New Roman" w:eastAsia="DengXian" w:hAnsi="Times New Roman" w:cs="Times New Roman"/>
          <w:sz w:val="24"/>
          <w:szCs w:val="24"/>
        </w:rPr>
        <w:fldChar w:fldCharType="end"/>
      </w:r>
      <w:r w:rsidRPr="00330429">
        <w:rPr>
          <w:rFonts w:ascii="Times New Roman" w:eastAsia="DengXian" w:hAnsi="Times New Roman" w:cs="Times New Roman"/>
          <w:sz w:val="24"/>
          <w:szCs w:val="24"/>
        </w:rPr>
        <w:t>. This implies the further esterification between monomers carried out under vacuum oven at 120 ºC. Meanwhile, the peaks at 1018 cm</w:t>
      </w:r>
      <w:r w:rsidRPr="00330429">
        <w:rPr>
          <w:rFonts w:ascii="Times New Roman" w:eastAsia="DengXian" w:hAnsi="Times New Roman" w:cs="Times New Roman"/>
          <w:sz w:val="24"/>
          <w:szCs w:val="24"/>
          <w:vertAlign w:val="superscript"/>
        </w:rPr>
        <w:t>-1</w:t>
      </w:r>
      <w:r w:rsidRPr="00330429">
        <w:rPr>
          <w:rFonts w:ascii="Times New Roman" w:eastAsia="DengXian" w:hAnsi="Times New Roman" w:cs="Times New Roman"/>
          <w:sz w:val="24"/>
          <w:szCs w:val="24"/>
        </w:rPr>
        <w:t xml:space="preserve"> and 3284 cm</w:t>
      </w:r>
      <w:r w:rsidRPr="00330429">
        <w:rPr>
          <w:rFonts w:ascii="Times New Roman" w:eastAsia="DengXian" w:hAnsi="Times New Roman" w:cs="Times New Roman"/>
          <w:sz w:val="24"/>
          <w:szCs w:val="24"/>
          <w:vertAlign w:val="superscript"/>
        </w:rPr>
        <w:t>-1</w:t>
      </w:r>
      <w:r w:rsidRPr="00330429">
        <w:rPr>
          <w:rFonts w:ascii="Times New Roman" w:eastAsia="DengXian" w:hAnsi="Times New Roman" w:cs="Times New Roman"/>
          <w:sz w:val="24"/>
          <w:szCs w:val="24"/>
        </w:rPr>
        <w:t xml:space="preserve"> are observed from FTIR curve of HBPE, which is attributed to C-O stretch, and O-H stretch from hydroxyl groups. This phenomenon certifies the exist</w:t>
      </w:r>
      <w:r w:rsidR="007A0425">
        <w:rPr>
          <w:rFonts w:ascii="Times New Roman" w:eastAsia="DengXian" w:hAnsi="Times New Roman" w:cs="Times New Roman"/>
          <w:sz w:val="24"/>
          <w:szCs w:val="24"/>
        </w:rPr>
        <w:t>ence</w:t>
      </w:r>
      <w:r w:rsidRPr="00330429">
        <w:rPr>
          <w:rFonts w:ascii="Times New Roman" w:eastAsia="DengXian" w:hAnsi="Times New Roman" w:cs="Times New Roman"/>
          <w:sz w:val="24"/>
          <w:szCs w:val="24"/>
        </w:rPr>
        <w:t xml:space="preserve"> of hydroxyl groups at the end of HBPE, which is in good agreement of the hypothesis that –OH groups could exist on resultant polymers with the functional group ratio beyond 2:3 </w:t>
      </w:r>
      <w:r w:rsidRPr="00330429">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"10.1021/ma047580v", "ISSN" : "00249297", "author" : [ { "dropping-particle" : "", "family" : "Lin", "given" : "Qin", "non-dropping-particle" : "", "parse-names" : false, "suffix" : "" }, { "dropping-particle" : "", "family" : "Long", "given" : "Timothy E.", "non-dropping-particle" : "", "parse-names" : false, "suffix" : "" }, { "dropping-particle" : "", "family" : "Wu", "given" : "Decheng", "non-dropping-particle" : "", "parse-names" : false, "suffix" : "" }, { "dropping-particle" : "", "family" : "Liu", "given" : "Ye", "non-dropping-particle" : "", "parse-names" : false, "suffix" : "" }, { "dropping-particle" : "", "family" : "Chen", "given" : "Ling", "non-dropping-particle" : "", "parse-names" : false, "suffix" : "" }, { "dropping-particle" : "Bin", "family" : "He", "given" : "Chao", "non-dropping-particle" : "", "parse-names" : false, "suffix" : "" }, { "dropping-particle" : "", "family" : "Chung", "given" : "Tai Shung", "non-dropping-particle" : "", "parse-names" : false, "suffix" : "" }, { "dropping-particle" : "", "family" : "Goh", "given" : "Suat Hong", "non-dropping-particle" : "", "parse-names" : false, "suffix" : "" }, { "dropping-particle" : "", "family" : "Lin", "given" : "Qin", "non-dropping-particle" : "", "parse-names" : false, "suffix" : "" }, { "dropping-particle" : "", "family" : "Long", "given" : "Timothy E.", "non-dropping-particle" : "", "parse-names" : false, "suffix" : "" } ], "container-title" : "Macromolecules", "id" : "ITEM-1", "issued" : { "date-parts" : [ [ "2003" ] ] }, "page" : "9809-9816", "title" : "polymerization of A2 with B3 monomers: a facile approach to hyperbranched poly(aryl ester)s", "type" : "article-journal", "volume" : "36" }, "uris" : [ "http://www.mendeley.com/documents/?uuid=8f1466b8-73bc-42a2-94d6-9bc841c5a221" ] } ], "mendeley" : { "formattedCitation" : "[118]", "plainTextFormattedCitation" : "[118]", "previouslyFormattedCitation" : "[118]" }, "properties" : {  }, "schema" : "https://github.com/citation-style-language/schema/raw/master/csl-citation.json" }</w:instrText>
      </w:r>
      <w:r w:rsidRPr="00330429">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[118]</w:t>
      </w:r>
      <w:r w:rsidRPr="00330429">
        <w:rPr>
          <w:rFonts w:ascii="Times New Roman" w:eastAsia="DengXian" w:hAnsi="Times New Roman" w:cs="Times New Roman"/>
          <w:sz w:val="24"/>
          <w:szCs w:val="24"/>
        </w:rPr>
        <w:fldChar w:fldCharType="end"/>
      </w:r>
      <w:r w:rsidRPr="00330429">
        <w:rPr>
          <w:rFonts w:ascii="Times New Roman" w:eastAsia="DengXian" w:hAnsi="Times New Roman" w:cs="Times New Roman"/>
          <w:sz w:val="24"/>
          <w:szCs w:val="24"/>
        </w:rPr>
        <w:t xml:space="preserve"> and will also be discussed in NMR analysis part.</w:t>
      </w:r>
    </w:p>
    <w:p w14:paraId="0960AE93" w14:textId="77777777" w:rsidR="006F38AE" w:rsidRPr="001A5452" w:rsidRDefault="006F38AE" w:rsidP="006F38AE">
      <w:pPr>
        <w:spacing w:after="0" w:line="480" w:lineRule="auto"/>
        <w:ind w:left="90" w:firstLine="630"/>
        <w:contextualSpacing/>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32F24773" wp14:editId="086BBCDA">
            <wp:extent cx="5248275" cy="703019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54344" cy="7038324"/>
                    </a:xfrm>
                    <a:prstGeom prst="rect">
                      <a:avLst/>
                    </a:prstGeom>
                    <a:noFill/>
                  </pic:spPr>
                </pic:pic>
              </a:graphicData>
            </a:graphic>
          </wp:inline>
        </w:drawing>
      </w:r>
    </w:p>
    <w:p w14:paraId="5D15F094" w14:textId="42F09888" w:rsidR="006F38AE" w:rsidRPr="001A5452" w:rsidRDefault="005128D5" w:rsidP="0065721F">
      <w:pPr>
        <w:pStyle w:val="Caption"/>
        <w:jc w:val="center"/>
        <w:rPr>
          <w:rFonts w:eastAsia="DengXian" w:cs="Times New Roman"/>
          <w:szCs w:val="24"/>
        </w:rPr>
      </w:pPr>
      <w:bookmarkStart w:id="243" w:name="_Toc502662561"/>
      <w:bookmarkStart w:id="244" w:name="_Toc502662673"/>
      <w:bookmarkStart w:id="245" w:name="_Toc518823424"/>
      <w:r>
        <w:t xml:space="preserve">Figure </w:t>
      </w:r>
      <w:r w:rsidR="002C5D79">
        <w:t>6</w:t>
      </w:r>
      <w:r>
        <w:t>.</w:t>
      </w:r>
      <w:r w:rsidR="0065721F" w:rsidRPr="005128D5">
        <w:fldChar w:fldCharType="begin"/>
      </w:r>
      <w:r w:rsidR="0065721F" w:rsidRPr="005128D5">
        <w:instrText xml:space="preserve"> SEQ Figure_6. \* ARABIC </w:instrText>
      </w:r>
      <w:r w:rsidR="0065721F" w:rsidRPr="005128D5">
        <w:fldChar w:fldCharType="separate"/>
      </w:r>
      <w:r w:rsidR="00551ED9" w:rsidRPr="005128D5">
        <w:rPr>
          <w:noProof/>
        </w:rPr>
        <w:t>8</w:t>
      </w:r>
      <w:r w:rsidR="0065721F" w:rsidRPr="005128D5">
        <w:fldChar w:fldCharType="end"/>
      </w:r>
      <w:r w:rsidR="006F38AE" w:rsidRPr="005128D5">
        <w:rPr>
          <w:rFonts w:eastAsia="DengXian" w:cs="Times New Roman"/>
          <w:szCs w:val="24"/>
        </w:rPr>
        <w:t>.</w:t>
      </w:r>
      <w:r w:rsidR="006F38AE" w:rsidRPr="001A5452">
        <w:rPr>
          <w:rFonts w:eastAsia="DengXian" w:cs="Times New Roman"/>
          <w:szCs w:val="24"/>
        </w:rPr>
        <w:t xml:space="preserve"> FTIR spectra of monomers, HBPE pre-polymer and HBPE.</w:t>
      </w:r>
      <w:bookmarkEnd w:id="243"/>
      <w:bookmarkEnd w:id="244"/>
      <w:bookmarkEnd w:id="245"/>
    </w:p>
    <w:p w14:paraId="2DBB39EE" w14:textId="77777777" w:rsidR="006F38AE" w:rsidRPr="001A5452" w:rsidRDefault="006F38AE" w:rsidP="006F38AE">
      <w:pPr>
        <w:spacing w:after="0" w:line="480" w:lineRule="auto"/>
        <w:ind w:firstLine="288"/>
        <w:contextualSpacing/>
        <w:jc w:val="center"/>
        <w:rPr>
          <w:rFonts w:ascii="Times New Roman" w:eastAsia="DengXian" w:hAnsi="Times New Roman" w:cs="Times New Roman"/>
          <w:sz w:val="24"/>
          <w:szCs w:val="24"/>
        </w:rPr>
      </w:pPr>
    </w:p>
    <w:p w14:paraId="02AA22FA" w14:textId="39A88853" w:rsidR="006F38AE" w:rsidRPr="001A5452" w:rsidRDefault="001B3FB7" w:rsidP="00A22DC4">
      <w:pPr>
        <w:pStyle w:val="Heading3"/>
      </w:pPr>
      <w:bookmarkStart w:id="246" w:name="_Toc518823354"/>
      <w:r>
        <w:t>6</w:t>
      </w:r>
      <w:r w:rsidR="00BD1DD2">
        <w:t>.</w:t>
      </w:r>
      <w:r w:rsidR="006F38AE" w:rsidRPr="001A5452">
        <w:t>3.1.5. Water swelling behavior of HBPE</w:t>
      </w:r>
      <w:bookmarkEnd w:id="246"/>
      <w:r w:rsidR="006F38AE" w:rsidRPr="001A5452">
        <w:t xml:space="preserve"> </w:t>
      </w:r>
    </w:p>
    <w:p w14:paraId="540C772F" w14:textId="5A2F75F1" w:rsidR="006F38AE" w:rsidRPr="001A5452" w:rsidRDefault="006F38AE" w:rsidP="006F38AE">
      <w:pPr>
        <w:spacing w:after="0" w:line="480" w:lineRule="auto"/>
        <w:contextualSpacing/>
        <w:jc w:val="both"/>
        <w:rPr>
          <w:rFonts w:ascii="Times New Roman" w:eastAsia="DengXian" w:hAnsi="Times New Roman" w:cs="Times New Roman"/>
        </w:rPr>
      </w:pPr>
      <w:r w:rsidRPr="001A5452">
        <w:rPr>
          <w:rFonts w:ascii="Times New Roman" w:eastAsia="DengXian" w:hAnsi="Times New Roman" w:cs="Times New Roman"/>
          <w:sz w:val="24"/>
          <w:szCs w:val="24"/>
        </w:rPr>
        <w:t>The water absorption behavior of HBPE was studied by water swelling test</w:t>
      </w:r>
      <w:r w:rsidR="008728B8">
        <w:rPr>
          <w:rFonts w:ascii="Times New Roman" w:eastAsia="DengXian" w:hAnsi="Times New Roman" w:cs="Times New Roman"/>
          <w:sz w:val="24"/>
          <w:szCs w:val="24"/>
        </w:rPr>
        <w:t>s</w:t>
      </w:r>
      <w:r w:rsidRPr="001A5452">
        <w:rPr>
          <w:rFonts w:ascii="Times New Roman" w:eastAsia="DengXian" w:hAnsi="Times New Roman" w:cs="Times New Roman"/>
          <w:sz w:val="24"/>
          <w:szCs w:val="24"/>
        </w:rPr>
        <w:t xml:space="preserve">. Two pieces of pure HBPE with different sizes were immersed into distilled water for 4 hours, 12 hours, 24 hours, and 48 hours respectively. The resulted weight changes </w:t>
      </w:r>
      <w:r w:rsidR="00FF5086">
        <w:rPr>
          <w:rFonts w:ascii="Times New Roman" w:eastAsia="DengXian" w:hAnsi="Times New Roman" w:cs="Times New Roman"/>
          <w:sz w:val="24"/>
          <w:szCs w:val="24"/>
        </w:rPr>
        <w:t xml:space="preserve">are </w:t>
      </w:r>
      <w:r w:rsidRPr="001A5452">
        <w:rPr>
          <w:rFonts w:ascii="Times New Roman" w:eastAsia="DengXian" w:hAnsi="Times New Roman" w:cs="Times New Roman"/>
          <w:sz w:val="24"/>
          <w:szCs w:val="24"/>
        </w:rPr>
        <w:t xml:space="preserve">presented in Figure </w:t>
      </w:r>
      <w:r w:rsidR="002C5D79">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9</w:t>
      </w:r>
      <w:r w:rsidRPr="001A5452">
        <w:rPr>
          <w:rFonts w:ascii="Times New Roman" w:eastAsia="DengXian" w:hAnsi="Times New Roman" w:cs="Times New Roman"/>
          <w:sz w:val="24"/>
          <w:szCs w:val="24"/>
        </w:rPr>
        <w:t xml:space="preserve">, in which there is no difference </w:t>
      </w:r>
      <w:r w:rsidR="00FF5086">
        <w:rPr>
          <w:rFonts w:ascii="Times New Roman" w:eastAsia="DengXian" w:hAnsi="Times New Roman" w:cs="Times New Roman"/>
          <w:sz w:val="24"/>
          <w:szCs w:val="24"/>
        </w:rPr>
        <w:t xml:space="preserve">in </w:t>
      </w:r>
      <w:r w:rsidRPr="001A5452">
        <w:rPr>
          <w:rFonts w:ascii="Times New Roman" w:eastAsia="DengXian" w:hAnsi="Times New Roman" w:cs="Times New Roman"/>
          <w:sz w:val="24"/>
          <w:szCs w:val="24"/>
        </w:rPr>
        <w:t xml:space="preserve">the weight even after 48 hours immersed in water, indicating the excellent  water resistance of HBPE. </w:t>
      </w:r>
    </w:p>
    <w:p w14:paraId="7D451FEA" w14:textId="77777777" w:rsidR="006F38AE" w:rsidRPr="001A5452" w:rsidRDefault="006F38AE" w:rsidP="006F38AE">
      <w:pPr>
        <w:spacing w:after="0" w:line="480" w:lineRule="auto"/>
        <w:ind w:firstLine="288"/>
        <w:contextualSpacing/>
        <w:jc w:val="center"/>
        <w:rPr>
          <w:rFonts w:ascii="Times New Roman" w:eastAsia="DengXian" w:hAnsi="Times New Roman" w:cs="Times New Roman"/>
        </w:rPr>
      </w:pPr>
      <w:r w:rsidRPr="001A5452">
        <w:rPr>
          <w:rFonts w:ascii="Times New Roman" w:eastAsia="DengXian" w:hAnsi="Times New Roman" w:cs="Times New Roman"/>
          <w:noProof/>
          <w:lang w:val="en-GB"/>
        </w:rPr>
        <w:drawing>
          <wp:inline distT="0" distB="0" distL="0" distR="0" wp14:anchorId="43AF80C0" wp14:editId="4D673B1E">
            <wp:extent cx="4600575" cy="321575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07314" cy="3220465"/>
                    </a:xfrm>
                    <a:prstGeom prst="rect">
                      <a:avLst/>
                    </a:prstGeom>
                    <a:noFill/>
                  </pic:spPr>
                </pic:pic>
              </a:graphicData>
            </a:graphic>
          </wp:inline>
        </w:drawing>
      </w:r>
    </w:p>
    <w:p w14:paraId="5FE63CAE" w14:textId="3DA28961" w:rsidR="006F38AE" w:rsidRPr="001A5452" w:rsidRDefault="005128D5" w:rsidP="0065721F">
      <w:pPr>
        <w:pStyle w:val="Caption"/>
        <w:jc w:val="center"/>
        <w:rPr>
          <w:rFonts w:eastAsia="DengXian" w:cs="Times New Roman"/>
          <w:szCs w:val="24"/>
        </w:rPr>
      </w:pPr>
      <w:bookmarkStart w:id="247" w:name="_Toc502662562"/>
      <w:bookmarkStart w:id="248" w:name="_Toc502662674"/>
      <w:bookmarkStart w:id="249" w:name="_Toc518823425"/>
      <w:r>
        <w:t>Figure</w:t>
      </w:r>
      <w:r w:rsidR="002C5D79">
        <w:t xml:space="preserve"> 6</w:t>
      </w:r>
      <w:r>
        <w:t>.</w:t>
      </w:r>
      <w:r w:rsidR="0065721F" w:rsidRPr="005128D5">
        <w:fldChar w:fldCharType="begin"/>
      </w:r>
      <w:r w:rsidR="0065721F" w:rsidRPr="005128D5">
        <w:instrText xml:space="preserve"> SEQ Figure_6. \* ARABIC </w:instrText>
      </w:r>
      <w:r w:rsidR="0065721F" w:rsidRPr="005128D5">
        <w:fldChar w:fldCharType="separate"/>
      </w:r>
      <w:r w:rsidR="00551ED9" w:rsidRPr="005128D5">
        <w:rPr>
          <w:noProof/>
        </w:rPr>
        <w:t>9</w:t>
      </w:r>
      <w:r w:rsidR="0065721F" w:rsidRPr="005128D5">
        <w:fldChar w:fldCharType="end"/>
      </w:r>
      <w:r w:rsidR="006F38AE" w:rsidRPr="005128D5">
        <w:rPr>
          <w:rFonts w:eastAsia="DengXian" w:cs="Times New Roman"/>
          <w:szCs w:val="24"/>
        </w:rPr>
        <w:t>.</w:t>
      </w:r>
      <w:r w:rsidR="006F38AE" w:rsidRPr="001A5452">
        <w:rPr>
          <w:rFonts w:eastAsia="DengXian" w:cs="Times New Roman"/>
          <w:szCs w:val="24"/>
        </w:rPr>
        <w:t xml:space="preserve"> Water swelling behavior of HBPE</w:t>
      </w:r>
      <w:bookmarkEnd w:id="247"/>
      <w:bookmarkEnd w:id="248"/>
      <w:bookmarkEnd w:id="249"/>
    </w:p>
    <w:p w14:paraId="1EB2D5FA" w14:textId="77777777" w:rsidR="006F38AE" w:rsidRPr="001A5452" w:rsidRDefault="006F38AE" w:rsidP="006F38AE">
      <w:pPr>
        <w:spacing w:after="0" w:line="480" w:lineRule="auto"/>
        <w:ind w:firstLine="288"/>
        <w:contextualSpacing/>
        <w:jc w:val="center"/>
        <w:rPr>
          <w:rFonts w:ascii="Times New Roman" w:eastAsia="DengXian" w:hAnsi="Times New Roman" w:cs="Times New Roman"/>
          <w:sz w:val="24"/>
          <w:szCs w:val="24"/>
        </w:rPr>
      </w:pPr>
    </w:p>
    <w:p w14:paraId="4DC78779" w14:textId="5A0C4701" w:rsidR="006F38AE" w:rsidRPr="00F93455" w:rsidRDefault="002C5D79" w:rsidP="006F38AE">
      <w:pPr>
        <w:keepNext/>
        <w:keepLines/>
        <w:spacing w:after="0" w:line="480" w:lineRule="auto"/>
        <w:jc w:val="both"/>
        <w:outlineLvl w:val="1"/>
        <w:rPr>
          <w:rFonts w:ascii="Times New Roman" w:eastAsia="DengXian Light" w:hAnsi="Times New Roman" w:cs="Times New Roman"/>
          <w:sz w:val="24"/>
          <w:szCs w:val="26"/>
        </w:rPr>
      </w:pPr>
      <w:bookmarkStart w:id="250" w:name="_Toc518823355"/>
      <w:r>
        <w:rPr>
          <w:rFonts w:ascii="Times New Roman" w:eastAsia="DengXian Light" w:hAnsi="Times New Roman" w:cs="Times New Roman"/>
          <w:sz w:val="24"/>
          <w:szCs w:val="26"/>
        </w:rPr>
        <w:t>6</w:t>
      </w:r>
      <w:r w:rsidR="00BD1DD2">
        <w:rPr>
          <w:rFonts w:ascii="Times New Roman" w:eastAsia="DengXian Light" w:hAnsi="Times New Roman" w:cs="Times New Roman"/>
          <w:sz w:val="24"/>
          <w:szCs w:val="26"/>
        </w:rPr>
        <w:t>.</w:t>
      </w:r>
      <w:r w:rsidR="006F38AE" w:rsidRPr="00FF5086">
        <w:rPr>
          <w:rFonts w:ascii="Times New Roman" w:eastAsia="DengXian Light" w:hAnsi="Times New Roman" w:cs="Times New Roman"/>
          <w:sz w:val="24"/>
          <w:szCs w:val="26"/>
        </w:rPr>
        <w:t>3.2</w:t>
      </w:r>
      <w:r w:rsidR="006F38AE" w:rsidRPr="00F93455">
        <w:rPr>
          <w:rFonts w:ascii="Times New Roman" w:eastAsia="DengXian Light" w:hAnsi="Times New Roman" w:cs="Times New Roman"/>
          <w:sz w:val="24"/>
          <w:szCs w:val="26"/>
        </w:rPr>
        <w:t>. Characterization of poly (p-phenylenediamine)-reduced GO hybrid (P-rGO).</w:t>
      </w:r>
      <w:bookmarkEnd w:id="250"/>
    </w:p>
    <w:p w14:paraId="7AA51AE0" w14:textId="5D9ED2C1" w:rsidR="006F38AE" w:rsidRPr="001A5452" w:rsidRDefault="006F38AE" w:rsidP="006F38AE">
      <w:pPr>
        <w:spacing w:after="0" w:line="480" w:lineRule="auto"/>
        <w:contextualSpacing/>
        <w:jc w:val="both"/>
        <w:rPr>
          <w:rFonts w:ascii="Times New Roman" w:eastAsia="DengXian" w:hAnsi="Times New Roman" w:cs="Times New Roman"/>
          <w:sz w:val="24"/>
          <w:szCs w:val="24"/>
        </w:rPr>
      </w:pPr>
      <w:r w:rsidRPr="00F93455">
        <w:rPr>
          <w:rFonts w:ascii="Times New Roman" w:eastAsia="DengXian" w:hAnsi="Times New Roman" w:cs="Times New Roman"/>
          <w:sz w:val="24"/>
          <w:szCs w:val="24"/>
        </w:rPr>
        <w:t xml:space="preserve">GO can be dispersed well in water due to its hydroxyl, epoxy and carboxyl groups at the basal plane and edges. However, the dispersion of reduced GO shows bad stability in both water and organic solvents. P-rGO, prepared through the reduction of GO and polymerization of PPD simultaneously in one pot method, presented </w:t>
      </w:r>
      <w:r w:rsidR="008B16EE" w:rsidRPr="008B16EE">
        <w:rPr>
          <w:rFonts w:ascii="Times New Roman" w:eastAsia="DengXian" w:hAnsi="Times New Roman" w:cs="Times New Roman"/>
          <w:sz w:val="24"/>
          <w:szCs w:val="24"/>
        </w:rPr>
        <w:t>a st</w:t>
      </w:r>
      <w:r w:rsidRPr="008B16EE">
        <w:rPr>
          <w:rFonts w:ascii="Times New Roman" w:eastAsia="DengXian" w:hAnsi="Times New Roman" w:cs="Times New Roman"/>
          <w:sz w:val="24"/>
          <w:szCs w:val="24"/>
        </w:rPr>
        <w:t xml:space="preserve">able dispersion in ethanol for months. In order to study the mechanism, FTIR spectra of PPD, poly-PPD, GO and P-rGO are given in Figure </w:t>
      </w:r>
      <w:r w:rsidR="002C5D79">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10</w:t>
      </w:r>
      <w:r w:rsidRPr="008B16EE">
        <w:rPr>
          <w:rFonts w:ascii="Times New Roman" w:eastAsia="DengXian" w:hAnsi="Times New Roman" w:cs="Times New Roman"/>
          <w:sz w:val="24"/>
          <w:szCs w:val="24"/>
        </w:rPr>
        <w:t>. From the FTIR spectrum of PPD, three strong bands at 3373 cm</w:t>
      </w:r>
      <w:r w:rsidRPr="008B16EE">
        <w:rPr>
          <w:rFonts w:ascii="Times New Roman" w:eastAsia="DengXian" w:hAnsi="Times New Roman" w:cs="Times New Roman"/>
          <w:sz w:val="24"/>
          <w:szCs w:val="24"/>
          <w:vertAlign w:val="superscript"/>
        </w:rPr>
        <w:t>-1</w:t>
      </w:r>
      <w:r w:rsidRPr="008B16EE">
        <w:rPr>
          <w:rFonts w:ascii="Times New Roman" w:eastAsia="DengXian" w:hAnsi="Times New Roman" w:cs="Times New Roman"/>
          <w:sz w:val="24"/>
          <w:szCs w:val="24"/>
        </w:rPr>
        <w:t>, 3299 cm</w:t>
      </w:r>
      <w:r w:rsidRPr="008B16EE">
        <w:rPr>
          <w:rFonts w:ascii="Times New Roman" w:eastAsia="DengXian" w:hAnsi="Times New Roman" w:cs="Times New Roman"/>
          <w:sz w:val="24"/>
          <w:szCs w:val="24"/>
          <w:vertAlign w:val="superscript"/>
        </w:rPr>
        <w:t>-1</w:t>
      </w:r>
      <w:r w:rsidRPr="008B16EE">
        <w:rPr>
          <w:rFonts w:ascii="Times New Roman" w:eastAsia="DengXian" w:hAnsi="Times New Roman" w:cs="Times New Roman"/>
          <w:sz w:val="24"/>
          <w:szCs w:val="24"/>
        </w:rPr>
        <w:t>,</w:t>
      </w:r>
      <w:r w:rsidR="00D31BCD">
        <w:rPr>
          <w:rFonts w:ascii="Times New Roman" w:eastAsia="DengXian" w:hAnsi="Times New Roman" w:cs="Times New Roman"/>
          <w:sz w:val="24"/>
          <w:szCs w:val="24"/>
        </w:rPr>
        <w:t xml:space="preserve"> and</w:t>
      </w:r>
      <w:r w:rsidRPr="00401CA2">
        <w:rPr>
          <w:rFonts w:ascii="Times New Roman" w:eastAsia="DengXian" w:hAnsi="Times New Roman" w:cs="Times New Roman"/>
          <w:sz w:val="24"/>
          <w:szCs w:val="24"/>
        </w:rPr>
        <w:t xml:space="preserve"> 3197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are assigned to N-H stretch vibration of NH</w:t>
      </w:r>
      <w:r w:rsidRPr="00401CA2">
        <w:rPr>
          <w:rFonts w:ascii="Times New Roman" w:eastAsia="DengXian" w:hAnsi="Times New Roman" w:cs="Times New Roman"/>
          <w:sz w:val="24"/>
          <w:szCs w:val="24"/>
          <w:vertAlign w:val="subscript"/>
        </w:rPr>
        <w:t>2</w:t>
      </w:r>
      <w:r w:rsidRPr="00401CA2">
        <w:rPr>
          <w:rFonts w:ascii="Times New Roman" w:eastAsia="DengXian" w:hAnsi="Times New Roman" w:cs="Times New Roman"/>
          <w:sz w:val="24"/>
          <w:szCs w:val="24"/>
        </w:rPr>
        <w:t xml:space="preserve"> groups. Peak at 1628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is related the aromatic C=C stretch. Peak at 1510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is due to the stretching of benzene ring skeleton vibration. Three peaks at 1258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1127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and 1309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are attributed to the C-N stretch vibration. Peak at 821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is related to the aromatic ring C-H out of plane deformation vibration of benzene rings </w:t>
      </w:r>
      <w:r w:rsidRPr="00401CA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"10.1021/am201654b", "ISSN" : "1944-8244, 1944-8252", "PMID" : "22422027", "abstract" : "A facile and efficient approach was developed to simultaneously functionalize and reduce graphene oxide (GO) with p-phenylene diamine (PPD) by simple refluxing. This was possible by the nucleophilic substitution reaction of epoxide groups of GO with amine groups of PPD aided by NH(3) solution. As a consequence, electrical conductivity of GO-PPD increased to 2.1 \u00d7 10(2) S/m, which was nearly 9 orders of magnitude higher than that of GO. Additionally, after the incorporation of GO-PPD in polystyrene (PS), the composites exhibited a sharp transition from electrically insulating to conducting behavior with a low percolation threshold of ~0.34 vol %, which was attributed to the improved dispersion and the reduction of GO-PPD. Thermal stability of the PS/GO-PPD composite was also ~8 \u00b0C higher than that of PS.", "author" : [ { "dropping-particle" : "", "family" : "Ma", "given" : "Hui-Ling", "non-dropping-particle" : "", "parse-names" : false, "suffix" : "" }, { "dropping-particle" : "", "family" : "Zhang", "given" : "Hao-Bin", "non-dropping-particle" : "", "parse-names" : false, "suffix" : "" }, { "dropping-particle" : "", "family" : "Hu", "given" : "Qi-Hui", "non-dropping-particle" : "", "parse-names" : false, "suffix" : "" }, { "dropping-particle" : "", "family" : "Li", "given" : "Wen-Juan", "non-dropping-particle" : "", "parse-names" : false, "suffix" : "" }, { "dropping-particle" : "", "family" : "Jiang", "given" : "Zhi-Guo", "non-dropping-particle" : "", "parse-names" : false, "suffix" : "" }, { "dropping-particle" : "", "family" : "Yu", "given" : "Zhong-Zhen", "non-dropping-particle" : "", "parse-names" : false, "suffix" : "" }, { "dropping-particle" : "", "family" : "Dasari", "given" : "Aravind", "non-dropping-particle" : "", "parse-names" : false, "suffix" : "" } ], "container-title" : "ACS Applied Materials &amp; Interfaces", "id" : "ITEM-1", "issued" : { "date-parts" : [ [ "2012" ] ] }, "page" : "1948-1953", "title" : "Functionalization and Reduction of Graphene Oxide with p -Phenylene Diamine for Electrically Conductive and Thermally Stable Polystyrene Composites", "type" : "article-journal", "volume" : "4" }, "uris" : [ "http://www.mendeley.com/documents/?uuid=b65c4788-5b95-47cd-97cb-53a60b47d6eb" ] } ], "mendeley" : { "formattedCitation" : "[253]", "plainTextFormattedCitation" : "[253]", "previouslyFormattedCitation" : "[253]" }, "properties" : {  }, "schema" : "https://github.com/citation-style-language/schema/raw/master/csl-citation.json" }</w:instrText>
      </w:r>
      <w:r w:rsidRPr="00401CA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[253]</w:t>
      </w:r>
      <w:r w:rsidRPr="00401CA2">
        <w:rPr>
          <w:rFonts w:ascii="Times New Roman" w:eastAsia="DengXian" w:hAnsi="Times New Roman" w:cs="Times New Roman"/>
          <w:sz w:val="24"/>
          <w:szCs w:val="24"/>
        </w:rPr>
        <w:fldChar w:fldCharType="end"/>
      </w:r>
      <w:r w:rsidRPr="00401CA2">
        <w:rPr>
          <w:rFonts w:ascii="Times New Roman" w:eastAsia="DengXian" w:hAnsi="Times New Roman" w:cs="Times New Roman"/>
          <w:sz w:val="24"/>
          <w:szCs w:val="24"/>
        </w:rPr>
        <w:t>. According to the FTIR curve of P-rGO, N-H stretching vibration of PPD at 3373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3299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w:t>
      </w:r>
      <w:r w:rsidR="00D31BCD">
        <w:rPr>
          <w:rFonts w:ascii="Times New Roman" w:eastAsia="DengXian" w:hAnsi="Times New Roman" w:cs="Times New Roman"/>
          <w:sz w:val="24"/>
          <w:szCs w:val="24"/>
        </w:rPr>
        <w:t xml:space="preserve"> and</w:t>
      </w:r>
      <w:r w:rsidRPr="00FF5086">
        <w:rPr>
          <w:rFonts w:ascii="Times New Roman" w:eastAsia="DengXian" w:hAnsi="Times New Roman" w:cs="Times New Roman"/>
          <w:sz w:val="24"/>
          <w:szCs w:val="24"/>
        </w:rPr>
        <w:t xml:space="preserve"> </w:t>
      </w:r>
      <w:r w:rsidRPr="00401CA2">
        <w:rPr>
          <w:rFonts w:ascii="Times New Roman" w:eastAsia="DengXian" w:hAnsi="Times New Roman" w:cs="Times New Roman"/>
          <w:sz w:val="24"/>
          <w:szCs w:val="24"/>
        </w:rPr>
        <w:t>3197 cm</w:t>
      </w:r>
      <w:r w:rsidRPr="00401CA2">
        <w:rPr>
          <w:rFonts w:ascii="Times New Roman" w:eastAsia="DengXian" w:hAnsi="Times New Roman" w:cs="Times New Roman"/>
          <w:sz w:val="24"/>
          <w:szCs w:val="24"/>
          <w:vertAlign w:val="superscript"/>
        </w:rPr>
        <w:t xml:space="preserve">-1 </w:t>
      </w:r>
      <w:r w:rsidRPr="00401CA2">
        <w:rPr>
          <w:rFonts w:ascii="Times New Roman" w:eastAsia="DengXian" w:hAnsi="Times New Roman" w:cs="Times New Roman"/>
          <w:sz w:val="24"/>
          <w:szCs w:val="24"/>
        </w:rPr>
        <w:t>shift</w:t>
      </w:r>
      <w:r w:rsidR="00D31BCD">
        <w:rPr>
          <w:rFonts w:ascii="Times New Roman" w:eastAsia="DengXian" w:hAnsi="Times New Roman" w:cs="Times New Roman"/>
          <w:sz w:val="24"/>
          <w:szCs w:val="24"/>
        </w:rPr>
        <w:t>s</w:t>
      </w:r>
      <w:r w:rsidRPr="00401CA2">
        <w:rPr>
          <w:rFonts w:ascii="Times New Roman" w:eastAsia="DengXian" w:hAnsi="Times New Roman" w:cs="Times New Roman"/>
          <w:sz w:val="24"/>
          <w:szCs w:val="24"/>
        </w:rPr>
        <w:t xml:space="preserve"> to 3373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3323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w:t>
      </w:r>
      <w:r w:rsidR="00D31BCD">
        <w:rPr>
          <w:rFonts w:ascii="Times New Roman" w:eastAsia="DengXian" w:hAnsi="Times New Roman" w:cs="Times New Roman"/>
          <w:sz w:val="24"/>
          <w:szCs w:val="24"/>
        </w:rPr>
        <w:t xml:space="preserve">and </w:t>
      </w:r>
      <w:r w:rsidRPr="00401CA2">
        <w:rPr>
          <w:rFonts w:ascii="Times New Roman" w:eastAsia="DengXian" w:hAnsi="Times New Roman" w:cs="Times New Roman"/>
          <w:sz w:val="24"/>
          <w:szCs w:val="24"/>
        </w:rPr>
        <w:t>3208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C-N stretching vibration peaks of PPD at 1258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1127 cm</w:t>
      </w:r>
      <w:r w:rsidRPr="00401CA2">
        <w:rPr>
          <w:rFonts w:ascii="Times New Roman" w:eastAsia="DengXian" w:hAnsi="Times New Roman" w:cs="Times New Roman"/>
          <w:sz w:val="24"/>
          <w:szCs w:val="24"/>
          <w:vertAlign w:val="superscript"/>
        </w:rPr>
        <w:t xml:space="preserve">-1 </w:t>
      </w:r>
      <w:r w:rsidRPr="00401CA2">
        <w:rPr>
          <w:rFonts w:ascii="Times New Roman" w:eastAsia="DengXian" w:hAnsi="Times New Roman" w:cs="Times New Roman"/>
          <w:sz w:val="24"/>
          <w:szCs w:val="24"/>
        </w:rPr>
        <w:t>shift to 1263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and 1125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w:t>
      </w:r>
      <w:r w:rsidR="00D31BCD">
        <w:rPr>
          <w:rFonts w:ascii="Times New Roman" w:eastAsia="DengXian" w:hAnsi="Times New Roman" w:cs="Times New Roman"/>
          <w:sz w:val="24"/>
          <w:szCs w:val="24"/>
        </w:rPr>
        <w:t xml:space="preserve"> </w:t>
      </w:r>
      <w:r w:rsidRPr="00401CA2">
        <w:rPr>
          <w:rFonts w:ascii="Times New Roman" w:eastAsia="DengXian" w:hAnsi="Times New Roman" w:cs="Times New Roman"/>
          <w:sz w:val="24"/>
          <w:szCs w:val="24"/>
        </w:rPr>
        <w:t>Aromatic C-H stretch vibration peak of PPD at 1628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shift</w:t>
      </w:r>
      <w:r w:rsidR="00D31BCD">
        <w:rPr>
          <w:rFonts w:ascii="Times New Roman" w:eastAsia="DengXian" w:hAnsi="Times New Roman" w:cs="Times New Roman"/>
          <w:sz w:val="24"/>
          <w:szCs w:val="24"/>
        </w:rPr>
        <w:t>s</w:t>
      </w:r>
      <w:r w:rsidRPr="00401CA2">
        <w:rPr>
          <w:rFonts w:ascii="Times New Roman" w:eastAsia="DengXian" w:hAnsi="Times New Roman" w:cs="Times New Roman"/>
          <w:sz w:val="24"/>
          <w:szCs w:val="24"/>
        </w:rPr>
        <w:t xml:space="preserve"> to 1633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In addition, the new peak of poly-PPD is observed at 1577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which is assigned to C=N from quinoid. All these indicate a poly-PPD was copolymerized </w:t>
      </w:r>
      <w:r w:rsidRPr="00401CA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"10.1016/j.compscitech.2015.11.010", "ISBN" : "0266-3538", "ISSN" : "02663538", "abstract" : "Poly(p-phenylenediamine)/graphene oxide nanoplatelet (PPDA/GONP) composites were synthesized via in situ oxidation polymerization of p-phenylenediamine (PDA) in graphene oxide nanoplatelets (GONPs) suspension for potential electrorheological (ER) fluid applications. Initially, the mass production of GONPs can be achieved through a simple and green ball milling process of graphite with dry ice. The versatile synthesis methods and multifunctionality of poly(p-phenylenediamine) (PPDA) enable the wide potential applications of PPDA/GONP composites. The \u03c0-\u03c0 stacking interaction between GONP and PDA is a key factor to fabricate PPDA/GONP composite successfully. The ER characteristics of both PPDA/GONP composites and PPDA in silicone oil medium were examined using a rotational rheometer equipped with a high voltage generator. The resultant PPDA/GONP composites exhibited improved typical ER behavior compared with that of pure PPDA, providing a new potential application of the PPDA/GONP composites as an intelligent material.", "author" : [ { "dropping-particle" : "", "family" : "Cao", "given" : "Yanlin", "non-dropping-particle" : "", "parse-names" : false, "suffix" : "" }, { "dropping-particle" : "", "family" : "Choi", "given" : "Hyoung Jin", "non-dropping-particle" : "", "parse-names" : false, "suffix" : "" }, { "dropping-particle" : "", "family" : "Zhang", "given" : "Wen Ling", "non-dropping-particle" : "", "parse-names" : false, "suffix" : "" }, { "dropping-particle" : "", "family" : "Wang", "given" : "Baoxiang", "non-dropping-particle" : "", "parse-names" : false, "suffix" : "" }, { "dropping-particle" : "", "family" : "Hao", "given" : "Chuncheng", "non-dropping-particle" : "", "parse-names" : false, "suffix" : "" }, { "dropping-particle" : "", "family" : "Liu", "given" : "Jingquan", "non-dropping-particle" : "", "parse-names" : false, "suffix" : "" } ], "container-title" : "Composites Science and Technology", "id" : "ITEM-1", "issued" : { "date-parts" : [ [ "2016" ] ] }, "page" : "36-41", "publisher" : "Elsevier Ltd", "title" : "Eco-friendly mass production of poly(p-phenylenediamine)/graphene oxide nanoplatelet composites and their electrorheological characteristics", "type" : "article-journal", "volume" : "122" }, "uris" : [ "http://www.mendeley.com/documents/?uuid=6765f7d4-2bdf-4c7d-9057-71e4d68635d2" ] }, { "id" : "ITEM-2", "itemData" : { "DOI" : "10.1039/c1jm10169b", "ISBN" : "0959-9428\\r1364-5501", "ISSN" : "0959-9428", "abstract" : "In this paper, we report a novel method for the shape-controlled synthesis of poly(p-phenylenediamine) (PpPD) polymer microstructures using a UV lamp as the oxidation energy source and poly(N-vinylpyrrolidone) (PVP) as the surfactant. By adjusting the synthetic conditions, a series of well-defined and uniform PpPD microstructures have been successfully prepared. The results demonstrate that although PVP plays an important role in controlling the morphology of such polymer particles, it has no influence on the intrinsic polymer structures. The as-obtained PpPD polymer microstructures show excellent adsorption ability in the removal of lead ions, which might be very useful in many practical applications, including water purification and waste treatment.", "author" : [ { "dropping-particle" : "", "family" : "Min", "given" : "Yu-Lin", "non-dropping-particle" : "", "parse-names" : false, "suffix" : "" }, { "dropping-particle" : "", "family" : "Wang", "given" : "Tao", "non-dropping-particle" : "", "parse-names" : false, "suffix" : "" }, { "dropping-particle" : "", "family" : "Zhang", "given" : "Yuan-Guang", "non-dropping-particle" : "", "parse-names" : false, "suffix" : "" }, { "dropping-particle" : "", "family" : "Chen", "given" : "You-Cun", "non-dropping-particle" : "", "parse-names" : false, "suffix" : "" } ], "container-title" : "Journal of Materials Chemistry", "id" : "ITEM-2", "issue" : "18", "issued" : { "date-parts" : [ [ "2011" ] ] }, "page" : "6683", "title" : "The synthesis of poly(p-phenylenediamine) microstructures without oxidant and their effective adsorption of lead ions", "type" : "article-journal", "volume" : "21" }, "uris" : [ "http://www.mendeley.com/documents/?uuid=6db25cec-c088-4990-8f9c-e3c4cb1f0d1a" ] }, { "id" : "ITEM-3", "itemData" : { "DOI" : "10.1039/C4RA06249C", "ISSN" : "2046-2069", "abstract" : "In the present work, the conductive nanocomposite of poly(p-phenylenediamine)(PpPD)/exfoliated graphene nanoplatelets (GNPs) are synthesized via in situ polymerization under acidic conditions by doping different percentages of GNPs. The interactions between PpPD and GNPs are investigated by utilizing infrared spectra (FTIR), transmission electron microscopy (TEM), scanning electron microscopy (SEM), UV-visible, Raman spectra, thermogravimetric analysis (TGA) and X-ray diffraction (XRD). It is observed that the reticular strip-like PpPD are adsorbed on the surface of the GNPs, which can be fabricated by loading different percentages of GNPs. Thermoelectric properties (electrical conductivity, Seebeck coefficient and thermal conductivity) of pellets obtained by cold pressing are determined at room temperature. Compared with pure PpPD, it is observed that the presence of GNPs is an essential component for the improvement of the thermoelectric properties of the resulting nanocomposite, which reach the maximum of 193.245 S m\u22121 and 58 \u03bcV K\u22121, while the thermal conductivity of the composites relatively maintains low values even with high GNPs content, resulting in the increase in the dimensionless figure of merit (ZT). The highest ZT value of 3.63 \u00d7 10\u22124 has been obtained for the composite containing 50 wt% GNPs at 55 \u00b0C.", "author" : [ { "dropping-particle" : "", "family" : "Liu", "given" : "Fangzhuan", "non-dropping-particle" : "", "parse-names" : false, "suffix" : "" }, { "dropping-particle" : "", "family" : "Wang", "given" : "Lingyu", "non-dropping-particle" : "", "parse-names" : false, "suffix" : "" }, { "dropping-particle" : "", "family" : "Yin", "given" : "Qinjian", "non-dropping-particle" : "", "parse-names" : false, "suffix" : "" }, { "dropping-particle" : "", "family" : "Jiang", "given" : "Bo", "non-dropping-particle" : "", "parse-names" : false, "suffix" : "" } ], "container-title" : "RSC Adv.", "id" : "ITEM-3", "issue" : "93", "issued" : { "date-parts" : [ [ "2014" ] ] }, "page" : "51558-51568", "publisher" : "Royal Society of Chemistry", "title" : "Optimization of thermoelectric figure of merit in poly(p-phenylenediamine)/exfoliated graphene nanosheets composites", "type" : "article-journal", "volume" : "4" }, "uris" : [ "http://www.mendeley.com/documents/?uuid=3279b0b7-582d-4c10-bc75-72e15f95ae68" ] } ], "mendeley" : { "formattedCitation" : "[254\u2013256]", "plainTextFormattedCitation" : "[254\u2013256]", "previouslyFormattedCitation" : "[254\u2013256]" }, "properties" : {  }, "schema" : "https://github.com/citation-style-language/schema/raw/master/csl-citation.json" }</w:instrText>
      </w:r>
      <w:r w:rsidRPr="00401CA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[254–256]</w:t>
      </w:r>
      <w:r w:rsidRPr="00401CA2">
        <w:rPr>
          <w:rFonts w:ascii="Times New Roman" w:eastAsia="DengXian" w:hAnsi="Times New Roman" w:cs="Times New Roman"/>
          <w:sz w:val="24"/>
          <w:szCs w:val="24"/>
        </w:rPr>
        <w:fldChar w:fldCharType="end"/>
      </w:r>
      <w:r w:rsidRPr="00401CA2">
        <w:rPr>
          <w:rFonts w:ascii="Times New Roman" w:eastAsia="DengXian" w:hAnsi="Times New Roman" w:cs="Times New Roman"/>
          <w:sz w:val="24"/>
          <w:szCs w:val="24"/>
        </w:rPr>
        <w:t>. The mechanism of the polymerization of PPD is presented in Figure 12(a).</w:t>
      </w:r>
    </w:p>
    <w:p w14:paraId="2B04EF20" w14:textId="77777777" w:rsidR="006F38AE" w:rsidRPr="001A5452" w:rsidRDefault="006F38AE" w:rsidP="0065721F">
      <w:pPr>
        <w:spacing w:after="0" w:line="480" w:lineRule="auto"/>
        <w:ind w:firstLine="284"/>
        <w:contextualSpacing/>
        <w:jc w:val="both"/>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5F5DFC0C" wp14:editId="00211B8F">
            <wp:extent cx="5940464" cy="41529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2220" cy="4154128"/>
                    </a:xfrm>
                    <a:prstGeom prst="rect">
                      <a:avLst/>
                    </a:prstGeom>
                    <a:noFill/>
                  </pic:spPr>
                </pic:pic>
              </a:graphicData>
            </a:graphic>
          </wp:inline>
        </w:drawing>
      </w:r>
    </w:p>
    <w:p w14:paraId="775659E4" w14:textId="21CF849E" w:rsidR="006F38AE" w:rsidRPr="001A5452" w:rsidRDefault="005128D5" w:rsidP="0065721F">
      <w:pPr>
        <w:pStyle w:val="Caption"/>
        <w:jc w:val="center"/>
        <w:rPr>
          <w:rFonts w:eastAsia="DengXian" w:cs="Times New Roman"/>
          <w:szCs w:val="24"/>
        </w:rPr>
      </w:pPr>
      <w:bookmarkStart w:id="251" w:name="_Toc502662563"/>
      <w:bookmarkStart w:id="252" w:name="_Toc502662675"/>
      <w:bookmarkStart w:id="253" w:name="_Toc518823426"/>
      <w:r>
        <w:t xml:space="preserve">Figure </w:t>
      </w:r>
      <w:r w:rsidR="002C5D79">
        <w:t>6</w:t>
      </w:r>
      <w:r>
        <w:t>.</w:t>
      </w:r>
      <w:r w:rsidR="0065721F">
        <w:fldChar w:fldCharType="begin"/>
      </w:r>
      <w:r w:rsidR="0065721F">
        <w:instrText xml:space="preserve"> SEQ Figure_6. \* ARABIC </w:instrText>
      </w:r>
      <w:r w:rsidR="0065721F">
        <w:fldChar w:fldCharType="separate"/>
      </w:r>
      <w:r w:rsidR="00551ED9">
        <w:rPr>
          <w:noProof/>
        </w:rPr>
        <w:t>10</w:t>
      </w:r>
      <w:r w:rsidR="0065721F">
        <w:fldChar w:fldCharType="end"/>
      </w:r>
      <w:r w:rsidR="006F38AE" w:rsidRPr="005128D5">
        <w:rPr>
          <w:rFonts w:eastAsia="DengXian" w:cs="Times New Roman"/>
          <w:color w:val="000000"/>
          <w:szCs w:val="24"/>
        </w:rPr>
        <w:t>.</w:t>
      </w:r>
      <w:r w:rsidR="006F38AE" w:rsidRPr="001A5452">
        <w:rPr>
          <w:rFonts w:eastAsia="DengXian" w:cs="Times New Roman"/>
          <w:color w:val="000000"/>
          <w:szCs w:val="24"/>
        </w:rPr>
        <w:t xml:space="preserve"> FTIR spectra of PPD, GO, poly-PPD, and P-rGO.</w:t>
      </w:r>
      <w:bookmarkEnd w:id="251"/>
      <w:bookmarkEnd w:id="252"/>
      <w:bookmarkEnd w:id="253"/>
    </w:p>
    <w:p w14:paraId="46C373AB" w14:textId="77777777" w:rsidR="006F38AE" w:rsidRPr="001A5452" w:rsidRDefault="006F38AE" w:rsidP="006F38AE">
      <w:pPr>
        <w:spacing w:after="0" w:line="480" w:lineRule="auto"/>
        <w:contextualSpacing/>
        <w:jc w:val="both"/>
        <w:rPr>
          <w:rFonts w:ascii="Times New Roman" w:eastAsia="DengXian" w:hAnsi="Times New Roman" w:cs="Times New Roman"/>
          <w:sz w:val="24"/>
          <w:szCs w:val="24"/>
        </w:rPr>
      </w:pPr>
    </w:p>
    <w:p w14:paraId="53393A11" w14:textId="52584F80" w:rsidR="006F38AE" w:rsidRPr="001A5452" w:rsidRDefault="006F38AE" w:rsidP="006F38AE">
      <w:pPr>
        <w:spacing w:after="0" w:line="480" w:lineRule="auto"/>
        <w:ind w:firstLine="360"/>
        <w:contextualSpacing/>
        <w:jc w:val="both"/>
        <w:rPr>
          <w:rFonts w:ascii="Times New Roman" w:eastAsia="DengXian" w:hAnsi="Times New Roman" w:cs="Times New Roman"/>
          <w:sz w:val="24"/>
          <w:szCs w:val="24"/>
        </w:rPr>
      </w:pPr>
      <w:r w:rsidRPr="00401CA2">
        <w:rPr>
          <w:rFonts w:ascii="Times New Roman" w:eastAsia="DengXian" w:hAnsi="Times New Roman" w:cs="Times New Roman"/>
          <w:sz w:val="24"/>
          <w:szCs w:val="24"/>
        </w:rPr>
        <w:t>In the FTIR spectra of GO, there is a broad strong peak around 3185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which is assigned to O-H group from alcohol.  Peaks at 1728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1618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1036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and 867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are attributed to C=O stretch from COOH groups, aromatic C=C stretch, C-O stretch from epoxy rings, and C-H stretch from alkene groups, respectively.  After reaction with PPD, the peak at 1728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(GO spectrum) disappeared and a new we</w:t>
      </w:r>
      <w:r w:rsidR="00321F74">
        <w:rPr>
          <w:rFonts w:ascii="Times New Roman" w:eastAsia="DengXian" w:hAnsi="Times New Roman" w:cs="Times New Roman"/>
          <w:sz w:val="24"/>
          <w:szCs w:val="24"/>
        </w:rPr>
        <w:t>a</w:t>
      </w:r>
      <w:r w:rsidRPr="00401CA2">
        <w:rPr>
          <w:rFonts w:ascii="Times New Roman" w:eastAsia="DengXian" w:hAnsi="Times New Roman" w:cs="Times New Roman"/>
          <w:sz w:val="24"/>
          <w:szCs w:val="24"/>
        </w:rPr>
        <w:t>k peak at 1717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in P-rGO FTIR curve. This</w:t>
      </w:r>
      <w:r w:rsidRPr="00D31BCD">
        <w:rPr>
          <w:rFonts w:ascii="Times New Roman" w:eastAsia="DengXian" w:hAnsi="Times New Roman" w:cs="Times New Roman"/>
          <w:sz w:val="24"/>
          <w:szCs w:val="24"/>
        </w:rPr>
        <w:t xml:space="preserve"> </w:t>
      </w:r>
      <w:r w:rsidRPr="00401CA2">
        <w:rPr>
          <w:rFonts w:ascii="Times New Roman" w:eastAsia="DengXian" w:hAnsi="Times New Roman" w:cs="Times New Roman"/>
          <w:sz w:val="24"/>
          <w:szCs w:val="24"/>
        </w:rPr>
        <w:t>confirmed that the carboxyl groups in GO sheets were reduced, and C(=O)NH band was formed via nucleophilic substitution reaction. New peaks at 1278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and 1168 cm</w:t>
      </w:r>
      <w:r w:rsidRPr="00401CA2">
        <w:rPr>
          <w:rFonts w:ascii="Times New Roman" w:eastAsia="DengXian" w:hAnsi="Times New Roman" w:cs="Times New Roman"/>
          <w:sz w:val="24"/>
          <w:szCs w:val="24"/>
          <w:vertAlign w:val="superscript"/>
        </w:rPr>
        <w:t>-1</w:t>
      </w:r>
      <w:r w:rsidRPr="00401CA2">
        <w:rPr>
          <w:rFonts w:ascii="Times New Roman" w:eastAsia="DengXian" w:hAnsi="Times New Roman" w:cs="Times New Roman"/>
          <w:sz w:val="24"/>
          <w:szCs w:val="24"/>
        </w:rPr>
        <w:t xml:space="preserve"> are assigned to C-N stretching vibration, which confirmed the formation of C-N-C reflecting the presence of poly-PPD.</w:t>
      </w:r>
      <w:r w:rsidRPr="001A5452">
        <w:rPr>
          <w:rFonts w:ascii="Times New Roman" w:eastAsia="DengXian" w:hAnsi="Times New Roman" w:cs="Times New Roman"/>
          <w:sz w:val="24"/>
          <w:szCs w:val="24"/>
        </w:rPr>
        <w:t xml:space="preserve">  </w:t>
      </w:r>
    </w:p>
    <w:p w14:paraId="1BBD8940" w14:textId="77777777" w:rsidR="006938C8" w:rsidRDefault="006938C8" w:rsidP="006F38AE">
      <w:pPr>
        <w:spacing w:after="0" w:line="480" w:lineRule="auto"/>
        <w:contextualSpacing/>
        <w:jc w:val="center"/>
        <w:rPr>
          <w:rFonts w:ascii="Times New Roman" w:eastAsia="DengXian" w:hAnsi="Times New Roman" w:cs="Times New Roman"/>
          <w:noProof/>
          <w:sz w:val="24"/>
          <w:szCs w:val="24"/>
          <w:lang w:val="en-GB" w:eastAsia="en-GB"/>
        </w:rPr>
      </w:pPr>
    </w:p>
    <w:p w14:paraId="1AF59F88" w14:textId="77777777" w:rsidR="006938C8" w:rsidRDefault="006938C8" w:rsidP="006F38AE">
      <w:pPr>
        <w:spacing w:after="0" w:line="480" w:lineRule="auto"/>
        <w:contextualSpacing/>
        <w:jc w:val="center"/>
        <w:rPr>
          <w:rFonts w:ascii="Times New Roman" w:eastAsia="DengXian" w:hAnsi="Times New Roman" w:cs="Times New Roman"/>
          <w:noProof/>
          <w:sz w:val="24"/>
          <w:szCs w:val="24"/>
          <w:lang w:val="en-GB" w:eastAsia="en-GB"/>
        </w:rPr>
      </w:pPr>
    </w:p>
    <w:p w14:paraId="55757AF0" w14:textId="4D8FA68F" w:rsidR="006F38AE" w:rsidRPr="001A5452" w:rsidRDefault="006F38AE" w:rsidP="006F38AE">
      <w:pPr>
        <w:spacing w:after="0" w:line="480" w:lineRule="auto"/>
        <w:contextualSpacing/>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68A1897E" wp14:editId="182495AC">
            <wp:extent cx="5639613" cy="644333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55502" cy="6461484"/>
                    </a:xfrm>
                    <a:prstGeom prst="rect">
                      <a:avLst/>
                    </a:prstGeom>
                    <a:noFill/>
                  </pic:spPr>
                </pic:pic>
              </a:graphicData>
            </a:graphic>
          </wp:inline>
        </w:drawing>
      </w:r>
    </w:p>
    <w:p w14:paraId="16FA1E16" w14:textId="1F97ED7E" w:rsidR="006F38AE" w:rsidRDefault="002C5D79" w:rsidP="0065721F">
      <w:pPr>
        <w:pStyle w:val="Caption"/>
        <w:ind w:firstLine="0"/>
        <w:rPr>
          <w:rFonts w:eastAsia="DengXian" w:cs="Times New Roman"/>
          <w:szCs w:val="24"/>
        </w:rPr>
      </w:pPr>
      <w:bookmarkStart w:id="254" w:name="_Toc502662564"/>
      <w:bookmarkStart w:id="255" w:name="_Toc502662676"/>
      <w:bookmarkStart w:id="256" w:name="_Toc518823427"/>
      <w:r>
        <w:t>Figure 10</w:t>
      </w:r>
      <w:r w:rsidR="005128D5">
        <w:t>.</w:t>
      </w:r>
      <w:r w:rsidR="0065721F">
        <w:fldChar w:fldCharType="begin"/>
      </w:r>
      <w:r w:rsidR="0065721F">
        <w:instrText xml:space="preserve"> SEQ Figure_6. \* ARABIC </w:instrText>
      </w:r>
      <w:r w:rsidR="0065721F">
        <w:fldChar w:fldCharType="separate"/>
      </w:r>
      <w:r w:rsidR="00551ED9">
        <w:rPr>
          <w:noProof/>
        </w:rPr>
        <w:t>11</w:t>
      </w:r>
      <w:r w:rsidR="0065721F">
        <w:fldChar w:fldCharType="end"/>
      </w:r>
      <w:r w:rsidR="006F38AE" w:rsidRPr="005128D5">
        <w:rPr>
          <w:rFonts w:eastAsia="DengXian" w:cs="Times New Roman"/>
          <w:szCs w:val="24"/>
        </w:rPr>
        <w:t>.</w:t>
      </w:r>
      <w:r w:rsidR="006F38AE" w:rsidRPr="00401CA2">
        <w:rPr>
          <w:rFonts w:eastAsia="DengXian" w:cs="Times New Roman"/>
          <w:szCs w:val="24"/>
        </w:rPr>
        <w:t xml:space="preserve"> Schematic representations of (a) the polymerization of PPD and (b) preparation of P-rGO in one pot method.</w:t>
      </w:r>
      <w:bookmarkEnd w:id="254"/>
      <w:bookmarkEnd w:id="255"/>
      <w:bookmarkEnd w:id="256"/>
    </w:p>
    <w:p w14:paraId="3F6A7FF3" w14:textId="77777777" w:rsidR="00F50AC6" w:rsidRPr="001A5452" w:rsidRDefault="00F50AC6" w:rsidP="006F38AE">
      <w:pPr>
        <w:spacing w:after="0" w:line="480" w:lineRule="auto"/>
        <w:contextualSpacing/>
        <w:jc w:val="center"/>
        <w:rPr>
          <w:rFonts w:ascii="Times New Roman" w:eastAsia="DengXian" w:hAnsi="Times New Roman" w:cs="Times New Roman"/>
          <w:b/>
          <w:sz w:val="24"/>
          <w:szCs w:val="24"/>
        </w:rPr>
      </w:pPr>
    </w:p>
    <w:p w14:paraId="1460DDC1" w14:textId="6E6F1993" w:rsidR="006F38AE" w:rsidRPr="001A5452" w:rsidRDefault="006F38AE" w:rsidP="006F38AE">
      <w:pPr>
        <w:spacing w:after="0" w:line="480" w:lineRule="auto"/>
        <w:ind w:firstLine="360"/>
        <w:contextualSpacing/>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 According to the FTIR results discussed above, GO was reduced by PPD by removing oxygen atoms via the formation between amine groups on benzene rings and carboxyl groups and hydrogen groups on GO sheets. Meanwhile, PPD is a good stabilizer for P-rGO in ethanol as well. The mechanism is presented in Figure </w:t>
      </w:r>
      <w:r w:rsidR="002C5D79">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11</w:t>
      </w:r>
      <w:r w:rsidRPr="001A5452">
        <w:rPr>
          <w:rFonts w:ascii="Times New Roman" w:eastAsia="DengXian" w:hAnsi="Times New Roman" w:cs="Times New Roman"/>
          <w:sz w:val="24"/>
          <w:szCs w:val="24"/>
        </w:rPr>
        <w:t>. During this process, PPD could copolymerize to poly-PPD, which insert</w:t>
      </w:r>
      <w:r w:rsidR="00D17A05">
        <w:rPr>
          <w:rFonts w:ascii="Times New Roman" w:eastAsia="DengXian" w:hAnsi="Times New Roman" w:cs="Times New Roman"/>
          <w:sz w:val="24"/>
          <w:szCs w:val="24"/>
        </w:rPr>
        <w:t>s</w:t>
      </w:r>
      <w:r w:rsidRPr="001A5452">
        <w:rPr>
          <w:rFonts w:ascii="Times New Roman" w:eastAsia="DengXian" w:hAnsi="Times New Roman" w:cs="Times New Roman"/>
          <w:sz w:val="24"/>
          <w:szCs w:val="24"/>
        </w:rPr>
        <w:t xml:space="preserve"> into GO sheets by п – п stacking due to the similar benzene structures in both PPD and GO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"10.1016/j.compscitech.2015.11.010", "ISBN" : "0266-3538", "ISSN" : "02663538", "abstract" : "Poly(p-phenylenediamine)/graphene oxide nanoplatelet (PPDA/GONP) composites were synthesized via in situ oxidation polymerization of p-phenylenediamine (PDA) in graphene oxide nanoplatelets (GONPs) suspension for potential electrorheological (ER) fluid applications. Initially, the mass production of GONPs can be achieved through a simple and green ball milling process of graphite with dry ice. The versatile synthesis methods and multifunctionality of poly(p-phenylenediamine) (PPDA) enable the wide potential applications of PPDA/GONP composites. The \u03c0-\u03c0 stacking interaction between GONP and PDA is a key factor to fabricate PPDA/GONP composite successfully. The ER characteristics of both PPDA/GONP composites and PPDA in silicone oil medium were examined using a rotational rheometer equipped with a high voltage generator. The resultant PPDA/GONP composites exhibited improved typical ER behavior compared with that of pure PPDA, providing a new potential application of the PPDA/GONP composites as an intelligent material.", "author" : [ { "dropping-particle" : "", "family" : "Cao", "given" : "Yanlin", "non-dropping-particle" : "", "parse-names" : false, "suffix" : "" }, { "dropping-particle" : "", "family" : "Choi", "given" : "Hyoung Jin", "non-dropping-particle" : "", "parse-names" : false, "suffix" : "" }, { "dropping-particle" : "", "family" : "Zhang", "given" : "Wen Ling", "non-dropping-particle" : "", "parse-names" : false, "suffix" : "" }, { "dropping-particle" : "", "family" : "Wang", "given" : "Baoxiang", "non-dropping-particle" : "", "parse-names" : false, "suffix" : "" }, { "dropping-particle" : "", "family" : "Hao", "given" : "Chuncheng", "non-dropping-particle" : "", "parse-names" : false, "suffix" : "" }, { "dropping-particle" : "", "family" : "Liu", "given" : "Jingquan", "non-dropping-particle" : "", "parse-names" : false, "suffix" : "" } ], "container-title" : "Composites Science and Technology", "id" : "ITEM-1", "issued" : { "date-parts" : [ [ "2016" ] ] }, "page" : "36-41", "publisher" : "Elsevier Ltd", "title" : "Eco-friendly mass production of poly(p-phenylenediamine)/graphene oxide nanoplatelet composites and their electrorheological characteristics", "type" : "article-journal", "volume" : "122" }, "uris" : [ "http://www.mendeley.com/documents/?uuid=6765f7d4-2bdf-4c7d-9057-71e4d68635d2" ] }, { "id" : "ITEM-2", "itemData" : { "DOI" : "10.1039/c1jm10169b", "ISBN" : "0959-9428\\r1364-5501", "ISSN" : "0959-9428", "abstract" : "In this paper, we report a novel method for the shape-controlled synthesis of poly(p-phenylenediamine) (PpPD) polymer microstructures using a UV lamp as the oxidation energy source and poly(N-vinylpyrrolidone) (PVP) as the surfactant. By adjusting the synthetic conditions, a series of well-defined and uniform PpPD microstructures have been successfully prepared. The results demonstrate that although PVP plays an important role in controlling the morphology of such polymer particles, it has no influence on the intrinsic polymer structures. The as-obtained PpPD polymer microstructures show excellent adsorption ability in the removal of lead ions, which might be very useful in many practical applications, including water purification and waste treatment.", "author" : [ { "dropping-particle" : "", "family" : "Min", "given" : "Yu-Lin", "non-dropping-particle" : "", "parse-names" : false, "suffix" : "" }, { "dropping-particle" : "", "family" : "Wang", "given" : "Tao", "non-dropping-particle" : "", "parse-names" : false, "suffix" : "" }, { "dropping-particle" : "", "family" : "Zhang", "given" : "Yuan-Guang", "non-dropping-particle" : "", "parse-names" : false, "suffix" : "" }, { "dropping-particle" : "", "family" : "Chen", "given" : "You-Cun", "non-dropping-particle" : "", "parse-names" : false, "suffix" : "" } ], "container-title" : "Journal of Materials Chemistry", "id" : "ITEM-2", "issue" : "18", "issued" : { "date-parts" : [ [ "2011" ] ] }, "page" : "6683", "title" : "The synthesis of poly(p-phenylenediamine) microstructures without oxidant and their effective adsorption of lead ions", "type" : "article-journal", "volume" : "21" }, "uris" : [ "http://www.mendeley.com/documents/?uuid=6db25cec-c088-4990-8f9c-e3c4cb1f0d1a" ] }, { "id" : "ITEM-3", "itemData" : { "DOI" : "10.1039/C4RA06249C", "ISSN" : "2046-2069", "abstract" : "In the present work, the conductive nanocomposite of poly(p-phenylenediamine)(PpPD)/exfoliated graphene nanoplatelets (GNPs) are synthesized via in situ polymerization under acidic conditions by doping different percentages of GNPs. The interactions between PpPD and GNPs are investigated by utilizing infrared spectra (FTIR), transmission electron microscopy (TEM), scanning electron microscopy (SEM), UV-visible, Raman spectra, thermogravimetric analysis (TGA) and X-ray diffraction (XRD). It is observed that the reticular strip-like PpPD are adsorbed on the surface of the GNPs, which can be fabricated by loading different percentages of GNPs. Thermoelectric properties (electrical conductivity, Seebeck coefficient and thermal conductivity) of pellets obtained by cold pressing are determined at room temperature. Compared with pure PpPD, it is observed that the presence of GNPs is an essential component for the improvement of the thermoelectric properties of the resulting nanocomposite, which reach the maximum of 193.245 S m\u22121 and 58 \u03bcV K\u22121, while the thermal conductivity of the composites relatively maintains low values even with high GNPs content, resulting in the increase in the dimensionless figure of merit (ZT). The highest ZT value of 3.63 \u00d7 10\u22124 has been obtained for the composite containing 50 wt% GNPs at 55 \u00b0C.", "author" : [ { "dropping-particle" : "", "family" : "Liu", "given" : "Fangzhuan", "non-dropping-particle" : "", "parse-names" : false, "suffix" : "" }, { "dropping-particle" : "", "family" : "Wang", "given" : "Lingyu", "non-dropping-particle" : "", "parse-names" : false, "suffix" : "" }, { "dropping-particle" : "", "family" : "Yin", "given" : "Qinjian", "non-dropping-particle" : "", "parse-names" : false, "suffix" : "" }, { "dropping-particle" : "", "family" : "Jiang", "given" : "Bo", "non-dropping-particle" : "", "parse-names" : false, "suffix" : "" } ], "container-title" : "RSC Adv.", "id" : "ITEM-3", "issue" : "93", "issued" : { "date-parts" : [ [ "2014" ] ] }, "page" : "51558-51568", "publisher" : "Royal Society of Chemistry", "title" : "Optimization of thermoelectric figure of merit in poly(p-phenylenediamine)/exfoliated graphene nanosheets composites", "type" : "article-journal", "volume" : "4" }, "uris" : [ "http://www.mendeley.com/documents/?uuid=3279b0b7-582d-4c10-bc75-72e15f95ae68" ] }, { "id" : "ITEM-4", "itemData" : { "DOI" : "10.1021/am201654b", "ISSN" : "1944-8244, 1944-8252", "PMID" : "22422027", "abstract" : "A facile and efficient approach was developed to simultaneously functionalize and reduce graphene oxide (GO) with p-phenylene diamine (PPD) by simple refluxing. This was possible by the nucleophilic substitution reaction of epoxide groups of GO with amine groups of PPD aided by NH(3) solution. As a consequence, electrical conductivity of GO-PPD increased to 2.1 \u00d7 10(2) S/m, which was nearly 9 orders of magnitude higher than that of GO. Additionally, after the incorporation of GO-PPD in polystyrene (PS), the composites exhibited a sharp transition from electrically insulating to conducting behavior with a low percolation threshold of ~0.34 vol %, which was attributed to the improved dispersion and the reduction of GO-PPD. Thermal stability of the PS/GO-PPD composite was also ~8 \u00b0C higher than that of PS.", "author" : [ { "dropping-particle" : "", "family" : "Ma", "given" : "Hui-Ling", "non-dropping-particle" : "", "parse-names" : false, "suffix" : "" }, { "dropping-particle" : "", "family" : "Zhang", "given" : "Hao-Bin", "non-dropping-particle" : "", "parse-names" : false, "suffix" : "" }, { "dropping-particle" : "", "family" : "Hu", "given" : "Qi-Hui", "non-dropping-particle" : "", "parse-names" : false, "suffix" : "" }, { "dropping-particle" : "", "family" : "Li", "given" : "Wen-Juan", "non-dropping-particle" : "", "parse-names" : false, "suffix" : "" }, { "dropping-particle" : "", "family" : "Jiang", "given" : "Zhi-Guo", "non-dropping-particle" : "", "parse-names" : false, "suffix" : "" }, { "dropping-particle" : "", "family" : "Yu", "given" : "Zhong-Zhen", "non-dropping-particle" : "", "parse-names" : false, "suffix" : "" }, { "dropping-particle" : "", "family" : "Dasari", "given" : "Aravind", "non-dropping-particle" : "", "parse-names" : false, "suffix" : "" } ], "container-title" : "ACS Applied Materials &amp; Interfaces", "id" : "ITEM-4", "issued" : { "date-parts" : [ [ "2012" ] ] }, "page" : "1948-1953", "title" : "Functionalization and Reduction of Graphene Oxide with p -Phenylene Diamine for Electrically Conductive and Thermally Stable Polystyrene Composites", "type" : "article-journal", "volume" : "4" }, "uris" : [ "http://www.mendeley.com/documents/?uuid=b65c4788-5b95-47cd-97cb-53a60b47d6eb" ] } ], "mendeley" : { "formattedCitation" : "[253\u2013256]", "plainTextFormattedCitation" : "[253\u2013256]", "previouslyFormattedCitation" : "[253\u2013256]"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[253–256]</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Hence, GO sheets were extended and disperse</w:t>
      </w:r>
      <w:r w:rsidR="00D17A05">
        <w:rPr>
          <w:rFonts w:ascii="Times New Roman" w:eastAsia="DengXian" w:hAnsi="Times New Roman" w:cs="Times New Roman"/>
          <w:sz w:val="24"/>
          <w:szCs w:val="24"/>
        </w:rPr>
        <w:t>d</w:t>
      </w:r>
      <w:r w:rsidR="005128D5">
        <w:rPr>
          <w:rFonts w:ascii="Times New Roman" w:eastAsia="DengXian" w:hAnsi="Times New Roman" w:cs="Times New Roman"/>
          <w:sz w:val="24"/>
          <w:szCs w:val="24"/>
        </w:rPr>
        <w:t xml:space="preserve"> well in ethanol. Figu</w:t>
      </w:r>
      <w:r w:rsidR="002C5D79">
        <w:rPr>
          <w:rFonts w:ascii="Times New Roman" w:eastAsia="DengXian" w:hAnsi="Times New Roman" w:cs="Times New Roman"/>
          <w:sz w:val="24"/>
          <w:szCs w:val="24"/>
        </w:rPr>
        <w:t>re 6</w:t>
      </w:r>
      <w:r w:rsidR="009A1ACE">
        <w:rPr>
          <w:rFonts w:ascii="Times New Roman" w:eastAsia="DengXian" w:hAnsi="Times New Roman" w:cs="Times New Roman"/>
          <w:sz w:val="24"/>
          <w:szCs w:val="24"/>
        </w:rPr>
        <w:t>.12</w:t>
      </w:r>
      <w:r w:rsidRPr="001A5452">
        <w:rPr>
          <w:rFonts w:ascii="Times New Roman" w:eastAsia="DengXian" w:hAnsi="Times New Roman" w:cs="Times New Roman"/>
          <w:sz w:val="24"/>
          <w:szCs w:val="24"/>
        </w:rPr>
        <w:t xml:space="preserve"> </w:t>
      </w:r>
      <w:r w:rsidR="00D17A05">
        <w:rPr>
          <w:rFonts w:ascii="Times New Roman" w:eastAsia="DengXian" w:hAnsi="Times New Roman" w:cs="Times New Roman"/>
          <w:sz w:val="24"/>
          <w:szCs w:val="24"/>
        </w:rPr>
        <w:t>s</w:t>
      </w:r>
      <w:r w:rsidRPr="001A5452">
        <w:rPr>
          <w:rFonts w:ascii="Times New Roman" w:eastAsia="DengXian" w:hAnsi="Times New Roman" w:cs="Times New Roman"/>
          <w:sz w:val="24"/>
          <w:szCs w:val="24"/>
        </w:rPr>
        <w:t xml:space="preserve">hows that the pH value significantly </w:t>
      </w:r>
      <w:r w:rsidR="00D17A05">
        <w:rPr>
          <w:rFonts w:ascii="Times New Roman" w:eastAsia="DengXian" w:hAnsi="Times New Roman" w:cs="Times New Roman"/>
          <w:sz w:val="24"/>
          <w:szCs w:val="24"/>
        </w:rPr>
        <w:t>a</w:t>
      </w:r>
      <w:r w:rsidRPr="001A5452">
        <w:rPr>
          <w:rFonts w:ascii="Times New Roman" w:eastAsia="DengXian" w:hAnsi="Times New Roman" w:cs="Times New Roman"/>
          <w:sz w:val="24"/>
          <w:szCs w:val="24"/>
        </w:rPr>
        <w:t>ffects the stability of P-rGO dispersion in ethanol, in which lower pH value (~2) presents muc</w:t>
      </w:r>
      <w:r w:rsidR="002C5D79">
        <w:rPr>
          <w:rFonts w:ascii="Times New Roman" w:eastAsia="DengXian" w:hAnsi="Times New Roman" w:cs="Times New Roman"/>
          <w:sz w:val="24"/>
          <w:szCs w:val="24"/>
        </w:rPr>
        <w:t>h better dispersion even after 3</w:t>
      </w:r>
      <w:r w:rsidRPr="001A5452">
        <w:rPr>
          <w:rFonts w:ascii="Times New Roman" w:eastAsia="DengXian" w:hAnsi="Times New Roman" w:cs="Times New Roman"/>
          <w:sz w:val="24"/>
          <w:szCs w:val="24"/>
        </w:rPr>
        <w:t xml:space="preserve"> months. </w:t>
      </w:r>
      <w:r w:rsidR="00D17A05">
        <w:rPr>
          <w:rFonts w:ascii="Times New Roman" w:eastAsia="DengXian" w:hAnsi="Times New Roman" w:cs="Times New Roman"/>
          <w:sz w:val="24"/>
          <w:szCs w:val="24"/>
        </w:rPr>
        <w:t>However</w:t>
      </w:r>
      <w:r w:rsidRPr="001A5452">
        <w:rPr>
          <w:rFonts w:ascii="Times New Roman" w:eastAsia="DengXian" w:hAnsi="Times New Roman" w:cs="Times New Roman"/>
          <w:sz w:val="24"/>
          <w:szCs w:val="24"/>
        </w:rPr>
        <w:t xml:space="preserve">, neutral solution has </w:t>
      </w:r>
      <w:r w:rsidR="00D17A05">
        <w:rPr>
          <w:rFonts w:ascii="Times New Roman" w:eastAsia="DengXian" w:hAnsi="Times New Roman" w:cs="Times New Roman"/>
          <w:sz w:val="24"/>
          <w:szCs w:val="24"/>
        </w:rPr>
        <w:t>poor</w:t>
      </w:r>
      <w:r w:rsidR="00D17A05"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t xml:space="preserve">dispersion in which precipitation occurred in </w:t>
      </w:r>
      <w:r w:rsidR="00D17A05">
        <w:rPr>
          <w:rFonts w:ascii="Times New Roman" w:eastAsia="DengXian" w:hAnsi="Times New Roman" w:cs="Times New Roman"/>
          <w:sz w:val="24"/>
          <w:szCs w:val="24"/>
        </w:rPr>
        <w:t xml:space="preserve">a </w:t>
      </w:r>
      <w:r w:rsidRPr="001A5452">
        <w:rPr>
          <w:rFonts w:ascii="Times New Roman" w:eastAsia="DengXian" w:hAnsi="Times New Roman" w:cs="Times New Roman"/>
          <w:sz w:val="24"/>
          <w:szCs w:val="24"/>
        </w:rPr>
        <w:t>few hours. One possibility is that H</w:t>
      </w:r>
      <w:r w:rsidRPr="001A5452">
        <w:rPr>
          <w:rFonts w:ascii="Times New Roman" w:eastAsia="DengXian" w:hAnsi="Times New Roman" w:cs="Times New Roman"/>
          <w:sz w:val="24"/>
          <w:szCs w:val="24"/>
          <w:vertAlign w:val="superscript"/>
        </w:rPr>
        <w:t xml:space="preserve">+ </w:t>
      </w:r>
      <w:r w:rsidRPr="001A5452">
        <w:rPr>
          <w:rFonts w:ascii="Times New Roman" w:eastAsia="DengXian" w:hAnsi="Times New Roman" w:cs="Times New Roman"/>
          <w:sz w:val="24"/>
          <w:szCs w:val="24"/>
        </w:rPr>
        <w:t>could initiate one free radical of PPD, which can copolymerize poly-PPD and intercalate into GO sheets, resulting in a s</w:t>
      </w:r>
      <w:r w:rsidR="00D17A05">
        <w:rPr>
          <w:rFonts w:ascii="Times New Roman" w:eastAsia="DengXian" w:hAnsi="Times New Roman" w:cs="Times New Roman"/>
          <w:sz w:val="24"/>
          <w:szCs w:val="24"/>
        </w:rPr>
        <w:t>t</w:t>
      </w:r>
      <w:r w:rsidRPr="001A5452">
        <w:rPr>
          <w:rFonts w:ascii="Times New Roman" w:eastAsia="DengXian" w:hAnsi="Times New Roman" w:cs="Times New Roman"/>
          <w:sz w:val="24"/>
          <w:szCs w:val="24"/>
        </w:rPr>
        <w:t xml:space="preserve">able GO dispersion in ethanol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"10.1039/C4RA06249C", "ISSN" : "2046-2069", "abstract" : "In the present work, the conductive nanocomposite of poly(p-phenylenediamine)(PpPD)/exfoliated graphene nanoplatelets (GNPs) are synthesized via in situ polymerization under acidic conditions by doping different percentages of GNPs. The interactions between PpPD and GNPs are investigated by utilizing infrared spectra (FTIR), transmission electron microscopy (TEM), scanning electron microscopy (SEM), UV-visible, Raman spectra, thermogravimetric analysis (TGA) and X-ray diffraction (XRD). It is observed that the reticular strip-like PpPD are adsorbed on the surface of the GNPs, which can be fabricated by loading different percentages of GNPs. Thermoelectric properties (electrical conductivity, Seebeck coefficient and thermal conductivity) of pellets obtained by cold pressing are determined at room temperature. Compared with pure PpPD, it is observed that the presence of GNPs is an essential component for the improvement of the thermoelectric properties of the resulting nanocomposite, which reach the maximum of 193.245 S m\u22121 and 58 \u03bcV K\u22121, while the thermal conductivity of the composites relatively maintains low values even with high GNPs content, resulting in the increase in the dimensionless figure of merit (ZT). The highest ZT value of 3.63 \u00d7 10\u22124 has been obtained for the composite containing 50 wt% GNPs at 55 \u00b0C.", "author" : [ { "dropping-particle" : "", "family" : "Liu", "given" : "Fangzhuan", "non-dropping-particle" : "", "parse-names" : false, "suffix" : "" }, { "dropping-particle" : "", "family" : "Wang", "given" : "Lingyu", "non-dropping-particle" : "", "parse-names" : false, "suffix" : "" }, { "dropping-particle" : "", "family" : "Yin", "given" : "Qinjian", "non-dropping-particle" : "", "parse-names" : false, "suffix" : "" }, { "dropping-particle" : "", "family" : "Jiang", "given" : "Bo", "non-dropping-particle" : "", "parse-names" : false, "suffix" : "" } ], "container-title" : "RSC Adv.", "id" : "ITEM-1", "issue" : "93", "issued" : { "date-parts" : [ [ "2014" ] ] }, "page" : "51558-51568", "publisher" : "Royal Society of Chemistry", "title" : "Optimization of thermoelectric figure of merit in poly(p-phenylenediamine)/exfoliated graphene nanosheets composites", "type" : "article-journal", "volume" : "4" }, "uris" : [ "http://www.mendeley.com/documents/?uuid=3279b0b7-582d-4c10-bc75-72e15f95ae68" ] } ], "mendeley" : { "formattedCitation" : "[256]", "plainTextFormattedCitation" : "[256]", "previouslyFormattedCitation" : "[256]"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[256]</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w:t>
      </w:r>
    </w:p>
    <w:p w14:paraId="6327EB96" w14:textId="77777777" w:rsidR="006F38AE" w:rsidRPr="001A5452" w:rsidRDefault="006F38AE" w:rsidP="006F38AE">
      <w:pPr>
        <w:spacing w:after="0" w:line="480" w:lineRule="auto"/>
        <w:contextualSpacing/>
        <w:jc w:val="both"/>
        <w:rPr>
          <w:rFonts w:ascii="Times New Roman" w:eastAsia="DengXian" w:hAnsi="Times New Roman" w:cs="Times New Roman"/>
          <w:sz w:val="24"/>
          <w:szCs w:val="24"/>
        </w:rPr>
      </w:pPr>
    </w:p>
    <w:p w14:paraId="0D85B55C" w14:textId="77777777" w:rsidR="006F38AE" w:rsidRPr="001A5452" w:rsidRDefault="006F38AE" w:rsidP="006F38AE">
      <w:pPr>
        <w:spacing w:after="0" w:line="480" w:lineRule="auto"/>
        <w:contextualSpacing/>
        <w:jc w:val="center"/>
        <w:rPr>
          <w:rFonts w:ascii="Times New Roman" w:eastAsia="DengXian" w:hAnsi="Times New Roman" w:cs="Times New Roman"/>
          <w:b/>
          <w:sz w:val="24"/>
          <w:szCs w:val="24"/>
        </w:rPr>
      </w:pPr>
      <w:r w:rsidRPr="001A5452">
        <w:rPr>
          <w:rFonts w:ascii="Times New Roman" w:eastAsia="DengXian" w:hAnsi="Times New Roman" w:cs="Times New Roman"/>
          <w:b/>
          <w:noProof/>
          <w:sz w:val="24"/>
          <w:szCs w:val="24"/>
          <w:lang w:val="en-GB"/>
        </w:rPr>
        <w:drawing>
          <wp:inline distT="0" distB="0" distL="0" distR="0" wp14:anchorId="4E8E945E" wp14:editId="4EDEAC6B">
            <wp:extent cx="3230880" cy="2249805"/>
            <wp:effectExtent l="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0880" cy="2249805"/>
                    </a:xfrm>
                    <a:prstGeom prst="rect">
                      <a:avLst/>
                    </a:prstGeom>
                    <a:noFill/>
                  </pic:spPr>
                </pic:pic>
              </a:graphicData>
            </a:graphic>
          </wp:inline>
        </w:drawing>
      </w:r>
    </w:p>
    <w:p w14:paraId="5D8B320F" w14:textId="640D6292" w:rsidR="006F38AE" w:rsidRDefault="002C5D79" w:rsidP="0065721F">
      <w:pPr>
        <w:pStyle w:val="Caption"/>
        <w:ind w:firstLine="0"/>
        <w:rPr>
          <w:rFonts w:eastAsia="DengXian" w:cs="Times New Roman"/>
          <w:szCs w:val="24"/>
        </w:rPr>
      </w:pPr>
      <w:bookmarkStart w:id="257" w:name="_Toc502662565"/>
      <w:bookmarkStart w:id="258" w:name="_Toc502662677"/>
      <w:bookmarkStart w:id="259" w:name="_Toc518823428"/>
      <w:r>
        <w:t>Figure 6</w:t>
      </w:r>
      <w:r w:rsidR="005128D5">
        <w:t>.</w:t>
      </w:r>
      <w:r w:rsidR="0065721F" w:rsidRPr="005128D5">
        <w:fldChar w:fldCharType="begin"/>
      </w:r>
      <w:r w:rsidR="0065721F" w:rsidRPr="005128D5">
        <w:instrText xml:space="preserve"> SEQ Figure_6. \* ARABIC </w:instrText>
      </w:r>
      <w:r w:rsidR="0065721F" w:rsidRPr="005128D5">
        <w:fldChar w:fldCharType="separate"/>
      </w:r>
      <w:r w:rsidR="00551ED9" w:rsidRPr="005128D5">
        <w:rPr>
          <w:noProof/>
        </w:rPr>
        <w:t>12</w:t>
      </w:r>
      <w:r w:rsidR="0065721F" w:rsidRPr="005128D5">
        <w:fldChar w:fldCharType="end"/>
      </w:r>
      <w:r w:rsidR="006F38AE" w:rsidRPr="005128D5">
        <w:rPr>
          <w:rFonts w:eastAsia="DengXian" w:cs="Times New Roman"/>
          <w:szCs w:val="24"/>
        </w:rPr>
        <w:t>.</w:t>
      </w:r>
      <w:r w:rsidR="006F38AE" w:rsidRPr="001A5452">
        <w:rPr>
          <w:rFonts w:eastAsia="DengXian" w:cs="Times New Roman"/>
          <w:szCs w:val="24"/>
        </w:rPr>
        <w:t xml:space="preserve"> Digital photographs of P-rGO aqueous dispersions after 3 weeks: (a) pH ~5, (b) pH ~3, and (c) pH ~2.</w:t>
      </w:r>
      <w:bookmarkEnd w:id="257"/>
      <w:bookmarkEnd w:id="258"/>
      <w:bookmarkEnd w:id="259"/>
    </w:p>
    <w:p w14:paraId="5891453B" w14:textId="77777777" w:rsidR="00D17A05" w:rsidRPr="001A5452" w:rsidRDefault="00D17A05" w:rsidP="006F38AE">
      <w:pPr>
        <w:spacing w:after="0" w:line="480" w:lineRule="auto"/>
        <w:contextualSpacing/>
        <w:rPr>
          <w:rFonts w:ascii="Times New Roman" w:eastAsia="DengXian" w:hAnsi="Times New Roman" w:cs="Times New Roman"/>
          <w:sz w:val="24"/>
          <w:szCs w:val="24"/>
        </w:rPr>
      </w:pPr>
    </w:p>
    <w:p w14:paraId="400C46A9" w14:textId="040C842A" w:rsidR="006F38AE" w:rsidRPr="002D5B74" w:rsidRDefault="002C5D79" w:rsidP="00A22DC4">
      <w:pPr>
        <w:pStyle w:val="Heading2"/>
      </w:pPr>
      <w:bookmarkStart w:id="260" w:name="_Toc518823356"/>
      <w:r>
        <w:t>6</w:t>
      </w:r>
      <w:r w:rsidR="00BD1DD2">
        <w:t>.</w:t>
      </w:r>
      <w:r w:rsidR="006F38AE" w:rsidRPr="002D5B74">
        <w:t>3.2. Characterization of HBPE/P-rGO nanocomposites</w:t>
      </w:r>
      <w:bookmarkEnd w:id="260"/>
    </w:p>
    <w:p w14:paraId="31FF99BC" w14:textId="69912C11" w:rsidR="006F38AE" w:rsidRPr="00401CA2" w:rsidRDefault="002C5D79" w:rsidP="00A22DC4">
      <w:pPr>
        <w:pStyle w:val="Heading3"/>
      </w:pPr>
      <w:bookmarkStart w:id="261" w:name="_Toc518823357"/>
      <w:r>
        <w:t>6</w:t>
      </w:r>
      <w:r w:rsidR="00BD1DD2">
        <w:t>.</w:t>
      </w:r>
      <w:r w:rsidR="006F38AE" w:rsidRPr="002D5B74">
        <w:t xml:space="preserve">3.2.1. </w:t>
      </w:r>
      <w:r w:rsidR="006F38AE" w:rsidRPr="00401CA2">
        <w:t>Morphology of HBPE/P-rGO nanocomposites</w:t>
      </w:r>
      <w:bookmarkEnd w:id="261"/>
    </w:p>
    <w:p w14:paraId="35B9A10E" w14:textId="4DA0721B" w:rsidR="006F38AE" w:rsidRDefault="006F38AE" w:rsidP="006F38AE">
      <w:pPr>
        <w:spacing w:after="0" w:line="480" w:lineRule="auto"/>
        <w:jc w:val="both"/>
        <w:rPr>
          <w:rFonts w:ascii="Times New Roman" w:eastAsia="DengXian" w:hAnsi="Times New Roman" w:cs="Times New Roman"/>
          <w:sz w:val="24"/>
          <w:szCs w:val="24"/>
        </w:rPr>
      </w:pPr>
      <w:r w:rsidRPr="00401CA2">
        <w:rPr>
          <w:rFonts w:ascii="Times New Roman" w:eastAsia="DengXian" w:hAnsi="Times New Roman" w:cs="Times New Roman"/>
          <w:sz w:val="24"/>
          <w:szCs w:val="24"/>
        </w:rPr>
        <w:t xml:space="preserve">HBPE film is yellow transparent, shown in Figure </w:t>
      </w:r>
      <w:r w:rsidR="002C5D79">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13</w:t>
      </w:r>
      <w:r w:rsidRPr="00401CA2">
        <w:rPr>
          <w:rFonts w:ascii="Times New Roman" w:eastAsia="DengXian" w:hAnsi="Times New Roman" w:cs="Times New Roman"/>
          <w:sz w:val="24"/>
          <w:szCs w:val="24"/>
        </w:rPr>
        <w:t>(a). The color was uniform for all nanocomposite samples and became darker with increasing P-rGO loading. Meanwhile, the sample lost the transparency at the higher P-rGO loadings (0.1 wt.% and 0.5 wt.%), due to the light absorption of P-rGO.</w:t>
      </w:r>
    </w:p>
    <w:p w14:paraId="705B6975" w14:textId="77777777" w:rsidR="0065721F" w:rsidRPr="001A5452" w:rsidRDefault="0065721F" w:rsidP="006F38AE">
      <w:pPr>
        <w:spacing w:after="0" w:line="480" w:lineRule="auto"/>
        <w:jc w:val="both"/>
        <w:rPr>
          <w:rFonts w:ascii="Times New Roman" w:eastAsia="DengXian" w:hAnsi="Times New Roman" w:cs="Times New Roman"/>
          <w:sz w:val="24"/>
          <w:szCs w:val="24"/>
        </w:rPr>
      </w:pPr>
    </w:p>
    <w:p w14:paraId="2D64752C" w14:textId="77777777" w:rsidR="006F38AE" w:rsidRPr="001A5452" w:rsidRDefault="006F38AE" w:rsidP="006F38AE">
      <w:pPr>
        <w:spacing w:after="0" w:line="480" w:lineRule="auto"/>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4F896FA5" wp14:editId="7BB43A0D">
            <wp:extent cx="4400550" cy="4928426"/>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17776" cy="4947719"/>
                    </a:xfrm>
                    <a:prstGeom prst="rect">
                      <a:avLst/>
                    </a:prstGeom>
                    <a:noFill/>
                  </pic:spPr>
                </pic:pic>
              </a:graphicData>
            </a:graphic>
          </wp:inline>
        </w:drawing>
      </w:r>
    </w:p>
    <w:p w14:paraId="7DCF5A46" w14:textId="184A0292" w:rsidR="0065721F" w:rsidRDefault="002C5D79" w:rsidP="0041000F">
      <w:pPr>
        <w:pStyle w:val="Caption"/>
        <w:ind w:firstLine="0"/>
        <w:rPr>
          <w:rFonts w:eastAsia="DengXian" w:cs="Times New Roman"/>
          <w:szCs w:val="24"/>
        </w:rPr>
      </w:pPr>
      <w:bookmarkStart w:id="262" w:name="_Toc502662566"/>
      <w:bookmarkStart w:id="263" w:name="_Toc502662678"/>
      <w:bookmarkStart w:id="264" w:name="_Toc518823429"/>
      <w:r>
        <w:t>Figure 6</w:t>
      </w:r>
      <w:r w:rsidR="005128D5">
        <w:t>.</w:t>
      </w:r>
      <w:r w:rsidR="0065721F">
        <w:fldChar w:fldCharType="begin"/>
      </w:r>
      <w:r w:rsidR="0065721F">
        <w:instrText xml:space="preserve"> SEQ Figure_6. \* ARABIC </w:instrText>
      </w:r>
      <w:r w:rsidR="0065721F">
        <w:fldChar w:fldCharType="separate"/>
      </w:r>
      <w:r w:rsidR="00551ED9">
        <w:rPr>
          <w:noProof/>
        </w:rPr>
        <w:t>13</w:t>
      </w:r>
      <w:r w:rsidR="0065721F">
        <w:fldChar w:fldCharType="end"/>
      </w:r>
      <w:r w:rsidR="006F38AE" w:rsidRPr="005128D5">
        <w:rPr>
          <w:rFonts w:eastAsia="DengXian" w:cs="Times New Roman"/>
          <w:szCs w:val="24"/>
        </w:rPr>
        <w:t xml:space="preserve">. </w:t>
      </w:r>
      <w:r w:rsidR="006F38AE" w:rsidRPr="001A5452">
        <w:rPr>
          <w:rFonts w:eastAsia="DengXian" w:cs="Times New Roman"/>
          <w:szCs w:val="24"/>
        </w:rPr>
        <w:t>Optical images (a) and SEM micrographs, (b) of HBPE and HBPE/P-rGO nanocomposites.</w:t>
      </w:r>
      <w:bookmarkEnd w:id="262"/>
      <w:bookmarkEnd w:id="263"/>
      <w:bookmarkEnd w:id="264"/>
      <w:r w:rsidR="006F38AE" w:rsidRPr="001A5452">
        <w:rPr>
          <w:rFonts w:eastAsia="DengXian" w:cs="Times New Roman"/>
          <w:szCs w:val="24"/>
        </w:rPr>
        <w:t xml:space="preserve"> </w:t>
      </w:r>
    </w:p>
    <w:p w14:paraId="7877DB5C" w14:textId="103CA395" w:rsidR="00F50AC6" w:rsidRDefault="006F38AE" w:rsidP="0065721F">
      <w:pPr>
        <w:spacing w:after="0" w:line="480" w:lineRule="auto"/>
        <w:ind w:firstLine="284"/>
        <w:jc w:val="both"/>
        <w:rPr>
          <w:rFonts w:ascii="Times New Roman" w:eastAsia="DengXian" w:hAnsi="Times New Roman" w:cs="Times New Roman"/>
          <w:sz w:val="24"/>
          <w:szCs w:val="24"/>
        </w:rPr>
      </w:pPr>
      <w:r w:rsidRPr="00F93455">
        <w:rPr>
          <w:rFonts w:ascii="Times New Roman" w:eastAsia="DengXian" w:hAnsi="Times New Roman" w:cs="Times New Roman"/>
          <w:sz w:val="24"/>
          <w:szCs w:val="24"/>
        </w:rPr>
        <w:t xml:space="preserve">The dispersion quality of P-rGO in HBEP matrix was investigated by SEM. The samples were fractured in liquid nitrogen prior to SEM analysis. According to Figure </w:t>
      </w:r>
      <w:r w:rsidR="00F50AC6">
        <w:rPr>
          <w:rFonts w:ascii="Times New Roman" w:eastAsia="DengXian" w:hAnsi="Times New Roman" w:cs="Times New Roman"/>
          <w:sz w:val="24"/>
          <w:szCs w:val="24"/>
        </w:rPr>
        <w:t>6.</w:t>
      </w:r>
      <w:r w:rsidR="009A1ACE">
        <w:rPr>
          <w:rFonts w:ascii="Times New Roman" w:eastAsia="DengXian" w:hAnsi="Times New Roman" w:cs="Times New Roman"/>
          <w:sz w:val="24"/>
          <w:szCs w:val="24"/>
        </w:rPr>
        <w:t>13</w:t>
      </w:r>
      <w:r w:rsidRPr="00F93455">
        <w:rPr>
          <w:rFonts w:ascii="Times New Roman" w:eastAsia="DengXian" w:hAnsi="Times New Roman" w:cs="Times New Roman"/>
          <w:sz w:val="24"/>
          <w:szCs w:val="24"/>
        </w:rPr>
        <w:t>(b), neat HBPE shows a flat and smooth surface, with some cracks caused by its brittleness in liquid nitrogen. From SEM images of HBPE/P-rGO composites, P-rGO can be observed in the polymer matrix, and increases with the P-rGO loading.</w:t>
      </w:r>
      <w:r w:rsidRPr="001A5452">
        <w:rPr>
          <w:rFonts w:ascii="Times New Roman" w:eastAsia="DengXian" w:hAnsi="Times New Roman" w:cs="Times New Roman"/>
          <w:sz w:val="24"/>
          <w:szCs w:val="24"/>
        </w:rPr>
        <w:t xml:space="preserve"> </w:t>
      </w:r>
    </w:p>
    <w:p w14:paraId="7E380473" w14:textId="77777777" w:rsidR="0065721F" w:rsidRPr="001A5452" w:rsidRDefault="0065721F" w:rsidP="0065721F">
      <w:pPr>
        <w:spacing w:after="0" w:line="480" w:lineRule="auto"/>
        <w:ind w:firstLine="284"/>
        <w:jc w:val="both"/>
        <w:rPr>
          <w:rFonts w:ascii="Times New Roman" w:eastAsia="DengXian" w:hAnsi="Times New Roman" w:cs="Times New Roman"/>
          <w:sz w:val="24"/>
          <w:szCs w:val="24"/>
        </w:rPr>
      </w:pPr>
    </w:p>
    <w:p w14:paraId="73C9816C" w14:textId="28867DE6" w:rsidR="006F38AE" w:rsidRPr="001A5452" w:rsidRDefault="0041000F" w:rsidP="00A22DC4">
      <w:pPr>
        <w:pStyle w:val="Heading3"/>
      </w:pPr>
      <w:bookmarkStart w:id="265" w:name="_Toc518823358"/>
      <w:r>
        <w:t>6</w:t>
      </w:r>
      <w:r w:rsidR="00BD1DD2">
        <w:t>.</w:t>
      </w:r>
      <w:r w:rsidR="006F38AE" w:rsidRPr="001A5452">
        <w:t>3.2.2. FTIR analysis of HBPE/P-rGO nanocomposites</w:t>
      </w:r>
      <w:bookmarkEnd w:id="265"/>
    </w:p>
    <w:p w14:paraId="14770506" w14:textId="676FFC0E" w:rsidR="006F38AE" w:rsidRPr="001A5452" w:rsidRDefault="006F38AE" w:rsidP="006F38AE">
      <w:pPr>
        <w:spacing w:after="0" w:line="480" w:lineRule="auto"/>
        <w:ind w:left="90"/>
        <w:contextualSpacing/>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FTIR spectra of HBPE and HBPE/P-rGO nanocomposite are given in Figure </w:t>
      </w:r>
      <w:r w:rsidR="004100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14</w:t>
      </w:r>
      <w:r w:rsidRPr="001A5452">
        <w:rPr>
          <w:rFonts w:ascii="Times New Roman" w:eastAsia="DengXian" w:hAnsi="Times New Roman" w:cs="Times New Roman"/>
          <w:sz w:val="24"/>
          <w:szCs w:val="24"/>
        </w:rPr>
        <w:t>. As discussed previously, typical peaks of HBPE were observed at 2921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2852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1737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w:t>
      </w:r>
      <w:r w:rsidR="002D5B74">
        <w:rPr>
          <w:rFonts w:ascii="Times New Roman" w:eastAsia="DengXian" w:hAnsi="Times New Roman" w:cs="Times New Roman"/>
          <w:sz w:val="24"/>
          <w:szCs w:val="24"/>
        </w:rPr>
        <w:t xml:space="preserve">and </w:t>
      </w:r>
      <w:r w:rsidRPr="001A5452">
        <w:rPr>
          <w:rFonts w:ascii="Times New Roman" w:eastAsia="DengXian" w:hAnsi="Times New Roman" w:cs="Times New Roman"/>
          <w:sz w:val="24"/>
          <w:szCs w:val="24"/>
        </w:rPr>
        <w:t>1167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corresponding to C-H stretch from alkane, C=O stretch from ester groups, and C-O stretch from ester groups. After addition of P-rGO, the peaks at 1655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1544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and 1018 cm</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disappeared in HBPE/P-RGO composites, indicating that P-rGO has been successfully grafted onto HBPE.</w:t>
      </w:r>
    </w:p>
    <w:p w14:paraId="3508632A" w14:textId="77777777" w:rsidR="006F38AE" w:rsidRPr="001A5452" w:rsidRDefault="006F38AE" w:rsidP="006F38AE">
      <w:pPr>
        <w:spacing w:after="0" w:line="480" w:lineRule="auto"/>
        <w:ind w:firstLine="720"/>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458FC310" wp14:editId="24ADAE86">
            <wp:extent cx="3648075" cy="441784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014" t="7550" r="11659" b="3460"/>
                    <a:stretch/>
                  </pic:blipFill>
                  <pic:spPr bwMode="auto">
                    <a:xfrm>
                      <a:off x="0" y="0"/>
                      <a:ext cx="3707365" cy="4489650"/>
                    </a:xfrm>
                    <a:prstGeom prst="rect">
                      <a:avLst/>
                    </a:prstGeom>
                    <a:noFill/>
                    <a:ln>
                      <a:noFill/>
                    </a:ln>
                    <a:extLst>
                      <a:ext uri="{53640926-AAD7-44D8-BBD7-CCE9431645EC}">
                        <a14:shadowObscured xmlns:a14="http://schemas.microsoft.com/office/drawing/2010/main"/>
                      </a:ext>
                    </a:extLst>
                  </pic:spPr>
                </pic:pic>
              </a:graphicData>
            </a:graphic>
          </wp:inline>
        </w:drawing>
      </w:r>
    </w:p>
    <w:p w14:paraId="7804F5B6" w14:textId="3F447383" w:rsidR="006F38AE" w:rsidRPr="001A5452" w:rsidRDefault="0041000F" w:rsidP="0065721F">
      <w:pPr>
        <w:pStyle w:val="Caption"/>
        <w:ind w:firstLine="0"/>
        <w:rPr>
          <w:rFonts w:eastAsia="DengXian" w:cs="Times New Roman"/>
          <w:szCs w:val="24"/>
        </w:rPr>
      </w:pPr>
      <w:bookmarkStart w:id="266" w:name="_Toc502662567"/>
      <w:bookmarkStart w:id="267" w:name="_Toc502662679"/>
      <w:bookmarkStart w:id="268" w:name="_Toc518823430"/>
      <w:r>
        <w:t>Figure 6</w:t>
      </w:r>
      <w:r w:rsidR="005128D5">
        <w:t>.</w:t>
      </w:r>
      <w:r w:rsidR="0065721F">
        <w:fldChar w:fldCharType="begin"/>
      </w:r>
      <w:r w:rsidR="0065721F">
        <w:instrText xml:space="preserve"> SEQ Figure_6. \* ARABIC </w:instrText>
      </w:r>
      <w:r w:rsidR="0065721F">
        <w:fldChar w:fldCharType="separate"/>
      </w:r>
      <w:r w:rsidR="00551ED9">
        <w:rPr>
          <w:noProof/>
        </w:rPr>
        <w:t>14</w:t>
      </w:r>
      <w:r w:rsidR="0065721F">
        <w:fldChar w:fldCharType="end"/>
      </w:r>
      <w:r w:rsidR="006F38AE" w:rsidRPr="005128D5">
        <w:rPr>
          <w:rFonts w:eastAsia="DengXian" w:cs="Times New Roman"/>
          <w:szCs w:val="24"/>
        </w:rPr>
        <w:t>.</w:t>
      </w:r>
      <w:r w:rsidR="006F38AE" w:rsidRPr="001A5452">
        <w:rPr>
          <w:rFonts w:eastAsia="DengXian" w:cs="Times New Roman"/>
          <w:szCs w:val="24"/>
        </w:rPr>
        <w:t xml:space="preserve">  FTIR spectra of HBPE and HBPE/P-rGO nanocomposites with various P-rGO loadings.</w:t>
      </w:r>
      <w:bookmarkEnd w:id="266"/>
      <w:bookmarkEnd w:id="267"/>
      <w:bookmarkEnd w:id="268"/>
    </w:p>
    <w:p w14:paraId="71533C9A" w14:textId="57301B20" w:rsidR="006F38AE" w:rsidRPr="00401CA2" w:rsidRDefault="0041000F" w:rsidP="00A22DC4">
      <w:pPr>
        <w:pStyle w:val="Heading2"/>
      </w:pPr>
      <w:bookmarkStart w:id="269" w:name="_Toc518823359"/>
      <w:r>
        <w:t>6</w:t>
      </w:r>
      <w:r w:rsidR="00BD1DD2">
        <w:t>.</w:t>
      </w:r>
      <w:r w:rsidR="006F38AE" w:rsidRPr="00F56479">
        <w:t>3.3</w:t>
      </w:r>
      <w:r w:rsidR="006F38AE" w:rsidRPr="00401CA2">
        <w:t>. Stress-strain behavior of HBPE and HBPE/P-rGO nanocomposites</w:t>
      </w:r>
      <w:bookmarkEnd w:id="269"/>
    </w:p>
    <w:p w14:paraId="2148D8F5" w14:textId="22308CB6" w:rsidR="006F38AE" w:rsidRPr="00401CA2" w:rsidRDefault="0041000F" w:rsidP="00A22DC4">
      <w:pPr>
        <w:pStyle w:val="Heading3"/>
      </w:pPr>
      <w:bookmarkStart w:id="270" w:name="_Toc518823360"/>
      <w:r>
        <w:t>6</w:t>
      </w:r>
      <w:r w:rsidR="00BD1DD2">
        <w:t>.</w:t>
      </w:r>
      <w:r w:rsidR="006F38AE" w:rsidRPr="00401CA2">
        <w:t>3.3.1. Tensile properties of HBPE and HBPE/P-rGO nancomposites</w:t>
      </w:r>
      <w:bookmarkEnd w:id="270"/>
      <w:r w:rsidR="006F38AE" w:rsidRPr="00401CA2">
        <w:t xml:space="preserve"> </w:t>
      </w:r>
    </w:p>
    <w:p w14:paraId="02B7EFF9" w14:textId="63CFCA41" w:rsidR="006F38AE" w:rsidRPr="001A5452" w:rsidRDefault="006F38AE" w:rsidP="006F38AE">
      <w:pPr>
        <w:spacing w:after="0" w:line="480" w:lineRule="auto"/>
        <w:contextualSpacing/>
        <w:jc w:val="both"/>
        <w:rPr>
          <w:rFonts w:ascii="Times New Roman" w:eastAsia="DengXian" w:hAnsi="Times New Roman" w:cs="Times New Roman"/>
          <w:sz w:val="24"/>
          <w:szCs w:val="24"/>
        </w:rPr>
      </w:pPr>
      <w:r w:rsidRPr="00401CA2">
        <w:rPr>
          <w:rFonts w:ascii="Times New Roman" w:eastAsia="DengXian" w:hAnsi="Times New Roman" w:cs="Times New Roman"/>
          <w:sz w:val="24"/>
          <w:szCs w:val="24"/>
        </w:rPr>
        <w:t xml:space="preserve">Compared to conventional linear polymers, hyperbranced polymers process poor mechanical properties due to the less entanglements caused by abundant of branches </w:t>
      </w:r>
      <w:r w:rsidRPr="00401CA2">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"10.1088/0954-0083/13/2/304", "ISBN" : "0954-0083", "ISSN" : "09540083", "abstract" : "A review with 30 refs.  Hyperbranched arom. polyamides and copolymers were prepd. by direct polycondensation in the presence of condensation agents.  Three strategies were described: (1) self-polycondensation of ABx-type monomers, (2) copolymn. of AB2 and AB monomers and (3) polymn. of A2 and B3 monomers.  The self-polycondensation of ABx monomers proceeded without gelation to form sol. powdery polymers.  The degree of branching of the hyperbranched polyamides was greatly influenced by the structure of the monomers.  Copolymn. of AB2 and AB monomers allowed control of the branching d. of the resulting polymers.  Spectroscopic measurements revealed that the copolymers were composed of five kinds of repeating units.  The good soly. and adequate soln. viscosity of the copolymers allowed the prepn. of transparent yellow films by casting the copolymer soln. onto a glass plate.  The polymn. of A2 and B3 monomers was also investigated as a novel route to prep. hyperbranched polyamides without using ABx-type monomers.  Gelation during the polymn. could be avoided by the optimization of the reaction conditions.  The structure and properties of the resulting polymers were compared with the hyperbranched polyamide prepd. from the corresponding AB2 monomer. [on SciFinder(R)]", "author" : [ { "dropping-particle" : "", "family" : "Jikei", "given" : "Mitsutoshi", "non-dropping-particle" : "", "parse-names" : false, "suffix" : "" }, { "dropping-particle" : "", "family" : "Kakimoto", "given" : "Masa-aki", "non-dropping-particle" : "", "parse-names" : false, "suffix" : "" } ], "container-title" : "High Performance Polymers", "id" : "ITEM-1", "issued" : { "date-parts" : [ [ "2001" ] ] }, "page" : "33-43", "title" : "Hyperbranched aromatic polyamides prepared by direct polycondensation", "type" : "article-journal", "volume" : "13" }, "uris" : [ "http://www.mendeley.com/documents/?uuid=a00d3bb6-0a57-44ec-b3ca-2be2ba4e9a49" ] } ], "mendeley" : { "formattedCitation" : "[5]", "plainTextFormattedCitation" : "[5]", "previouslyFormattedCitation" : "[5]" }, "properties" : {  }, "schema" : "https://github.com/citation-style-language/schema/raw/master/csl-citation.json" }</w:instrText>
      </w:r>
      <w:r w:rsidRPr="00401CA2">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[5]</w:t>
      </w:r>
      <w:r w:rsidRPr="00401CA2">
        <w:rPr>
          <w:rFonts w:ascii="Times New Roman" w:eastAsia="DengXian" w:hAnsi="Times New Roman" w:cs="Times New Roman"/>
          <w:sz w:val="24"/>
          <w:szCs w:val="24"/>
        </w:rPr>
        <w:fldChar w:fldCharType="end"/>
      </w:r>
      <w:r w:rsidRPr="00401CA2">
        <w:rPr>
          <w:rFonts w:ascii="Times New Roman" w:eastAsia="DengXian" w:hAnsi="Times New Roman" w:cs="Times New Roman"/>
          <w:sz w:val="24"/>
          <w:szCs w:val="24"/>
        </w:rPr>
        <w:t xml:space="preserve">. For most of the graphene/elastomers reported previously, the </w:t>
      </w:r>
      <w:r w:rsidR="00F56479">
        <w:rPr>
          <w:rFonts w:ascii="Times New Roman" w:eastAsia="DengXian" w:hAnsi="Times New Roman" w:cs="Times New Roman"/>
          <w:sz w:val="24"/>
          <w:szCs w:val="24"/>
        </w:rPr>
        <w:t>Y</w:t>
      </w:r>
      <w:r w:rsidRPr="009C2E51">
        <w:rPr>
          <w:rFonts w:ascii="Times New Roman" w:eastAsia="DengXian" w:hAnsi="Times New Roman" w:cs="Times New Roman"/>
          <w:sz w:val="24"/>
          <w:szCs w:val="24"/>
        </w:rPr>
        <w:t>oung’s modulus and tensile strength were enhanced with graphene content</w:t>
      </w:r>
      <w:r w:rsidRPr="00401CA2">
        <w:rPr>
          <w:rFonts w:ascii="Times New Roman" w:eastAsia="DengXian" w:hAnsi="Times New Roman" w:cs="Times New Roman"/>
          <w:sz w:val="24"/>
          <w:szCs w:val="24"/>
        </w:rPr>
        <w:t>. However, the elongation at break was depending on the synthesis process</w:t>
      </w:r>
      <w:r w:rsidRPr="00F56479">
        <w:rPr>
          <w:rFonts w:ascii="Times New Roman" w:eastAsia="DengXian" w:hAnsi="Times New Roman" w:cs="Times New Roman"/>
          <w:sz w:val="24"/>
          <w:szCs w:val="24"/>
        </w:rPr>
        <w:t xml:space="preserve"> </w:t>
      </w:r>
      <w:r w:rsidRPr="00401CA2">
        <w:rPr>
          <w:rFonts w:ascii="Times New Roman" w:eastAsia="DengXian" w:hAnsi="Times New Roman" w:cs="Times New Roman"/>
          <w:sz w:val="24"/>
          <w:szCs w:val="24"/>
        </w:rPr>
        <w:t xml:space="preserve">and the graphene concentration </w:t>
      </w:r>
      <w:r w:rsidRPr="00401CA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"10.1016/j.carbon.2015.08.055", "ISSN" : "00086223", "abstract" : "In the decade since the first isolation and identification of graphene, the scientific community is still finding ways to utilize its unique properties. The present review deals with the preparation and physicochemical characterization of graphene-based elastomeric nanocomposites. The processing and characterization of graphene and graphene oxide are described in detail, since the presence of such fillers in an elastomeric matrix affects dramatically the properties of the nanocomposite samples. Several preparation routes for the efficient dispersion of graphene in elastomers are then discussed, while aspects such as the interfacial bonding between the filler and the matrix or interactions between the fillers have been thoroughly analysed. Different types of graphene/elastomer nanocomposites are described in terms of their manufacture and properties and it has been shown that depending on the type of graphene employed and the preparation methods, the mechanical, thermal, electrical and barrier properties of the elastomeric matrix can be enhanced due to the presence of graphene, even at relatively-low filler loadings. In most cases, the formation of a filler network can play a major role in the improvement of the overall performance of the material.", "author" : [ { "dropping-particle" : "", "family" : "Papageorgiou", "given" : "Dimitrios G.", "non-dropping-particle" : "", "parse-names" : false, "suffix" : "" }, { "dropping-particle" : "", "family" : "Kinloch", "given" : "Ian A.", "non-dropping-particle" : "", "parse-names" : false, "suffix" : "" }, { "dropping-particle" : "", "family" : "Young", "given" : "Robert J.", "non-dropping-particle" : "", "parse-names" : false, "suffix" : "" } ], "container-title" : "Carbon", "id" : "ITEM-1", "issued" : { "date-parts" : [ [ "2015" ] ] }, "page" : "460-484", "publisher" : "The Authors", "title" : "Graphene/elastomer nanocomposites", "type" : "article-journal", "volume" : "95" }, "uris" : [ "http://www.mendeley.com/documents/?uuid=ea282662-5b27-4907-8387-ae4a3d619b59" ] } ], "mendeley" : { "formattedCitation" : "[257]", "plainTextFormattedCitation" : "[257]", "previouslyFormattedCitation" : "[257]" }, "properties" : {  }, "schema" : "https://github.com/citation-style-language/schema/raw/master/csl-citation.json" }</w:instrText>
      </w:r>
      <w:r w:rsidRPr="00401CA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[257]</w:t>
      </w:r>
      <w:r w:rsidRPr="00401CA2">
        <w:rPr>
          <w:rFonts w:ascii="Times New Roman" w:eastAsia="DengXian" w:hAnsi="Times New Roman" w:cs="Times New Roman"/>
          <w:sz w:val="24"/>
          <w:szCs w:val="24"/>
        </w:rPr>
        <w:fldChar w:fldCharType="end"/>
      </w:r>
      <w:r w:rsidRPr="00401CA2">
        <w:rPr>
          <w:rFonts w:ascii="Times New Roman" w:eastAsia="DengXian" w:hAnsi="Times New Roman" w:cs="Times New Roman"/>
          <w:sz w:val="24"/>
          <w:szCs w:val="24"/>
        </w:rPr>
        <w:t xml:space="preserve">. In this work, tensile tests were carried out to investigate the influence of P-rGO on the mechanical properties of HBPE, and HBPE/P-rGO composites, and the results are shown in Figure </w:t>
      </w:r>
      <w:r w:rsidR="0041000F">
        <w:rPr>
          <w:rFonts w:ascii="Times New Roman" w:eastAsia="DengXian" w:hAnsi="Times New Roman" w:cs="Times New Roman"/>
          <w:sz w:val="24"/>
          <w:szCs w:val="24"/>
        </w:rPr>
        <w:t>6</w:t>
      </w:r>
      <w:r w:rsidR="005128D5">
        <w:rPr>
          <w:rFonts w:ascii="Times New Roman" w:eastAsia="DengXian" w:hAnsi="Times New Roman" w:cs="Times New Roman"/>
          <w:sz w:val="24"/>
          <w:szCs w:val="24"/>
        </w:rPr>
        <w:t>.15</w:t>
      </w:r>
      <w:r w:rsidRPr="00401CA2">
        <w:rPr>
          <w:rFonts w:ascii="Times New Roman" w:eastAsia="DengXian" w:hAnsi="Times New Roman" w:cs="Times New Roman"/>
          <w:sz w:val="24"/>
          <w:szCs w:val="24"/>
        </w:rPr>
        <w:t xml:space="preserve"> and summarized in Table </w:t>
      </w:r>
      <w:r w:rsidR="004100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5128D5">
        <w:rPr>
          <w:rFonts w:ascii="Times New Roman" w:eastAsia="DengXian" w:hAnsi="Times New Roman" w:cs="Times New Roman"/>
          <w:sz w:val="24"/>
          <w:szCs w:val="24"/>
        </w:rPr>
        <w:t>2</w:t>
      </w:r>
      <w:r w:rsidRPr="00401CA2">
        <w:rPr>
          <w:rFonts w:ascii="Times New Roman" w:eastAsia="DengXian" w:hAnsi="Times New Roman" w:cs="Times New Roman"/>
          <w:sz w:val="24"/>
          <w:szCs w:val="24"/>
        </w:rPr>
        <w:t>.</w:t>
      </w:r>
      <w:r w:rsidRPr="001A5452">
        <w:rPr>
          <w:rFonts w:ascii="Times New Roman" w:eastAsia="DengXian" w:hAnsi="Times New Roman" w:cs="Times New Roman"/>
          <w:sz w:val="24"/>
          <w:szCs w:val="24"/>
        </w:rPr>
        <w:t xml:space="preserve"> </w:t>
      </w:r>
    </w:p>
    <w:p w14:paraId="657DC313" w14:textId="17E01B7E" w:rsidR="006F38AE" w:rsidRPr="001A5452" w:rsidRDefault="009C2E51" w:rsidP="006F38AE">
      <w:pPr>
        <w:spacing w:after="0" w:line="480" w:lineRule="auto"/>
        <w:ind w:left="90"/>
        <w:contextualSpacing/>
        <w:jc w:val="center"/>
        <w:rPr>
          <w:rFonts w:ascii="Times New Roman" w:eastAsia="DengXian" w:hAnsi="Times New Roman" w:cs="Times New Roman"/>
          <w:sz w:val="24"/>
          <w:szCs w:val="24"/>
        </w:rPr>
      </w:pPr>
      <w:r>
        <w:rPr>
          <w:rFonts w:ascii="Times New Roman" w:eastAsia="DengXian" w:hAnsi="Times New Roman" w:cs="Times New Roman"/>
          <w:noProof/>
          <w:sz w:val="24"/>
          <w:szCs w:val="24"/>
          <w:lang w:val="en-GB"/>
        </w:rPr>
        <w:drawing>
          <wp:inline distT="0" distB="0" distL="0" distR="0" wp14:anchorId="6F083D17" wp14:editId="009B9ADF">
            <wp:extent cx="6134100" cy="66541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39337" cy="6659830"/>
                    </a:xfrm>
                    <a:prstGeom prst="rect">
                      <a:avLst/>
                    </a:prstGeom>
                    <a:noFill/>
                  </pic:spPr>
                </pic:pic>
              </a:graphicData>
            </a:graphic>
          </wp:inline>
        </w:drawing>
      </w:r>
    </w:p>
    <w:p w14:paraId="34A259C1" w14:textId="053329D8" w:rsidR="0065721F" w:rsidRPr="0041000F" w:rsidRDefault="0041000F" w:rsidP="0041000F">
      <w:pPr>
        <w:pStyle w:val="Caption"/>
        <w:ind w:firstLine="0"/>
        <w:rPr>
          <w:rFonts w:eastAsia="DengXian" w:cs="Times New Roman"/>
          <w:szCs w:val="24"/>
        </w:rPr>
      </w:pPr>
      <w:bookmarkStart w:id="271" w:name="_Toc502662568"/>
      <w:bookmarkStart w:id="272" w:name="_Toc502662680"/>
      <w:bookmarkStart w:id="273" w:name="_Toc518823431"/>
      <w:r>
        <w:t>Figure 6</w:t>
      </w:r>
      <w:r w:rsidR="005128D5">
        <w:t>.</w:t>
      </w:r>
      <w:r w:rsidR="0065721F">
        <w:fldChar w:fldCharType="begin"/>
      </w:r>
      <w:r w:rsidR="0065721F">
        <w:instrText xml:space="preserve"> SEQ Figure_6. \* ARABIC </w:instrText>
      </w:r>
      <w:r w:rsidR="0065721F">
        <w:fldChar w:fldCharType="separate"/>
      </w:r>
      <w:r w:rsidR="00551ED9">
        <w:rPr>
          <w:noProof/>
        </w:rPr>
        <w:t>15</w:t>
      </w:r>
      <w:r w:rsidR="0065721F">
        <w:fldChar w:fldCharType="end"/>
      </w:r>
      <w:r w:rsidR="006F38AE" w:rsidRPr="005128D5">
        <w:rPr>
          <w:rFonts w:eastAsia="DengXian" w:cs="Times New Roman"/>
          <w:szCs w:val="24"/>
        </w:rPr>
        <w:t xml:space="preserve">. </w:t>
      </w:r>
      <w:r w:rsidR="006F38AE" w:rsidRPr="001A5452">
        <w:rPr>
          <w:rFonts w:eastAsia="DengXian" w:cs="Times New Roman"/>
          <w:szCs w:val="24"/>
        </w:rPr>
        <w:t>Representative tensile stress–strain curves of HBPE and HBPE/P-rGO nanocomposites with various P-rGO loadings.</w:t>
      </w:r>
      <w:bookmarkEnd w:id="271"/>
      <w:bookmarkEnd w:id="272"/>
      <w:bookmarkEnd w:id="273"/>
    </w:p>
    <w:p w14:paraId="15FD98D6" w14:textId="5FFA99D3" w:rsidR="006F38AE" w:rsidRPr="001A5452" w:rsidRDefault="006F38AE" w:rsidP="006F38AE">
      <w:pPr>
        <w:spacing w:after="0" w:line="480" w:lineRule="auto"/>
        <w:ind w:firstLine="360"/>
        <w:contextualSpacing/>
        <w:jc w:val="both"/>
        <w:rPr>
          <w:rFonts w:ascii="Times New Roman" w:eastAsia="DengXian" w:hAnsi="Times New Roman" w:cs="Times New Roman"/>
          <w:sz w:val="24"/>
          <w:szCs w:val="24"/>
        </w:rPr>
      </w:pPr>
      <w:r w:rsidRPr="00401CA2">
        <w:rPr>
          <w:rFonts w:ascii="Times New Roman" w:eastAsia="DengXian" w:hAnsi="Times New Roman" w:cs="Times New Roman"/>
          <w:sz w:val="24"/>
          <w:szCs w:val="24"/>
        </w:rPr>
        <w:t xml:space="preserve">Figure </w:t>
      </w:r>
      <w:r w:rsidR="004100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15</w:t>
      </w:r>
      <w:r w:rsidRPr="00401CA2">
        <w:rPr>
          <w:rFonts w:ascii="Times New Roman" w:eastAsia="DengXian" w:hAnsi="Times New Roman" w:cs="Times New Roman"/>
          <w:sz w:val="24"/>
          <w:szCs w:val="24"/>
        </w:rPr>
        <w:t xml:space="preserve">(a) shows a typical tensile stress–strain plot of an elastomer, in which the stress-strain curve is non-linearity and there is no constant value of the elastic modulus </w:t>
      </w:r>
      <w:r w:rsidRPr="00F93455">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"ISBN" : "9783446416819", "author" : [ { "dropping-particle" : "", "family" : "Judson T. Bauman", "given" : "", "non-dropping-particle" : "", "parse-names" : false, "suffix" : "" } ], "chapter-number" : "2", "container-title" : "Fatigue , Stress , and Strain of Rubber Components", "id" : "ITEM-1", "issued" : { "date-parts" : [ [ "2008" ] ] }, "page" : "9-11", "title" : "Rubber stress-strain behavior", "type" : "chapter" }, "uris" : [ "http://www.mendeley.com/documents/?uuid=82d82ee6-e233-402a-99f5-14b4d0ee3f28" ] } ], "mendeley" : { "formattedCitation" : "[258]", "plainTextFormattedCitation" : "[258]", "previouslyFormattedCitation" : "[258]" }, "properties" : {  }, "schema" : "https://github.com/citation-style-language/schema/raw/master/csl-citation.json" }</w:instrText>
      </w:r>
      <w:r w:rsidRPr="00F93455">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[258]</w:t>
      </w:r>
      <w:r w:rsidRPr="00F93455">
        <w:rPr>
          <w:rFonts w:ascii="Times New Roman" w:eastAsia="DengXian" w:hAnsi="Times New Roman" w:cs="Times New Roman"/>
          <w:sz w:val="24"/>
          <w:szCs w:val="24"/>
        </w:rPr>
        <w:fldChar w:fldCharType="end"/>
      </w:r>
      <w:r w:rsidRPr="001A01B3">
        <w:rPr>
          <w:rFonts w:ascii="Times New Roman" w:eastAsia="DengXian" w:hAnsi="Times New Roman" w:cs="Times New Roman"/>
          <w:sz w:val="24"/>
          <w:szCs w:val="24"/>
        </w:rPr>
        <w:t xml:space="preserve">. According to Figure </w:t>
      </w:r>
      <w:r w:rsidR="004100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9A1ACE">
        <w:rPr>
          <w:rFonts w:ascii="Times New Roman" w:eastAsia="DengXian" w:hAnsi="Times New Roman" w:cs="Times New Roman"/>
          <w:sz w:val="24"/>
          <w:szCs w:val="24"/>
        </w:rPr>
        <w:t>15</w:t>
      </w:r>
      <w:r w:rsidRPr="001A01B3">
        <w:rPr>
          <w:rFonts w:ascii="Times New Roman" w:eastAsia="DengXian" w:hAnsi="Times New Roman" w:cs="Times New Roman"/>
          <w:sz w:val="24"/>
          <w:szCs w:val="24"/>
        </w:rPr>
        <w:t>, it is obvious that the addition of P-rGO into the polymer matrix has a significant influence on the mechanical behavior. Elongation at break increases was improved by addition of P-rGO nanofillers, and the maximum happened at 0.1 wt.% composite (22% increase over neat HBPE). The Young’s modulus, tensile strength, energy at break of HBPE/P-rGO composites increase with P-rGO loading, and up to 209.3 KPa, 407.9 KPa, 792.8 KJ m</w:t>
      </w:r>
      <w:r w:rsidRPr="001A01B3">
        <w:rPr>
          <w:rFonts w:ascii="Times New Roman" w:eastAsia="DengXian" w:hAnsi="Times New Roman" w:cs="Times New Roman"/>
          <w:sz w:val="24"/>
          <w:szCs w:val="24"/>
          <w:vertAlign w:val="superscript"/>
        </w:rPr>
        <w:t>-3</w:t>
      </w:r>
      <w:r w:rsidRPr="001A01B3">
        <w:rPr>
          <w:rFonts w:ascii="Times New Roman" w:eastAsia="DengXian" w:hAnsi="Times New Roman" w:cs="Times New Roman"/>
          <w:sz w:val="24"/>
          <w:szCs w:val="24"/>
        </w:rPr>
        <w:t xml:space="preserve"> at 0.5 wt.% HBPE/rGO composites, respectively. </w:t>
      </w:r>
      <w:r w:rsidR="00644946">
        <w:rPr>
          <w:rFonts w:ascii="Times New Roman" w:eastAsia="DengXian" w:hAnsi="Times New Roman" w:cs="Times New Roman"/>
          <w:sz w:val="24"/>
          <w:szCs w:val="24"/>
        </w:rPr>
        <w:t>That is</w:t>
      </w:r>
      <w:r w:rsidRPr="001A01B3">
        <w:rPr>
          <w:rFonts w:ascii="Times New Roman" w:eastAsia="DengXian" w:hAnsi="Times New Roman" w:cs="Times New Roman"/>
          <w:sz w:val="24"/>
          <w:szCs w:val="24"/>
        </w:rPr>
        <w:t>, 0.5 wt.% composite exhibits an enhancement of 160% (Young’s modulus), 205% (</w:t>
      </w:r>
      <w:r w:rsidR="00644946">
        <w:rPr>
          <w:rFonts w:ascii="Times New Roman" w:eastAsia="DengXian" w:hAnsi="Times New Roman" w:cs="Times New Roman"/>
          <w:sz w:val="24"/>
          <w:szCs w:val="24"/>
        </w:rPr>
        <w:t>t</w:t>
      </w:r>
      <w:r w:rsidRPr="001A01B3">
        <w:rPr>
          <w:rFonts w:ascii="Times New Roman" w:eastAsia="DengXian" w:hAnsi="Times New Roman" w:cs="Times New Roman"/>
          <w:sz w:val="24"/>
          <w:szCs w:val="24"/>
        </w:rPr>
        <w:t xml:space="preserve">ensile strength), 261% (energy at break) over neat HBPE respectively. </w:t>
      </w:r>
      <w:r w:rsidRPr="0041000F">
        <w:rPr>
          <w:rFonts w:ascii="Times New Roman" w:eastAsia="DengXian" w:hAnsi="Times New Roman" w:cs="Times New Roman"/>
          <w:sz w:val="24"/>
          <w:szCs w:val="24"/>
        </w:rPr>
        <w:t xml:space="preserve">Meanwhile, the elongation at break of 0.1 wt.% composite was improved by 22% over neat HBPE. </w:t>
      </w:r>
      <w:r w:rsidR="00756740" w:rsidRPr="0041000F">
        <w:rPr>
          <w:rFonts w:ascii="Times New Roman" w:eastAsia="DengXian" w:hAnsi="Times New Roman" w:cs="Times New Roman"/>
          <w:sz w:val="24"/>
          <w:szCs w:val="24"/>
        </w:rPr>
        <w:t xml:space="preserve">The addition of GO enhanced both tensile strength, and elongation at break, which is presumably because of the GO structure. GO sheets are parallel to each other, which can be slippery under external force, resulting in increased elongation at break. </w:t>
      </w:r>
      <w:r w:rsidRPr="0041000F">
        <w:rPr>
          <w:rFonts w:ascii="Times New Roman" w:eastAsia="DengXian" w:hAnsi="Times New Roman" w:cs="Times New Roman"/>
          <w:sz w:val="24"/>
          <w:szCs w:val="24"/>
        </w:rPr>
        <w:t xml:space="preserve">This promising result certifies </w:t>
      </w:r>
      <w:r w:rsidRPr="001A01B3">
        <w:rPr>
          <w:rFonts w:ascii="Times New Roman" w:eastAsia="DengXian" w:hAnsi="Times New Roman" w:cs="Times New Roman"/>
          <w:sz w:val="24"/>
          <w:szCs w:val="24"/>
        </w:rPr>
        <w:t xml:space="preserve">the excellent dispersion of </w:t>
      </w:r>
      <w:r w:rsidR="00644946" w:rsidRPr="000B69DE">
        <w:rPr>
          <w:rFonts w:ascii="Times New Roman" w:eastAsia="DengXian" w:hAnsi="Times New Roman" w:cs="Times New Roman"/>
          <w:sz w:val="24"/>
          <w:szCs w:val="24"/>
        </w:rPr>
        <w:t>P-rGO</w:t>
      </w:r>
      <w:r w:rsidRPr="001A01B3">
        <w:rPr>
          <w:rFonts w:ascii="Times New Roman" w:eastAsia="DengXian" w:hAnsi="Times New Roman" w:cs="Times New Roman"/>
          <w:sz w:val="24"/>
          <w:szCs w:val="24"/>
        </w:rPr>
        <w:t xml:space="preserve"> in polymer matrix and the strong </w:t>
      </w:r>
      <w:r w:rsidR="00644946">
        <w:rPr>
          <w:rFonts w:ascii="Times New Roman" w:eastAsia="DengXian" w:hAnsi="Times New Roman" w:cs="Times New Roman"/>
          <w:sz w:val="24"/>
          <w:szCs w:val="24"/>
        </w:rPr>
        <w:t>interactions</w:t>
      </w:r>
      <w:r w:rsidR="00644946" w:rsidRPr="001A01B3">
        <w:rPr>
          <w:rFonts w:ascii="Times New Roman" w:eastAsia="DengXian" w:hAnsi="Times New Roman" w:cs="Times New Roman"/>
          <w:sz w:val="24"/>
          <w:szCs w:val="24"/>
        </w:rPr>
        <w:t xml:space="preserve"> </w:t>
      </w:r>
      <w:r w:rsidRPr="001A01B3">
        <w:rPr>
          <w:rFonts w:ascii="Times New Roman" w:eastAsia="DengXian" w:hAnsi="Times New Roman" w:cs="Times New Roman"/>
          <w:sz w:val="24"/>
          <w:szCs w:val="24"/>
        </w:rPr>
        <w:t>between</w:t>
      </w:r>
      <w:r w:rsidR="001A01B3">
        <w:rPr>
          <w:rFonts w:ascii="Times New Roman" w:eastAsia="DengXian" w:hAnsi="Times New Roman" w:cs="Times New Roman"/>
          <w:sz w:val="24"/>
          <w:szCs w:val="24"/>
        </w:rPr>
        <w:t xml:space="preserve"> the organic matrix and fillers, as well as high modulus and strength of P-rGO.</w:t>
      </w:r>
    </w:p>
    <w:p w14:paraId="3CDCFC78" w14:textId="77777777" w:rsidR="006F38AE" w:rsidRPr="001A5452" w:rsidRDefault="006F38AE" w:rsidP="006F38AE">
      <w:pPr>
        <w:spacing w:after="0" w:line="480" w:lineRule="auto"/>
        <w:ind w:firstLine="360"/>
        <w:contextualSpacing/>
        <w:jc w:val="both"/>
        <w:rPr>
          <w:rFonts w:ascii="Times New Roman" w:eastAsia="DengXian" w:hAnsi="Times New Roman" w:cs="Times New Roman"/>
          <w:sz w:val="24"/>
          <w:szCs w:val="24"/>
        </w:rPr>
      </w:pPr>
    </w:p>
    <w:p w14:paraId="04CE6050" w14:textId="7D5D0981" w:rsidR="006F38AE" w:rsidRPr="001A5452" w:rsidRDefault="0041000F" w:rsidP="0065721F">
      <w:pPr>
        <w:pStyle w:val="Caption"/>
        <w:ind w:firstLine="0"/>
        <w:rPr>
          <w:rFonts w:eastAsia="DengXian" w:cs="Times New Roman"/>
          <w:szCs w:val="24"/>
        </w:rPr>
      </w:pPr>
      <w:bookmarkStart w:id="274" w:name="_Toc502660887"/>
      <w:bookmarkStart w:id="275" w:name="_Toc502660958"/>
      <w:bookmarkStart w:id="276" w:name="_Toc502661180"/>
      <w:bookmarkStart w:id="277" w:name="_Toc518823477"/>
      <w:r>
        <w:t>Table 6</w:t>
      </w:r>
      <w:r w:rsidR="005128D5">
        <w:t>.</w:t>
      </w:r>
      <w:r w:rsidR="0065721F" w:rsidRPr="005128D5">
        <w:fldChar w:fldCharType="begin"/>
      </w:r>
      <w:r w:rsidR="0065721F" w:rsidRPr="005128D5">
        <w:instrText xml:space="preserve"> SEQ Table_6. \* ARABIC </w:instrText>
      </w:r>
      <w:r w:rsidR="0065721F" w:rsidRPr="005128D5">
        <w:fldChar w:fldCharType="separate"/>
      </w:r>
      <w:r w:rsidR="00551ED9" w:rsidRPr="005128D5">
        <w:rPr>
          <w:noProof/>
        </w:rPr>
        <w:t>2</w:t>
      </w:r>
      <w:r w:rsidR="0065721F" w:rsidRPr="005128D5">
        <w:fldChar w:fldCharType="end"/>
      </w:r>
      <w:r w:rsidR="006F38AE" w:rsidRPr="005128D5">
        <w:rPr>
          <w:rFonts w:eastAsia="DengXian" w:cs="Times New Roman"/>
          <w:szCs w:val="24"/>
        </w:rPr>
        <w:t>.</w:t>
      </w:r>
      <w:r w:rsidR="006F38AE" w:rsidRPr="001A5452">
        <w:rPr>
          <w:rFonts w:eastAsia="DengXian" w:cs="Times New Roman"/>
          <w:b w:val="0"/>
          <w:szCs w:val="24"/>
        </w:rPr>
        <w:t xml:space="preserve"> </w:t>
      </w:r>
      <w:r w:rsidR="006F38AE" w:rsidRPr="001A5452">
        <w:rPr>
          <w:rFonts w:eastAsia="DengXian" w:cs="Times New Roman"/>
          <w:szCs w:val="24"/>
        </w:rPr>
        <w:t>Summary of tensile properties of HBPE and HBPE/P-rGO composites.</w:t>
      </w:r>
      <w:bookmarkEnd w:id="274"/>
      <w:bookmarkEnd w:id="275"/>
      <w:bookmarkEnd w:id="276"/>
      <w:bookmarkEnd w:id="277"/>
    </w:p>
    <w:tbl>
      <w:tblPr>
        <w:tblStyle w:val="TableGrid2"/>
        <w:tblW w:w="9810" w:type="dxa"/>
        <w:tblLook w:val="04A0" w:firstRow="1" w:lastRow="0" w:firstColumn="1" w:lastColumn="0" w:noHBand="0" w:noVBand="1"/>
      </w:tblPr>
      <w:tblGrid>
        <w:gridCol w:w="1440"/>
        <w:gridCol w:w="2070"/>
        <w:gridCol w:w="1980"/>
        <w:gridCol w:w="2340"/>
        <w:gridCol w:w="1980"/>
      </w:tblGrid>
      <w:tr w:rsidR="006F38AE" w:rsidRPr="001A5452" w14:paraId="503AFE3F" w14:textId="77777777" w:rsidTr="001A5452">
        <w:tc>
          <w:tcPr>
            <w:tcW w:w="1440" w:type="dxa"/>
            <w:tcBorders>
              <w:top w:val="single" w:sz="12" w:space="0" w:color="auto"/>
              <w:left w:val="nil"/>
              <w:bottom w:val="single" w:sz="12" w:space="0" w:color="auto"/>
              <w:right w:val="nil"/>
            </w:tcBorders>
            <w:vAlign w:val="center"/>
          </w:tcPr>
          <w:p w14:paraId="7C5192EF"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Samples</w:t>
            </w:r>
          </w:p>
        </w:tc>
        <w:tc>
          <w:tcPr>
            <w:tcW w:w="2070" w:type="dxa"/>
            <w:tcBorders>
              <w:top w:val="single" w:sz="12" w:space="0" w:color="auto"/>
              <w:left w:val="nil"/>
              <w:bottom w:val="single" w:sz="12" w:space="0" w:color="auto"/>
              <w:right w:val="nil"/>
            </w:tcBorders>
            <w:vAlign w:val="center"/>
          </w:tcPr>
          <w:p w14:paraId="607ECBAA"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Young’s Modulus</w:t>
            </w:r>
          </w:p>
          <w:p w14:paraId="7B5827E0" w14:textId="43FCC916" w:rsidR="006F38AE" w:rsidRPr="001A5452" w:rsidRDefault="00401CA2"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Pr>
                <w:rFonts w:ascii="Times New Roman" w:eastAsia="DengXian" w:hAnsi="Times New Roman" w:cs="Times New Roman"/>
                <w:sz w:val="20"/>
                <w:szCs w:val="20"/>
              </w:rPr>
              <w:t>/ k</w:t>
            </w:r>
            <w:r w:rsidR="006F38AE" w:rsidRPr="001A5452">
              <w:rPr>
                <w:rFonts w:ascii="Times New Roman" w:eastAsia="DengXian" w:hAnsi="Times New Roman" w:cs="Times New Roman"/>
                <w:sz w:val="20"/>
                <w:szCs w:val="20"/>
              </w:rPr>
              <w:t>Pa</w:t>
            </w:r>
          </w:p>
        </w:tc>
        <w:tc>
          <w:tcPr>
            <w:tcW w:w="1980" w:type="dxa"/>
            <w:tcBorders>
              <w:top w:val="single" w:sz="12" w:space="0" w:color="auto"/>
              <w:left w:val="nil"/>
              <w:bottom w:val="single" w:sz="12" w:space="0" w:color="auto"/>
              <w:right w:val="nil"/>
            </w:tcBorders>
            <w:vAlign w:val="center"/>
          </w:tcPr>
          <w:p w14:paraId="7FFEA486"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Tensile Strength</w:t>
            </w:r>
          </w:p>
          <w:p w14:paraId="66FA9519" w14:textId="31897899" w:rsidR="006F38AE" w:rsidRPr="001A5452" w:rsidRDefault="00401CA2"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Pr>
                <w:rFonts w:ascii="Times New Roman" w:eastAsia="DengXian" w:hAnsi="Times New Roman" w:cs="Times New Roman"/>
                <w:sz w:val="20"/>
                <w:szCs w:val="20"/>
              </w:rPr>
              <w:t>/ k</w:t>
            </w:r>
            <w:r w:rsidR="006F38AE" w:rsidRPr="001A5452">
              <w:rPr>
                <w:rFonts w:ascii="Times New Roman" w:eastAsia="DengXian" w:hAnsi="Times New Roman" w:cs="Times New Roman"/>
                <w:sz w:val="20"/>
                <w:szCs w:val="20"/>
              </w:rPr>
              <w:t>Pa</w:t>
            </w:r>
          </w:p>
        </w:tc>
        <w:tc>
          <w:tcPr>
            <w:tcW w:w="2340" w:type="dxa"/>
            <w:tcBorders>
              <w:top w:val="single" w:sz="12" w:space="0" w:color="auto"/>
              <w:left w:val="nil"/>
              <w:bottom w:val="single" w:sz="12" w:space="0" w:color="auto"/>
              <w:right w:val="nil"/>
            </w:tcBorders>
            <w:vAlign w:val="center"/>
          </w:tcPr>
          <w:p w14:paraId="3636D9FE"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Elongation at Break</w:t>
            </w:r>
          </w:p>
          <w:p w14:paraId="7155AD0D"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w:t>
            </w:r>
          </w:p>
        </w:tc>
        <w:tc>
          <w:tcPr>
            <w:tcW w:w="1980" w:type="dxa"/>
            <w:tcBorders>
              <w:top w:val="single" w:sz="12" w:space="0" w:color="auto"/>
              <w:left w:val="nil"/>
              <w:bottom w:val="single" w:sz="12" w:space="0" w:color="auto"/>
              <w:right w:val="nil"/>
            </w:tcBorders>
            <w:vAlign w:val="center"/>
          </w:tcPr>
          <w:p w14:paraId="7EDCCC5F"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Energy at Break</w:t>
            </w:r>
          </w:p>
          <w:p w14:paraId="77995411" w14:textId="076164A4" w:rsidR="006F38AE" w:rsidRPr="001A5452" w:rsidRDefault="00401CA2"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Pr>
                <w:rFonts w:ascii="Times New Roman" w:eastAsia="DengXian" w:hAnsi="Times New Roman" w:cs="Times New Roman"/>
                <w:sz w:val="20"/>
                <w:szCs w:val="20"/>
              </w:rPr>
              <w:t>/ k</w:t>
            </w:r>
            <w:r w:rsidR="006F38AE" w:rsidRPr="001A5452">
              <w:rPr>
                <w:rFonts w:ascii="Times New Roman" w:eastAsia="DengXian" w:hAnsi="Times New Roman" w:cs="Times New Roman"/>
                <w:sz w:val="20"/>
                <w:szCs w:val="20"/>
              </w:rPr>
              <w:t>J m</w:t>
            </w:r>
            <w:r w:rsidR="006F38AE" w:rsidRPr="001A5452">
              <w:rPr>
                <w:rFonts w:ascii="Times New Roman" w:eastAsia="DengXian" w:hAnsi="Times New Roman" w:cs="Times New Roman"/>
                <w:sz w:val="20"/>
                <w:szCs w:val="20"/>
                <w:vertAlign w:val="superscript"/>
              </w:rPr>
              <w:t>-3</w:t>
            </w:r>
          </w:p>
        </w:tc>
      </w:tr>
      <w:tr w:rsidR="006F38AE" w:rsidRPr="001A5452" w14:paraId="7A850BAD" w14:textId="77777777" w:rsidTr="001A5452">
        <w:tc>
          <w:tcPr>
            <w:tcW w:w="1440" w:type="dxa"/>
            <w:tcBorders>
              <w:top w:val="single" w:sz="12" w:space="0" w:color="auto"/>
              <w:left w:val="nil"/>
              <w:bottom w:val="nil"/>
              <w:right w:val="nil"/>
            </w:tcBorders>
            <w:vAlign w:val="center"/>
          </w:tcPr>
          <w:p w14:paraId="02388A49"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HBPE</w:t>
            </w:r>
          </w:p>
        </w:tc>
        <w:tc>
          <w:tcPr>
            <w:tcW w:w="2070" w:type="dxa"/>
            <w:tcBorders>
              <w:top w:val="single" w:sz="12" w:space="0" w:color="auto"/>
              <w:left w:val="nil"/>
              <w:bottom w:val="nil"/>
              <w:right w:val="nil"/>
            </w:tcBorders>
            <w:vAlign w:val="center"/>
          </w:tcPr>
          <w:p w14:paraId="4E1DCC5D"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80.6 ± 1.4</w:t>
            </w:r>
          </w:p>
        </w:tc>
        <w:tc>
          <w:tcPr>
            <w:tcW w:w="1980" w:type="dxa"/>
            <w:tcBorders>
              <w:top w:val="single" w:sz="12" w:space="0" w:color="auto"/>
              <w:left w:val="nil"/>
              <w:bottom w:val="nil"/>
              <w:right w:val="nil"/>
            </w:tcBorders>
          </w:tcPr>
          <w:p w14:paraId="6835EE51" w14:textId="77777777" w:rsidR="006F38AE" w:rsidRPr="001A5452" w:rsidRDefault="006F38AE" w:rsidP="006F38AE">
            <w:pPr>
              <w:tabs>
                <w:tab w:val="center" w:pos="4680"/>
                <w:tab w:val="right" w:pos="9360"/>
              </w:tabs>
              <w:spacing w:line="360" w:lineRule="auto"/>
              <w:jc w:val="center"/>
              <w:rPr>
                <w:rFonts w:ascii="Times New Roman" w:eastAsia="DengXian" w:hAnsi="Times New Roman" w:cs="Times New Roman"/>
                <w:sz w:val="20"/>
                <w:szCs w:val="20"/>
              </w:rPr>
            </w:pPr>
            <w:r w:rsidRPr="001A5452">
              <w:rPr>
                <w:rFonts w:ascii="Times New Roman" w:eastAsia="DengXian" w:hAnsi="Times New Roman" w:cs="Times New Roman"/>
                <w:color w:val="000000"/>
                <w:sz w:val="20"/>
                <w:szCs w:val="20"/>
              </w:rPr>
              <w:t>133.8</w:t>
            </w:r>
            <w:r w:rsidRPr="001A5452">
              <w:rPr>
                <w:rFonts w:ascii="Times New Roman" w:eastAsia="DengXian" w:hAnsi="Times New Roman" w:cs="Times New Roman"/>
                <w:sz w:val="20"/>
                <w:szCs w:val="20"/>
              </w:rPr>
              <w:t xml:space="preserve"> ± 3.7</w:t>
            </w:r>
          </w:p>
        </w:tc>
        <w:tc>
          <w:tcPr>
            <w:tcW w:w="2340" w:type="dxa"/>
            <w:tcBorders>
              <w:top w:val="single" w:sz="12" w:space="0" w:color="auto"/>
              <w:left w:val="nil"/>
              <w:bottom w:val="nil"/>
              <w:right w:val="nil"/>
            </w:tcBorders>
            <w:vAlign w:val="center"/>
          </w:tcPr>
          <w:p w14:paraId="780484CC"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390.8 ± 7.6</w:t>
            </w:r>
          </w:p>
        </w:tc>
        <w:tc>
          <w:tcPr>
            <w:tcW w:w="1980" w:type="dxa"/>
            <w:tcBorders>
              <w:top w:val="single" w:sz="12" w:space="0" w:color="auto"/>
              <w:left w:val="nil"/>
              <w:bottom w:val="nil"/>
              <w:right w:val="nil"/>
            </w:tcBorders>
            <w:vAlign w:val="center"/>
          </w:tcPr>
          <w:p w14:paraId="60676B1C"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219.8 ± 2.2</w:t>
            </w:r>
          </w:p>
        </w:tc>
      </w:tr>
      <w:tr w:rsidR="006F38AE" w:rsidRPr="001A5452" w14:paraId="4AE85D9F" w14:textId="77777777" w:rsidTr="001A5452">
        <w:tc>
          <w:tcPr>
            <w:tcW w:w="1440" w:type="dxa"/>
            <w:tcBorders>
              <w:top w:val="nil"/>
              <w:left w:val="nil"/>
              <w:bottom w:val="nil"/>
              <w:right w:val="nil"/>
            </w:tcBorders>
            <w:vAlign w:val="center"/>
          </w:tcPr>
          <w:p w14:paraId="5D1DEB60"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0.01 wt.%</w:t>
            </w:r>
          </w:p>
        </w:tc>
        <w:tc>
          <w:tcPr>
            <w:tcW w:w="2070" w:type="dxa"/>
            <w:tcBorders>
              <w:top w:val="nil"/>
              <w:left w:val="nil"/>
              <w:bottom w:val="nil"/>
              <w:right w:val="nil"/>
            </w:tcBorders>
            <w:vAlign w:val="center"/>
          </w:tcPr>
          <w:p w14:paraId="5FDBA1B5"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132.4 ± 4.5</w:t>
            </w:r>
          </w:p>
        </w:tc>
        <w:tc>
          <w:tcPr>
            <w:tcW w:w="1980" w:type="dxa"/>
            <w:tcBorders>
              <w:top w:val="nil"/>
              <w:left w:val="nil"/>
              <w:bottom w:val="nil"/>
              <w:right w:val="nil"/>
            </w:tcBorders>
            <w:vAlign w:val="center"/>
          </w:tcPr>
          <w:p w14:paraId="07D782CF"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163.8 ± 3.8</w:t>
            </w:r>
          </w:p>
        </w:tc>
        <w:tc>
          <w:tcPr>
            <w:tcW w:w="2340" w:type="dxa"/>
            <w:tcBorders>
              <w:top w:val="nil"/>
              <w:left w:val="nil"/>
              <w:bottom w:val="nil"/>
              <w:right w:val="nil"/>
            </w:tcBorders>
            <w:vAlign w:val="center"/>
          </w:tcPr>
          <w:p w14:paraId="71C201CF"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399.8 ± 2.7</w:t>
            </w:r>
          </w:p>
        </w:tc>
        <w:tc>
          <w:tcPr>
            <w:tcW w:w="1980" w:type="dxa"/>
            <w:tcBorders>
              <w:top w:val="nil"/>
              <w:left w:val="nil"/>
              <w:bottom w:val="nil"/>
              <w:right w:val="nil"/>
            </w:tcBorders>
            <w:vAlign w:val="center"/>
          </w:tcPr>
          <w:p w14:paraId="3ACC4E65"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272.2 ± 2.6</w:t>
            </w:r>
          </w:p>
        </w:tc>
      </w:tr>
      <w:tr w:rsidR="006F38AE" w:rsidRPr="001A5452" w14:paraId="2838AE8A" w14:textId="77777777" w:rsidTr="001A5452">
        <w:tc>
          <w:tcPr>
            <w:tcW w:w="1440" w:type="dxa"/>
            <w:tcBorders>
              <w:top w:val="nil"/>
              <w:left w:val="nil"/>
              <w:bottom w:val="nil"/>
              <w:right w:val="nil"/>
            </w:tcBorders>
            <w:vAlign w:val="center"/>
          </w:tcPr>
          <w:p w14:paraId="4F5C69F0"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0.1 wt.%</w:t>
            </w:r>
          </w:p>
        </w:tc>
        <w:tc>
          <w:tcPr>
            <w:tcW w:w="2070" w:type="dxa"/>
            <w:tcBorders>
              <w:top w:val="nil"/>
              <w:left w:val="nil"/>
              <w:bottom w:val="nil"/>
              <w:right w:val="nil"/>
            </w:tcBorders>
            <w:vAlign w:val="center"/>
          </w:tcPr>
          <w:p w14:paraId="2758F97A"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174.3 ± 6.8</w:t>
            </w:r>
          </w:p>
        </w:tc>
        <w:tc>
          <w:tcPr>
            <w:tcW w:w="1980" w:type="dxa"/>
            <w:tcBorders>
              <w:top w:val="nil"/>
              <w:left w:val="nil"/>
              <w:bottom w:val="nil"/>
              <w:right w:val="nil"/>
            </w:tcBorders>
            <w:vAlign w:val="center"/>
          </w:tcPr>
          <w:p w14:paraId="1B677645"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221.4 ± 1.4</w:t>
            </w:r>
          </w:p>
        </w:tc>
        <w:tc>
          <w:tcPr>
            <w:tcW w:w="2340" w:type="dxa"/>
            <w:tcBorders>
              <w:top w:val="nil"/>
              <w:left w:val="nil"/>
              <w:bottom w:val="nil"/>
              <w:right w:val="nil"/>
            </w:tcBorders>
            <w:vAlign w:val="center"/>
          </w:tcPr>
          <w:p w14:paraId="6B30EA57"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477.5 ± 2.0</w:t>
            </w:r>
          </w:p>
        </w:tc>
        <w:tc>
          <w:tcPr>
            <w:tcW w:w="1980" w:type="dxa"/>
            <w:tcBorders>
              <w:top w:val="nil"/>
              <w:left w:val="nil"/>
              <w:bottom w:val="nil"/>
              <w:right w:val="nil"/>
            </w:tcBorders>
            <w:vAlign w:val="center"/>
          </w:tcPr>
          <w:p w14:paraId="4E9AEB10"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426.8 ± 4.2</w:t>
            </w:r>
          </w:p>
        </w:tc>
      </w:tr>
      <w:tr w:rsidR="006F38AE" w:rsidRPr="001A5452" w14:paraId="0834574E" w14:textId="77777777" w:rsidTr="001A5452">
        <w:tc>
          <w:tcPr>
            <w:tcW w:w="1440" w:type="dxa"/>
            <w:tcBorders>
              <w:top w:val="nil"/>
              <w:left w:val="nil"/>
              <w:bottom w:val="single" w:sz="12" w:space="0" w:color="auto"/>
              <w:right w:val="nil"/>
            </w:tcBorders>
            <w:vAlign w:val="center"/>
          </w:tcPr>
          <w:p w14:paraId="218CA2ED"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0.5 wt.%</w:t>
            </w:r>
          </w:p>
        </w:tc>
        <w:tc>
          <w:tcPr>
            <w:tcW w:w="2070" w:type="dxa"/>
            <w:tcBorders>
              <w:top w:val="nil"/>
              <w:left w:val="nil"/>
              <w:bottom w:val="single" w:sz="12" w:space="0" w:color="auto"/>
              <w:right w:val="nil"/>
            </w:tcBorders>
            <w:vAlign w:val="center"/>
          </w:tcPr>
          <w:p w14:paraId="2B5319D1"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209.3 ± 3.7</w:t>
            </w:r>
          </w:p>
        </w:tc>
        <w:tc>
          <w:tcPr>
            <w:tcW w:w="1980" w:type="dxa"/>
            <w:tcBorders>
              <w:top w:val="nil"/>
              <w:left w:val="nil"/>
              <w:bottom w:val="single" w:sz="12" w:space="0" w:color="auto"/>
              <w:right w:val="nil"/>
            </w:tcBorders>
            <w:vAlign w:val="center"/>
          </w:tcPr>
          <w:p w14:paraId="2E1237DA"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407.9 ± 2.5</w:t>
            </w:r>
          </w:p>
        </w:tc>
        <w:tc>
          <w:tcPr>
            <w:tcW w:w="2340" w:type="dxa"/>
            <w:tcBorders>
              <w:top w:val="nil"/>
              <w:left w:val="nil"/>
              <w:bottom w:val="single" w:sz="12" w:space="0" w:color="auto"/>
              <w:right w:val="nil"/>
            </w:tcBorders>
            <w:vAlign w:val="center"/>
          </w:tcPr>
          <w:p w14:paraId="0BF56045"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433.3 ± 5.8</w:t>
            </w:r>
          </w:p>
        </w:tc>
        <w:tc>
          <w:tcPr>
            <w:tcW w:w="1980" w:type="dxa"/>
            <w:tcBorders>
              <w:top w:val="nil"/>
              <w:left w:val="nil"/>
              <w:bottom w:val="single" w:sz="12" w:space="0" w:color="auto"/>
              <w:right w:val="nil"/>
            </w:tcBorders>
            <w:vAlign w:val="center"/>
          </w:tcPr>
          <w:p w14:paraId="5F7AE1C6" w14:textId="77777777" w:rsidR="006F38AE" w:rsidRPr="001A5452" w:rsidRDefault="006F38AE" w:rsidP="006F38AE">
            <w:pPr>
              <w:tabs>
                <w:tab w:val="center" w:pos="4680"/>
                <w:tab w:val="right" w:pos="9360"/>
              </w:tabs>
              <w:spacing w:line="360" w:lineRule="auto"/>
              <w:ind w:left="288"/>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792.8 ± 7.3</w:t>
            </w:r>
          </w:p>
        </w:tc>
      </w:tr>
    </w:tbl>
    <w:p w14:paraId="5B05EDCD" w14:textId="77777777" w:rsidR="006F38AE" w:rsidRPr="001A5452" w:rsidRDefault="006F38AE" w:rsidP="006F38AE">
      <w:pPr>
        <w:spacing w:after="0" w:line="240" w:lineRule="auto"/>
        <w:jc w:val="both"/>
        <w:rPr>
          <w:rFonts w:ascii="Times New Roman" w:eastAsia="DengXian" w:hAnsi="Times New Roman" w:cs="Times New Roman"/>
          <w:sz w:val="24"/>
          <w:szCs w:val="24"/>
        </w:rPr>
      </w:pPr>
      <w:r w:rsidRPr="001A5452">
        <w:rPr>
          <w:rFonts w:ascii="Times New Roman" w:eastAsia="DengXian" w:hAnsi="Times New Roman" w:cs="Times New Roman"/>
          <w:b/>
          <w:sz w:val="24"/>
          <w:szCs w:val="24"/>
        </w:rPr>
        <w:t xml:space="preserve">* </w:t>
      </w:r>
      <w:r w:rsidRPr="001A5452">
        <w:rPr>
          <w:rFonts w:ascii="Times New Roman" w:eastAsia="DengXian" w:hAnsi="Times New Roman" w:cs="Times New Roman"/>
          <w:sz w:val="24"/>
          <w:szCs w:val="24"/>
        </w:rPr>
        <w:t>Young’s modulus is secant modulus at 10% strain of nonlinear materials (standard D638-02a)</w:t>
      </w:r>
    </w:p>
    <w:p w14:paraId="0D80C098" w14:textId="77777777" w:rsidR="006F38AE" w:rsidRPr="001A5452" w:rsidRDefault="006F38AE" w:rsidP="006F38AE">
      <w:pPr>
        <w:spacing w:after="0" w:line="240" w:lineRule="auto"/>
        <w:jc w:val="both"/>
        <w:rPr>
          <w:rFonts w:ascii="Times New Roman" w:eastAsia="DengXian" w:hAnsi="Times New Roman" w:cs="Times New Roman"/>
          <w:sz w:val="24"/>
          <w:szCs w:val="24"/>
        </w:rPr>
      </w:pPr>
    </w:p>
    <w:p w14:paraId="1F694902" w14:textId="77777777" w:rsidR="006F38AE" w:rsidRPr="001A5452" w:rsidRDefault="006F38AE" w:rsidP="006F38AE">
      <w:pPr>
        <w:spacing w:after="0" w:line="240" w:lineRule="auto"/>
        <w:jc w:val="both"/>
        <w:rPr>
          <w:rFonts w:ascii="Times New Roman" w:eastAsia="DengXian" w:hAnsi="Times New Roman" w:cs="Times New Roman"/>
          <w:sz w:val="24"/>
          <w:szCs w:val="24"/>
        </w:rPr>
      </w:pPr>
    </w:p>
    <w:p w14:paraId="252297A3" w14:textId="13BCD74B" w:rsidR="006F38AE" w:rsidRPr="00401CA2" w:rsidRDefault="001B3FB7" w:rsidP="00A22DC4">
      <w:pPr>
        <w:pStyle w:val="Heading3"/>
      </w:pPr>
      <w:bookmarkStart w:id="278" w:name="_Toc518823361"/>
      <w:r>
        <w:t>6</w:t>
      </w:r>
      <w:r w:rsidR="00BD1DD2">
        <w:t>.</w:t>
      </w:r>
      <w:r w:rsidR="006F38AE" w:rsidRPr="00644946">
        <w:t xml:space="preserve">3.3.2. </w:t>
      </w:r>
      <w:r w:rsidR="006F38AE" w:rsidRPr="00401CA2">
        <w:t>Hysteresis behavior of HBPE and HBPE/P-rGO nanocomposites</w:t>
      </w:r>
      <w:bookmarkEnd w:id="278"/>
    </w:p>
    <w:p w14:paraId="3B200DC0" w14:textId="62F1375B" w:rsidR="006F38AE" w:rsidRPr="00644946" w:rsidRDefault="006F38AE" w:rsidP="006F38AE">
      <w:pPr>
        <w:spacing w:after="0" w:line="480" w:lineRule="auto"/>
        <w:contextualSpacing/>
        <w:jc w:val="both"/>
        <w:rPr>
          <w:rFonts w:ascii="Times New Roman" w:eastAsia="DengXian" w:hAnsi="Times New Roman" w:cs="Times New Roman"/>
          <w:sz w:val="24"/>
          <w:szCs w:val="24"/>
        </w:rPr>
      </w:pPr>
      <w:r w:rsidRPr="00401CA2">
        <w:rPr>
          <w:rFonts w:ascii="Times New Roman" w:eastAsia="DengXian" w:hAnsi="Times New Roman" w:cs="Times New Roman"/>
          <w:sz w:val="24"/>
          <w:szCs w:val="24"/>
        </w:rPr>
        <w:t xml:space="preserve">For a typical elastomer, it possesses low modulus, high elongation at break, and non-linearity </w:t>
      </w:r>
      <w:r w:rsidRPr="00401CA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"10.3139/9783446428713", "ISBN" : "978-3-446-42764-8", "ISSN" : "0035-9475", "abstract" : "Components based on rubbery materials play a very important part in engineering processes and products. Springs and snubbers, seals and gaskets, hose and belting, friction drives and roll covers - a comprehensive listing of essential rubber components would be surprisingly long. And yet, in spite of this widespread and necessary use of rubber in engineering, a general working knowledge of rubber science and technology is rather uncommon. Because they have little information or experience to guide them, design engineers tend to treat rubber as a suspicious and unreliable material, to be avoided if possible. But in many cases, use of a rubber part gives a simple and elegant solution to a major engineering problem. Recent examples are rubber bearings for road bridges, allowing for thermal expansion of the bridge deck without putting excessive loads on the bridge supports; rubber springs transmitting power to helicopter blades and simultaneously providing specified (and different) stiffnesses in various directions, to permit changing inclination of the blades; and rubber supports for buildings, to protect the structure against subsurface movements in earthquakes.", "author" : [ { "dropping-particle" : "", "family" : "Gent", "given" : "Alan N.", "non-dropping-particle" : "", "parse-names" : false, "suffix" : "" } ], "container-title" : "Engineering with Rubber How to Design Rubber Components", "edition" : "3rd", "id" : "ITEM-1", "issued" : { "date-parts" : [ [ "2012" ] ] }, "number-of-pages" : "1-9", "title" : "Engineering with Rubber", "type" : "book" }, "uris" : [ "http://www.mendeley.com/documents/?uuid=83229f43-d50d-4da0-8ddb-00855ccb0c17" ] }, { "id" : "ITEM-2", "itemData" : { "ISBN" : "9783446416819", "author" : [ { "dropping-particle" : "", "family" : "Judson T. Bauman", "given" : "", "non-dropping-particle" : "", "parse-names" : false, "suffix" : "" } ], "chapter-number" : "2", "container-title" : "Fatigue , Stress , and Strain of Rubber Components", "id" : "ITEM-2", "issued" : { "date-parts" : [ [ "2008" ] ] }, "page" : "9-11", "title" : "Rubber stress-strain behavior", "type" : "chapter" }, "uris" : [ "http://www.mendeley.com/documents/?uuid=82d82ee6-e233-402a-99f5-14b4d0ee3f28" ] } ], "mendeley" : { "formattedCitation" : "[258,259]", "plainTextFormattedCitation" : "[258,259]", "previouslyFormattedCitation" : "[258,259]" }, "properties" : {  }, "schema" : "https://github.com/citation-style-language/schema/raw/master/csl-citation.json" }</w:instrText>
      </w:r>
      <w:r w:rsidRPr="00401CA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[258,259]</w:t>
      </w:r>
      <w:r w:rsidRPr="00401CA2">
        <w:rPr>
          <w:rFonts w:ascii="Times New Roman" w:eastAsia="DengXian" w:hAnsi="Times New Roman" w:cs="Times New Roman"/>
          <w:sz w:val="24"/>
          <w:szCs w:val="24"/>
        </w:rPr>
        <w:fldChar w:fldCharType="end"/>
      </w:r>
      <w:r w:rsidRPr="00401CA2">
        <w:rPr>
          <w:rFonts w:ascii="Times New Roman" w:eastAsia="DengXian" w:hAnsi="Times New Roman" w:cs="Times New Roman"/>
          <w:sz w:val="24"/>
          <w:szCs w:val="24"/>
        </w:rPr>
        <w:t>.  It can be stretched under an external force and quickly returned to its original state once the stress is removed. When an elastomer is stretched to a high strain</w:t>
      </w:r>
      <w:r w:rsidR="007E6F7F">
        <w:rPr>
          <w:rFonts w:ascii="Times New Roman" w:eastAsia="DengXian" w:hAnsi="Times New Roman" w:cs="Times New Roman"/>
          <w:sz w:val="24"/>
          <w:szCs w:val="24"/>
        </w:rPr>
        <w:t>,</w:t>
      </w:r>
      <w:r w:rsidRPr="00401CA2">
        <w:rPr>
          <w:rFonts w:ascii="Times New Roman" w:eastAsia="DengXian" w:hAnsi="Times New Roman" w:cs="Times New Roman"/>
          <w:sz w:val="24"/>
          <w:szCs w:val="24"/>
        </w:rPr>
        <w:t xml:space="preserve"> and </w:t>
      </w:r>
      <w:r w:rsidR="007E6F7F">
        <w:rPr>
          <w:rFonts w:ascii="Times New Roman" w:eastAsia="DengXian" w:hAnsi="Times New Roman" w:cs="Times New Roman"/>
          <w:sz w:val="24"/>
          <w:szCs w:val="24"/>
        </w:rPr>
        <w:t xml:space="preserve">upon </w:t>
      </w:r>
      <w:r w:rsidRPr="00401CA2">
        <w:rPr>
          <w:rFonts w:ascii="Times New Roman" w:eastAsia="DengXian" w:hAnsi="Times New Roman" w:cs="Times New Roman"/>
          <w:sz w:val="24"/>
          <w:szCs w:val="24"/>
        </w:rPr>
        <w:t>unloading it</w:t>
      </w:r>
      <w:r w:rsidRPr="00644946">
        <w:rPr>
          <w:rFonts w:ascii="Times New Roman" w:eastAsia="DengXian" w:hAnsi="Times New Roman" w:cs="Times New Roman"/>
          <w:sz w:val="24"/>
          <w:szCs w:val="24"/>
        </w:rPr>
        <w:t xml:space="preserve"> </w:t>
      </w:r>
      <w:r w:rsidRPr="00401CA2">
        <w:rPr>
          <w:rFonts w:ascii="Times New Roman" w:eastAsia="DengXian" w:hAnsi="Times New Roman" w:cs="Times New Roman"/>
          <w:sz w:val="24"/>
          <w:szCs w:val="24"/>
        </w:rPr>
        <w:t>presents non-Hookean behavior, in which the unloading path is below the loading path. This is related to the energy dissipation in the strain cycle caused by the internal friction. This phenomenon is known as hysteresis. The hysteresis, or loss energy, W</w:t>
      </w:r>
      <w:r w:rsidRPr="00401CA2">
        <w:rPr>
          <w:rFonts w:ascii="Times New Roman" w:eastAsia="DengXian" w:hAnsi="Times New Roman" w:cs="Times New Roman"/>
          <w:sz w:val="24"/>
          <w:szCs w:val="24"/>
          <w:vertAlign w:val="subscript"/>
        </w:rPr>
        <w:t>d</w:t>
      </w:r>
      <w:r w:rsidRPr="00401CA2">
        <w:rPr>
          <w:rFonts w:ascii="Times New Roman" w:eastAsia="DengXian" w:hAnsi="Times New Roman" w:cs="Times New Roman"/>
          <w:sz w:val="24"/>
          <w:szCs w:val="24"/>
        </w:rPr>
        <w:t>, may be determined by evaluating the area between the extension and retraction curves. Hysteresis ratio, h</w:t>
      </w:r>
      <w:r w:rsidRPr="00401CA2">
        <w:rPr>
          <w:rFonts w:ascii="Times New Roman" w:eastAsia="DengXian" w:hAnsi="Times New Roman" w:cs="Times New Roman"/>
          <w:sz w:val="24"/>
          <w:szCs w:val="24"/>
          <w:vertAlign w:val="subscript"/>
        </w:rPr>
        <w:t>r</w:t>
      </w:r>
      <w:r w:rsidRPr="00401CA2">
        <w:rPr>
          <w:rFonts w:ascii="Times New Roman" w:eastAsia="DengXian" w:hAnsi="Times New Roman" w:cs="Times New Roman"/>
          <w:sz w:val="24"/>
          <w:szCs w:val="24"/>
        </w:rPr>
        <w:t>, may be defined by</w:t>
      </w:r>
      <w:r w:rsidRPr="00644946">
        <w:rPr>
          <w:rFonts w:ascii="Times New Roman" w:eastAsia="DengXian" w:hAnsi="Times New Roman" w:cs="Times New Roman"/>
          <w:sz w:val="24"/>
          <w:szCs w:val="24"/>
        </w:rPr>
        <w:t xml:space="preserve"> </w:t>
      </w:r>
    </w:p>
    <w:p w14:paraId="57BC47CE" w14:textId="427416ED" w:rsidR="006F38AE" w:rsidRPr="00401CA2" w:rsidRDefault="00B72F48" w:rsidP="006F38AE">
      <w:pPr>
        <w:spacing w:after="0" w:line="480" w:lineRule="auto"/>
        <w:contextualSpacing/>
        <w:jc w:val="center"/>
        <w:rPr>
          <w:rFonts w:ascii="Times New Roman" w:eastAsia="DengXian" w:hAnsi="Times New Roman" w:cs="Times New Roman"/>
          <w:b/>
          <w:sz w:val="28"/>
          <w:szCs w:val="28"/>
        </w:rPr>
      </w:pPr>
      <m:oMath>
        <m:sSub>
          <m:sSubPr>
            <m:ctrlPr>
              <w:rPr>
                <w:rFonts w:ascii="Cambria Math" w:eastAsia="DengXian" w:hAnsi="Cambria Math" w:cs="Times New Roman"/>
                <w:b/>
                <w:sz w:val="28"/>
                <w:szCs w:val="28"/>
              </w:rPr>
            </m:ctrlPr>
          </m:sSubPr>
          <m:e>
            <m:r>
              <m:rPr>
                <m:sty m:val="bi"/>
              </m:rPr>
              <w:rPr>
                <w:rFonts w:ascii="Cambria Math" w:eastAsia="DengXian" w:hAnsi="Cambria Math" w:cs="Times New Roman"/>
                <w:sz w:val="28"/>
                <w:szCs w:val="28"/>
              </w:rPr>
              <m:t>h</m:t>
            </m:r>
          </m:e>
          <m:sub>
            <m:r>
              <m:rPr>
                <m:sty m:val="bi"/>
              </m:rPr>
              <w:rPr>
                <w:rFonts w:ascii="Cambria Math" w:eastAsia="DengXian" w:hAnsi="Cambria Math" w:cs="Times New Roman"/>
                <w:sz w:val="28"/>
                <w:szCs w:val="28"/>
              </w:rPr>
              <m:t xml:space="preserve">r </m:t>
            </m:r>
          </m:sub>
        </m:sSub>
        <m:r>
          <m:rPr>
            <m:sty m:val="bi"/>
          </m:rPr>
          <w:rPr>
            <w:rFonts w:ascii="Cambria Math" w:eastAsia="DengXian" w:hAnsi="Cambria Math" w:cs="Times New Roman"/>
            <w:sz w:val="28"/>
            <w:szCs w:val="28"/>
          </w:rPr>
          <m:t xml:space="preserve">= </m:t>
        </m:r>
        <m:f>
          <m:fPr>
            <m:ctrlPr>
              <w:rPr>
                <w:rFonts w:ascii="Cambria Math" w:eastAsia="DengXian" w:hAnsi="Cambria Math" w:cs="Times New Roman"/>
                <w:b/>
                <w:i/>
                <w:sz w:val="28"/>
                <w:szCs w:val="28"/>
              </w:rPr>
            </m:ctrlPr>
          </m:fPr>
          <m:num>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W</m:t>
                </m:r>
              </m:e>
              <m:sub>
                <m:r>
                  <m:rPr>
                    <m:sty m:val="bi"/>
                  </m:rPr>
                  <w:rPr>
                    <w:rFonts w:ascii="Cambria Math" w:eastAsia="DengXian" w:hAnsi="Cambria Math" w:cs="Times New Roman"/>
                    <w:sz w:val="28"/>
                    <w:szCs w:val="28"/>
                  </w:rPr>
                  <m:t xml:space="preserve">0  </m:t>
                </m:r>
              </m:sub>
            </m:sSub>
            <m:r>
              <m:rPr>
                <m:sty m:val="bi"/>
              </m:rPr>
              <w:rPr>
                <w:rFonts w:ascii="Cambria Math" w:eastAsia="DengXian" w:hAnsi="Cambria Math" w:cs="Times New Roman"/>
                <w:sz w:val="28"/>
                <w:szCs w:val="28"/>
              </w:rPr>
              <m:t xml:space="preserve">- </m:t>
            </m:r>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W</m:t>
                </m:r>
              </m:e>
              <m:sub>
                <m:r>
                  <m:rPr>
                    <m:sty m:val="bi"/>
                  </m:rPr>
                  <w:rPr>
                    <w:rFonts w:ascii="Cambria Math" w:eastAsia="DengXian" w:hAnsi="Cambria Math" w:cs="Times New Roman"/>
                    <w:sz w:val="28"/>
                    <w:szCs w:val="28"/>
                  </w:rPr>
                  <m:t>r</m:t>
                </m:r>
              </m:sub>
            </m:sSub>
          </m:num>
          <m:den>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W</m:t>
                </m:r>
              </m:e>
              <m:sub>
                <m:r>
                  <m:rPr>
                    <m:sty m:val="bi"/>
                  </m:rPr>
                  <w:rPr>
                    <w:rFonts w:ascii="Cambria Math" w:eastAsia="DengXian" w:hAnsi="Cambria Math" w:cs="Times New Roman"/>
                    <w:sz w:val="28"/>
                    <w:szCs w:val="28"/>
                  </w:rPr>
                  <m:t>0</m:t>
                </m:r>
              </m:sub>
            </m:sSub>
          </m:den>
        </m:f>
        <m:r>
          <m:rPr>
            <m:sty m:val="bi"/>
          </m:rPr>
          <w:rPr>
            <w:rFonts w:ascii="Cambria Math" w:eastAsia="DengXian" w:hAnsi="Cambria Math" w:cs="Times New Roman"/>
            <w:sz w:val="28"/>
            <w:szCs w:val="28"/>
          </w:rPr>
          <m:t xml:space="preserve"> = </m:t>
        </m:r>
        <m:f>
          <m:fPr>
            <m:ctrlPr>
              <w:rPr>
                <w:rFonts w:ascii="Cambria Math" w:eastAsia="DengXian" w:hAnsi="Cambria Math" w:cs="Times New Roman"/>
                <w:b/>
                <w:i/>
                <w:sz w:val="28"/>
                <w:szCs w:val="28"/>
              </w:rPr>
            </m:ctrlPr>
          </m:fPr>
          <m:num>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W</m:t>
                </m:r>
              </m:e>
              <m:sub>
                <m:r>
                  <m:rPr>
                    <m:sty m:val="bi"/>
                  </m:rPr>
                  <w:rPr>
                    <w:rFonts w:ascii="Cambria Math" w:eastAsia="DengXian" w:hAnsi="Cambria Math" w:cs="Times New Roman"/>
                    <w:sz w:val="28"/>
                    <w:szCs w:val="28"/>
                  </w:rPr>
                  <m:t>d</m:t>
                </m:r>
              </m:sub>
            </m:sSub>
          </m:num>
          <m:den>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W</m:t>
                </m:r>
              </m:e>
              <m:sub>
                <m:r>
                  <m:rPr>
                    <m:sty m:val="bi"/>
                  </m:rPr>
                  <w:rPr>
                    <w:rFonts w:ascii="Cambria Math" w:eastAsia="DengXian" w:hAnsi="Cambria Math" w:cs="Times New Roman"/>
                    <w:sz w:val="28"/>
                    <w:szCs w:val="28"/>
                  </w:rPr>
                  <m:t>0</m:t>
                </m:r>
              </m:sub>
            </m:sSub>
          </m:den>
        </m:f>
      </m:oMath>
      <w:r w:rsidR="006F38AE" w:rsidRPr="00401CA2">
        <w:rPr>
          <w:rFonts w:ascii="Times New Roman" w:eastAsia="DengXian" w:hAnsi="Times New Roman" w:cs="Times New Roman"/>
          <w:b/>
          <w:sz w:val="28"/>
          <w:szCs w:val="28"/>
        </w:rPr>
        <w:t xml:space="preserve">      (</w:t>
      </w:r>
      <w:r w:rsidR="0041000F">
        <w:rPr>
          <w:rFonts w:ascii="Times New Roman" w:eastAsia="DengXian" w:hAnsi="Times New Roman" w:cs="Times New Roman"/>
          <w:b/>
          <w:sz w:val="28"/>
          <w:szCs w:val="28"/>
        </w:rPr>
        <w:t>6</w:t>
      </w:r>
      <w:r w:rsidR="005128D5">
        <w:rPr>
          <w:rFonts w:ascii="Times New Roman" w:eastAsia="DengXian" w:hAnsi="Times New Roman" w:cs="Times New Roman"/>
          <w:b/>
          <w:sz w:val="28"/>
          <w:szCs w:val="28"/>
        </w:rPr>
        <w:t>.</w:t>
      </w:r>
      <w:r w:rsidR="006F38AE" w:rsidRPr="00401CA2">
        <w:rPr>
          <w:rFonts w:ascii="Times New Roman" w:eastAsia="DengXian" w:hAnsi="Times New Roman" w:cs="Times New Roman"/>
          <w:b/>
          <w:sz w:val="28"/>
          <w:szCs w:val="28"/>
        </w:rPr>
        <w:t>4)</w:t>
      </w:r>
    </w:p>
    <w:p w14:paraId="6D1B877E" w14:textId="7B571359" w:rsidR="006F38AE" w:rsidRPr="001A01B3" w:rsidRDefault="00101BEE" w:rsidP="006F38AE">
      <w:pPr>
        <w:spacing w:after="0" w:line="480" w:lineRule="auto"/>
        <w:contextualSpacing/>
        <w:jc w:val="both"/>
        <w:rPr>
          <w:rFonts w:ascii="Times New Roman" w:eastAsia="DengXian" w:hAnsi="Times New Roman" w:cs="Times New Roman"/>
          <w:sz w:val="24"/>
          <w:szCs w:val="24"/>
        </w:rPr>
      </w:pPr>
      <w:r>
        <w:rPr>
          <w:rFonts w:ascii="Times New Roman" w:eastAsia="DengXian" w:hAnsi="Times New Roman" w:cs="Times New Roman"/>
          <w:sz w:val="24"/>
          <w:szCs w:val="24"/>
        </w:rPr>
        <w:t>w</w:t>
      </w:r>
      <w:r w:rsidRPr="001A01B3">
        <w:rPr>
          <w:rFonts w:ascii="Times New Roman" w:eastAsia="DengXian" w:hAnsi="Times New Roman" w:cs="Times New Roman"/>
          <w:sz w:val="24"/>
          <w:szCs w:val="24"/>
        </w:rPr>
        <w:t>here</w:t>
      </w:r>
    </w:p>
    <w:p w14:paraId="5429EEEC" w14:textId="77777777" w:rsidR="006F38AE" w:rsidRPr="001A01B3" w:rsidRDefault="006F38AE" w:rsidP="006F38AE">
      <w:pPr>
        <w:spacing w:after="0" w:line="480" w:lineRule="auto"/>
        <w:contextualSpacing/>
        <w:jc w:val="both"/>
        <w:rPr>
          <w:rFonts w:ascii="Times New Roman" w:eastAsia="DengXian" w:hAnsi="Times New Roman" w:cs="Times New Roman"/>
          <w:sz w:val="24"/>
          <w:szCs w:val="24"/>
        </w:rPr>
      </w:pPr>
      <w:r w:rsidRPr="001A01B3">
        <w:rPr>
          <w:rFonts w:ascii="Times New Roman" w:eastAsia="DengXian" w:hAnsi="Times New Roman" w:cs="Times New Roman"/>
          <w:sz w:val="24"/>
          <w:szCs w:val="24"/>
        </w:rPr>
        <w:t>W</w:t>
      </w:r>
      <w:r w:rsidRPr="001A01B3">
        <w:rPr>
          <w:rFonts w:ascii="Times New Roman" w:eastAsia="DengXian" w:hAnsi="Times New Roman" w:cs="Times New Roman"/>
          <w:sz w:val="24"/>
          <w:szCs w:val="24"/>
          <w:vertAlign w:val="subscript"/>
        </w:rPr>
        <w:t>0</w:t>
      </w:r>
      <w:r w:rsidRPr="001A01B3">
        <w:rPr>
          <w:rFonts w:ascii="Times New Roman" w:eastAsia="DengXian" w:hAnsi="Times New Roman" w:cs="Times New Roman"/>
          <w:sz w:val="24"/>
          <w:szCs w:val="24"/>
        </w:rPr>
        <w:t>: the input strain-energy density, is the area under extension curve</w:t>
      </w:r>
    </w:p>
    <w:p w14:paraId="67BFC134" w14:textId="77777777" w:rsidR="006F38AE" w:rsidRPr="001A01B3" w:rsidRDefault="006F38AE" w:rsidP="006F38AE">
      <w:pPr>
        <w:spacing w:after="0" w:line="480" w:lineRule="auto"/>
        <w:contextualSpacing/>
        <w:jc w:val="both"/>
        <w:rPr>
          <w:rFonts w:ascii="Times New Roman" w:eastAsia="DengXian" w:hAnsi="Times New Roman" w:cs="Times New Roman"/>
          <w:sz w:val="24"/>
          <w:szCs w:val="24"/>
        </w:rPr>
      </w:pPr>
      <w:r w:rsidRPr="001A01B3">
        <w:rPr>
          <w:rFonts w:ascii="Times New Roman" w:eastAsia="DengXian" w:hAnsi="Times New Roman" w:cs="Times New Roman"/>
          <w:sz w:val="24"/>
          <w:szCs w:val="24"/>
        </w:rPr>
        <w:t>W</w:t>
      </w:r>
      <w:r w:rsidRPr="001A01B3">
        <w:rPr>
          <w:rFonts w:ascii="Times New Roman" w:eastAsia="DengXian" w:hAnsi="Times New Roman" w:cs="Times New Roman"/>
          <w:sz w:val="24"/>
          <w:szCs w:val="24"/>
          <w:vertAlign w:val="subscript"/>
        </w:rPr>
        <w:t>r</w:t>
      </w:r>
      <w:r w:rsidRPr="001A01B3">
        <w:rPr>
          <w:rFonts w:ascii="Times New Roman" w:eastAsia="DengXian" w:hAnsi="Times New Roman" w:cs="Times New Roman"/>
          <w:sz w:val="24"/>
          <w:szCs w:val="24"/>
        </w:rPr>
        <w:t>:  the retraction strain-energy density, is the area under retraction curve</w:t>
      </w:r>
    </w:p>
    <w:p w14:paraId="4263D031" w14:textId="77777777" w:rsidR="006F38AE" w:rsidRPr="001A01B3" w:rsidRDefault="006F38AE" w:rsidP="006F38AE">
      <w:pPr>
        <w:spacing w:after="0" w:line="480" w:lineRule="auto"/>
        <w:contextualSpacing/>
        <w:jc w:val="both"/>
        <w:rPr>
          <w:rFonts w:ascii="Times New Roman" w:eastAsia="DengXian" w:hAnsi="Times New Roman" w:cs="Times New Roman"/>
          <w:sz w:val="24"/>
          <w:szCs w:val="24"/>
        </w:rPr>
      </w:pPr>
      <w:r w:rsidRPr="001A01B3">
        <w:rPr>
          <w:rFonts w:ascii="Times New Roman" w:eastAsia="DengXian" w:hAnsi="Times New Roman" w:cs="Times New Roman"/>
          <w:sz w:val="24"/>
          <w:szCs w:val="24"/>
        </w:rPr>
        <w:t>W</w:t>
      </w:r>
      <w:r w:rsidRPr="001A01B3">
        <w:rPr>
          <w:rFonts w:ascii="Times New Roman" w:eastAsia="DengXian" w:hAnsi="Times New Roman" w:cs="Times New Roman"/>
          <w:sz w:val="24"/>
          <w:szCs w:val="24"/>
          <w:vertAlign w:val="subscript"/>
        </w:rPr>
        <w:t>d</w:t>
      </w:r>
      <w:r w:rsidRPr="001A01B3">
        <w:rPr>
          <w:rFonts w:ascii="Times New Roman" w:eastAsia="DengXian" w:hAnsi="Times New Roman" w:cs="Times New Roman"/>
          <w:sz w:val="24"/>
          <w:szCs w:val="24"/>
        </w:rPr>
        <w:t xml:space="preserve">:  the loss energy, is the area between </w:t>
      </w:r>
      <w:r w:rsidR="00B14E10" w:rsidRPr="001A01B3">
        <w:rPr>
          <w:rFonts w:ascii="Times New Roman" w:eastAsia="DengXian" w:hAnsi="Times New Roman" w:cs="Times New Roman"/>
          <w:sz w:val="24"/>
          <w:szCs w:val="24"/>
        </w:rPr>
        <w:t>extension and retraction curves</w:t>
      </w:r>
    </w:p>
    <w:p w14:paraId="0A36BBA6" w14:textId="77777777" w:rsidR="00B14E10" w:rsidRPr="001A01B3" w:rsidRDefault="00B14E10" w:rsidP="006F38AE">
      <w:pPr>
        <w:spacing w:after="0" w:line="480" w:lineRule="auto"/>
        <w:contextualSpacing/>
        <w:jc w:val="both"/>
        <w:rPr>
          <w:rFonts w:ascii="Times New Roman" w:eastAsia="DengXian" w:hAnsi="Times New Roman" w:cs="Times New Roman"/>
          <w:sz w:val="24"/>
          <w:szCs w:val="24"/>
        </w:rPr>
      </w:pPr>
    </w:p>
    <w:p w14:paraId="7F239362" w14:textId="52B7E50A" w:rsidR="006F38AE" w:rsidRDefault="006F38AE" w:rsidP="0065721F">
      <w:pPr>
        <w:spacing w:after="0" w:line="480" w:lineRule="auto"/>
        <w:ind w:firstLine="360"/>
        <w:contextualSpacing/>
        <w:jc w:val="both"/>
        <w:rPr>
          <w:rFonts w:ascii="Times New Roman" w:eastAsia="DengXian" w:hAnsi="Times New Roman" w:cs="Times New Roman"/>
          <w:sz w:val="24"/>
          <w:szCs w:val="24"/>
        </w:rPr>
      </w:pPr>
      <w:r w:rsidRPr="001A01B3">
        <w:rPr>
          <w:rFonts w:ascii="Times New Roman" w:eastAsia="DengXian" w:hAnsi="Times New Roman" w:cs="Times New Roman"/>
          <w:sz w:val="24"/>
          <w:szCs w:val="24"/>
        </w:rPr>
        <w:t>In this work, hysteresis behavior of HBPE and HBPE/P-rGO nanocomposites was investigated by cyclic tensile tests at a strain rate of 200 mm min</w:t>
      </w:r>
      <w:r w:rsidRPr="001A01B3">
        <w:rPr>
          <w:rFonts w:ascii="Times New Roman" w:eastAsia="DengXian" w:hAnsi="Times New Roman" w:cs="Times New Roman"/>
          <w:sz w:val="24"/>
          <w:szCs w:val="24"/>
          <w:vertAlign w:val="superscript"/>
        </w:rPr>
        <w:t>-1</w:t>
      </w:r>
      <w:r w:rsidRPr="001A01B3">
        <w:rPr>
          <w:rFonts w:ascii="Times New Roman" w:eastAsia="DengXian" w:hAnsi="Times New Roman" w:cs="Times New Roman"/>
          <w:sz w:val="24"/>
          <w:szCs w:val="24"/>
        </w:rPr>
        <w:t xml:space="preserve"> with various extensions, as shown in Figure</w:t>
      </w:r>
      <w:r w:rsidR="0041000F">
        <w:rPr>
          <w:rFonts w:ascii="Times New Roman" w:eastAsia="DengXian" w:hAnsi="Times New Roman" w:cs="Times New Roman"/>
          <w:sz w:val="24"/>
          <w:szCs w:val="24"/>
        </w:rPr>
        <w:t xml:space="preserve"> 6</w:t>
      </w:r>
      <w:r w:rsidR="00C822B1">
        <w:rPr>
          <w:rFonts w:ascii="Times New Roman" w:eastAsia="DengXian" w:hAnsi="Times New Roman" w:cs="Times New Roman"/>
          <w:sz w:val="24"/>
          <w:szCs w:val="24"/>
        </w:rPr>
        <w:t>.</w:t>
      </w:r>
      <w:r w:rsidR="0023569D">
        <w:rPr>
          <w:rFonts w:ascii="Times New Roman" w:eastAsia="DengXian" w:hAnsi="Times New Roman" w:cs="Times New Roman"/>
          <w:sz w:val="24"/>
          <w:szCs w:val="24"/>
        </w:rPr>
        <w:t xml:space="preserve">16 and </w:t>
      </w:r>
      <w:r w:rsidR="00C822B1">
        <w:rPr>
          <w:rFonts w:ascii="Times New Roman" w:eastAsia="DengXian" w:hAnsi="Times New Roman" w:cs="Times New Roman"/>
          <w:sz w:val="24"/>
          <w:szCs w:val="24"/>
        </w:rPr>
        <w:t>Figure</w:t>
      </w:r>
      <w:r w:rsidRPr="001A01B3">
        <w:rPr>
          <w:rFonts w:ascii="Times New Roman" w:eastAsia="DengXian" w:hAnsi="Times New Roman" w:cs="Times New Roman"/>
          <w:sz w:val="24"/>
          <w:szCs w:val="24"/>
        </w:rPr>
        <w:t xml:space="preserve"> </w:t>
      </w:r>
      <w:r w:rsidR="004100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Pr="001A01B3">
        <w:rPr>
          <w:rFonts w:ascii="Times New Roman" w:eastAsia="DengXian" w:hAnsi="Times New Roman" w:cs="Times New Roman"/>
          <w:sz w:val="24"/>
          <w:szCs w:val="24"/>
        </w:rPr>
        <w:t>17</w:t>
      </w:r>
      <w:r w:rsidR="00C822B1">
        <w:rPr>
          <w:rFonts w:ascii="Times New Roman" w:eastAsia="DengXian" w:hAnsi="Times New Roman" w:cs="Times New Roman"/>
          <w:sz w:val="24"/>
          <w:szCs w:val="24"/>
        </w:rPr>
        <w:t>, and the r</w:t>
      </w:r>
      <w:r w:rsidR="0041000F">
        <w:rPr>
          <w:rFonts w:ascii="Times New Roman" w:eastAsia="DengXian" w:hAnsi="Times New Roman" w:cs="Times New Roman"/>
          <w:sz w:val="24"/>
          <w:szCs w:val="24"/>
        </w:rPr>
        <w:t>esults are summarized in Table 6</w:t>
      </w:r>
      <w:r w:rsidR="00C822B1">
        <w:rPr>
          <w:rFonts w:ascii="Times New Roman" w:eastAsia="DengXian" w:hAnsi="Times New Roman" w:cs="Times New Roman"/>
          <w:sz w:val="24"/>
          <w:szCs w:val="24"/>
        </w:rPr>
        <w:t>.3</w:t>
      </w:r>
      <w:r w:rsidR="0023569D">
        <w:rPr>
          <w:rFonts w:ascii="Times New Roman" w:eastAsia="DengXian" w:hAnsi="Times New Roman" w:cs="Times New Roman"/>
          <w:sz w:val="24"/>
          <w:szCs w:val="24"/>
        </w:rPr>
        <w:t xml:space="preserve"> and Table </w:t>
      </w:r>
      <w:r w:rsidR="0041000F">
        <w:rPr>
          <w:rFonts w:ascii="Times New Roman" w:eastAsia="DengXian" w:hAnsi="Times New Roman" w:cs="Times New Roman"/>
          <w:sz w:val="24"/>
          <w:szCs w:val="24"/>
        </w:rPr>
        <w:t>6</w:t>
      </w:r>
      <w:r w:rsidR="0023569D">
        <w:rPr>
          <w:rFonts w:ascii="Times New Roman" w:eastAsia="DengXian" w:hAnsi="Times New Roman" w:cs="Times New Roman"/>
          <w:sz w:val="24"/>
          <w:szCs w:val="24"/>
        </w:rPr>
        <w:t>.4</w:t>
      </w:r>
      <w:r w:rsidR="00C822B1">
        <w:rPr>
          <w:rFonts w:ascii="Times New Roman" w:eastAsia="DengXian" w:hAnsi="Times New Roman" w:cs="Times New Roman"/>
          <w:sz w:val="24"/>
          <w:szCs w:val="24"/>
        </w:rPr>
        <w:t>.</w:t>
      </w:r>
      <w:r w:rsidRPr="001A01B3">
        <w:rPr>
          <w:rFonts w:ascii="Times New Roman" w:eastAsia="DengXian" w:hAnsi="Times New Roman" w:cs="Times New Roman"/>
          <w:sz w:val="24"/>
          <w:szCs w:val="24"/>
        </w:rPr>
        <w:t xml:space="preserve"> Figure </w:t>
      </w:r>
      <w:r w:rsidR="0041000F">
        <w:rPr>
          <w:rFonts w:ascii="Times New Roman" w:eastAsia="DengXian" w:hAnsi="Times New Roman" w:cs="Times New Roman"/>
          <w:sz w:val="24"/>
          <w:szCs w:val="24"/>
        </w:rPr>
        <w:t>6</w:t>
      </w:r>
      <w:r w:rsidR="00C822B1">
        <w:rPr>
          <w:rFonts w:ascii="Times New Roman" w:eastAsia="DengXian" w:hAnsi="Times New Roman" w:cs="Times New Roman"/>
          <w:sz w:val="24"/>
          <w:szCs w:val="24"/>
        </w:rPr>
        <w:t>.16</w:t>
      </w:r>
      <w:r w:rsidRPr="001A01B3">
        <w:rPr>
          <w:rFonts w:ascii="Times New Roman" w:eastAsia="DengXian" w:hAnsi="Times New Roman" w:cs="Times New Roman"/>
          <w:sz w:val="24"/>
          <w:szCs w:val="24"/>
        </w:rPr>
        <w:t>(a-d) presents 4 repetitions of the cyclic test with a given extension of 200%. In this test, there is a 5 seconds gap between cycle 2 and cycle 3. For both neat HBPE and its P-rGO composites, no noticeable changes can be observed for the stress at 200%. The stress–strain curves of cycle 1 and cycle 3, cycle 2 and cycle 4 are most overlapped, implying excellent recovery within 5 seconds. After the first cyclic tensile test, the neat HBPE and HBEP/P-rGO composites can recover around 77.0% (neat), 81.5% (0.01 wt.%), 82.6% (0.1 wt.%), and 87.0% (0.5 wt.%) of its original length</w:t>
      </w:r>
      <w:r w:rsidR="00101BEE">
        <w:rPr>
          <w:rFonts w:ascii="Times New Roman" w:eastAsia="DengXian" w:hAnsi="Times New Roman" w:cs="Times New Roman"/>
          <w:sz w:val="24"/>
          <w:szCs w:val="24"/>
        </w:rPr>
        <w:t xml:space="preserve"> instantly</w:t>
      </w:r>
      <w:r w:rsidR="0041000F">
        <w:rPr>
          <w:rFonts w:ascii="Times New Roman" w:eastAsia="DengXian" w:hAnsi="Times New Roman" w:cs="Times New Roman"/>
          <w:sz w:val="24"/>
          <w:szCs w:val="24"/>
        </w:rPr>
        <w:t>. Figure 6</w:t>
      </w:r>
      <w:r w:rsidR="00C822B1">
        <w:rPr>
          <w:rFonts w:ascii="Times New Roman" w:eastAsia="DengXian" w:hAnsi="Times New Roman" w:cs="Times New Roman"/>
          <w:sz w:val="24"/>
          <w:szCs w:val="24"/>
        </w:rPr>
        <w:t>.16</w:t>
      </w:r>
      <w:r w:rsidRPr="001A01B3">
        <w:rPr>
          <w:rFonts w:ascii="Times New Roman" w:eastAsia="DengXian" w:hAnsi="Times New Roman" w:cs="Times New Roman"/>
          <w:sz w:val="24"/>
          <w:szCs w:val="24"/>
        </w:rPr>
        <w:t>(e) presents the 1</w:t>
      </w:r>
      <w:r w:rsidRPr="001A01B3">
        <w:rPr>
          <w:rFonts w:ascii="Times New Roman" w:eastAsia="DengXian" w:hAnsi="Times New Roman" w:cs="Times New Roman"/>
          <w:sz w:val="24"/>
          <w:szCs w:val="24"/>
          <w:vertAlign w:val="superscript"/>
        </w:rPr>
        <w:t>st</w:t>
      </w:r>
      <w:r w:rsidRPr="001A01B3">
        <w:rPr>
          <w:rFonts w:ascii="Times New Roman" w:eastAsia="DengXian" w:hAnsi="Times New Roman" w:cs="Times New Roman"/>
          <w:sz w:val="24"/>
          <w:szCs w:val="24"/>
        </w:rPr>
        <w:t xml:space="preserve"> cyclic tensile-strain curves of HBPE and HBPE/P-rGO nancomposites, </w:t>
      </w:r>
      <w:r w:rsidR="00C822B1">
        <w:rPr>
          <w:rFonts w:ascii="Times New Roman" w:eastAsia="DengXian" w:hAnsi="Times New Roman" w:cs="Times New Roman"/>
          <w:sz w:val="24"/>
          <w:szCs w:val="24"/>
        </w:rPr>
        <w:t>in which t</w:t>
      </w:r>
      <w:r w:rsidRPr="001A01B3">
        <w:rPr>
          <w:rFonts w:ascii="Times New Roman" w:eastAsia="DengXian" w:hAnsi="Times New Roman" w:cs="Times New Roman"/>
          <w:sz w:val="24"/>
          <w:szCs w:val="24"/>
        </w:rPr>
        <w:t xml:space="preserve">he hysteresis increases with P-rGO loadings, and the highest hysteresis of 19.7 </w:t>
      </w:r>
      <w:r w:rsidR="006556CD">
        <w:rPr>
          <w:rFonts w:ascii="Times New Roman" w:eastAsia="DengXian" w:hAnsi="Times New Roman" w:cs="Times New Roman"/>
          <w:sz w:val="24"/>
          <w:szCs w:val="24"/>
        </w:rPr>
        <w:t>k</w:t>
      </w:r>
      <w:r w:rsidRPr="001A01B3">
        <w:rPr>
          <w:rFonts w:ascii="Times New Roman" w:eastAsia="DengXian" w:hAnsi="Times New Roman" w:cs="Times New Roman"/>
          <w:sz w:val="24"/>
          <w:szCs w:val="24"/>
        </w:rPr>
        <w:t>J m</w:t>
      </w:r>
      <w:r w:rsidRPr="001A01B3">
        <w:rPr>
          <w:rFonts w:ascii="Times New Roman" w:eastAsia="DengXian" w:hAnsi="Times New Roman" w:cs="Times New Roman"/>
          <w:sz w:val="24"/>
          <w:szCs w:val="24"/>
          <w:vertAlign w:val="superscript"/>
        </w:rPr>
        <w:t>-3</w:t>
      </w:r>
      <w:r w:rsidRPr="001A01B3">
        <w:rPr>
          <w:rFonts w:ascii="Times New Roman" w:eastAsia="DengXian" w:hAnsi="Times New Roman" w:cs="Times New Roman"/>
          <w:sz w:val="24"/>
          <w:szCs w:val="24"/>
        </w:rPr>
        <w:t xml:space="preserve"> was received at 0.5 wt.% composite. It </w:t>
      </w:r>
      <w:r w:rsidR="00856622">
        <w:rPr>
          <w:rFonts w:ascii="Times New Roman" w:eastAsia="DengXian" w:hAnsi="Times New Roman" w:cs="Times New Roman"/>
          <w:sz w:val="24"/>
          <w:szCs w:val="24"/>
        </w:rPr>
        <w:t xml:space="preserve">is </w:t>
      </w:r>
      <w:r w:rsidRPr="001A01B3">
        <w:rPr>
          <w:rFonts w:ascii="Times New Roman" w:eastAsia="DengXian" w:hAnsi="Times New Roman" w:cs="Times New Roman"/>
          <w:sz w:val="24"/>
          <w:szCs w:val="24"/>
        </w:rPr>
        <w:t xml:space="preserve">presumably because the internal friction increased by the introduction of P-rGO particles, which inhibits both extension and contraction behavior, resulting in bigger energy dissipation or hysteresis at a higher P-rGO concentration </w:t>
      </w:r>
      <w:r w:rsidRPr="001A01B3">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"10.3139/9783446428713", "ISBN" : "978-3-446-42764-8", "ISSN" : "0035-9475", "abstract" : "Components based on rubbery materials play a very important part in engineering processes and products. Springs and snubbers, seals and gaskets, hose and belting, friction drives and roll covers - a comprehensive listing of essential rubber components would be surprisingly long. And yet, in spite of this widespread and necessary use of rubber in engineering, a general working knowledge of rubber science and technology is rather uncommon. Because they have little information or experience to guide them, design engineers tend to treat rubber as a suspicious and unreliable material, to be avoided if possible. But in many cases, use of a rubber part gives a simple and elegant solution to a major engineering problem. Recent examples are rubber bearings for road bridges, allowing for thermal expansion of the bridge deck without putting excessive loads on the bridge supports; rubber springs transmitting power to helicopter blades and simultaneously providing specified (and different) stiffnesses in various directions, to permit changing inclination of the blades; and rubber supports for buildings, to protect the structure against subsurface movements in earthquakes.", "author" : [ { "dropping-particle" : "", "family" : "Gent", "given" : "Alan N.", "non-dropping-particle" : "", "parse-names" : false, "suffix" : "" } ], "container-title" : "Engineering with Rubber How to Design Rubber Components", "edition" : "3rd", "id" : "ITEM-1", "issued" : { "date-parts" : [ [ "2012" ] ] }, "number-of-pages" : "1-9", "title" : "Engineering with Rubber", "type" : "book" }, "uris" : [ "http://www.mendeley.com/documents/?uuid=83229f43-d50d-4da0-8ddb-00855ccb0c17" ] }, { "id" : "ITEM-2", "itemData" : { "ISBN" : "9783446416819", "author" : [ { "dropping-particle" : "", "family" : "Judson T. Bauman", "given" : "", "non-dropping-particle" : "", "parse-names" : false, "suffix" : "" } ], "chapter-number" : "2", "container-title" : "Fatigue , Stress , and Strain of Rubber Components", "id" : "ITEM-2", "issued" : { "date-parts" : [ [ "2008" ] ] }, "page" : "9-11", "title" : "Rubber stress-strain behavior", "type" : "chapter" }, "uris" : [ "http://www.mendeley.com/documents/?uuid=82d82ee6-e233-402a-99f5-14b4d0ee3f28" ] } ], "mendeley" : { "formattedCitation" : "[258,259]", "plainTextFormattedCitation" : "[258,259]", "previouslyFormattedCitation" : "[258,259]" }, "properties" : {  }, "schema" : "https://github.com/citation-style-language/schema/raw/master/csl-citation.json" }</w:instrText>
      </w:r>
      <w:r w:rsidRPr="001A01B3">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[258,259]</w:t>
      </w:r>
      <w:r w:rsidRPr="001A01B3">
        <w:rPr>
          <w:rFonts w:ascii="Times New Roman" w:eastAsia="DengXian" w:hAnsi="Times New Roman" w:cs="Times New Roman"/>
          <w:sz w:val="24"/>
          <w:szCs w:val="24"/>
        </w:rPr>
        <w:fldChar w:fldCharType="end"/>
      </w:r>
      <w:r w:rsidRPr="001A01B3">
        <w:rPr>
          <w:rFonts w:ascii="Times New Roman" w:eastAsia="DengXian" w:hAnsi="Times New Roman" w:cs="Times New Roman"/>
          <w:sz w:val="24"/>
          <w:szCs w:val="24"/>
        </w:rPr>
        <w:t>.</w:t>
      </w:r>
      <w:r w:rsidR="00401CA2">
        <w:rPr>
          <w:rFonts w:ascii="Times New Roman" w:eastAsia="DengXian" w:hAnsi="Times New Roman" w:cs="Times New Roman"/>
          <w:sz w:val="24"/>
          <w:szCs w:val="24"/>
        </w:rPr>
        <w:t xml:space="preserve"> Same as hysteresis, hysteresis ration increase with</w:t>
      </w:r>
      <w:r w:rsidR="003034FA">
        <w:rPr>
          <w:rFonts w:ascii="Times New Roman" w:eastAsia="DengXian" w:hAnsi="Times New Roman" w:cs="Times New Roman"/>
          <w:sz w:val="24"/>
          <w:szCs w:val="24"/>
        </w:rPr>
        <w:t xml:space="preserve"> P-rGO content</w:t>
      </w:r>
      <w:r w:rsidRPr="00401CA2">
        <w:rPr>
          <w:rFonts w:ascii="Times New Roman" w:eastAsia="DengXian" w:hAnsi="Times New Roman" w:cs="Times New Roman"/>
          <w:sz w:val="24"/>
          <w:szCs w:val="24"/>
        </w:rPr>
        <w:t>, a</w:t>
      </w:r>
      <w:r w:rsidRPr="009C2E51">
        <w:rPr>
          <w:rFonts w:ascii="Times New Roman" w:eastAsia="DengXian" w:hAnsi="Times New Roman" w:cs="Times New Roman"/>
          <w:sz w:val="24"/>
          <w:szCs w:val="24"/>
        </w:rPr>
        <w:t xml:space="preserve">nd the maximum hysteresis of 0.30 was observed at 0.1 wt.%, whereas a lower hysteresis </w:t>
      </w:r>
      <w:r w:rsidR="00856622">
        <w:rPr>
          <w:rFonts w:ascii="Times New Roman" w:eastAsia="DengXian" w:hAnsi="Times New Roman" w:cs="Times New Roman"/>
          <w:sz w:val="24"/>
          <w:szCs w:val="24"/>
        </w:rPr>
        <w:t xml:space="preserve">ratio </w:t>
      </w:r>
      <w:r w:rsidRPr="009C2E51">
        <w:rPr>
          <w:rFonts w:ascii="Times New Roman" w:eastAsia="DengXian" w:hAnsi="Times New Roman" w:cs="Times New Roman"/>
          <w:sz w:val="24"/>
          <w:szCs w:val="24"/>
        </w:rPr>
        <w:t xml:space="preserve">of 0.22 was received at 0.5 wt.%. This is because hysteresis </w:t>
      </w:r>
      <w:r w:rsidR="00856622">
        <w:rPr>
          <w:rFonts w:ascii="Times New Roman" w:eastAsia="DengXian" w:hAnsi="Times New Roman" w:cs="Times New Roman"/>
          <w:sz w:val="24"/>
          <w:szCs w:val="24"/>
        </w:rPr>
        <w:t xml:space="preserve">ratio </w:t>
      </w:r>
      <w:r w:rsidRPr="009C2E51">
        <w:rPr>
          <w:rFonts w:ascii="Times New Roman" w:eastAsia="DengXian" w:hAnsi="Times New Roman" w:cs="Times New Roman"/>
          <w:sz w:val="24"/>
          <w:szCs w:val="24"/>
        </w:rPr>
        <w:t>is the fraction of the energy loss in the energy of extension. According to the tensile test, 0.5 wt.% exhibited much stronger mechanical properties over HBPE and HBPE/P-rGO composites with lower concentration</w:t>
      </w:r>
      <w:r w:rsidR="00856622">
        <w:rPr>
          <w:rFonts w:ascii="Times New Roman" w:eastAsia="DengXian" w:hAnsi="Times New Roman" w:cs="Times New Roman"/>
          <w:sz w:val="24"/>
          <w:szCs w:val="24"/>
        </w:rPr>
        <w:t>s</w:t>
      </w:r>
      <w:r w:rsidRPr="009C2E51">
        <w:rPr>
          <w:rFonts w:ascii="Times New Roman" w:eastAsia="DengXian" w:hAnsi="Times New Roman" w:cs="Times New Roman"/>
          <w:sz w:val="24"/>
          <w:szCs w:val="24"/>
        </w:rPr>
        <w:t xml:space="preserve"> (Figure </w:t>
      </w:r>
      <w:r w:rsidR="0041000F">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88043A">
        <w:rPr>
          <w:rFonts w:ascii="Times New Roman" w:eastAsia="DengXian" w:hAnsi="Times New Roman" w:cs="Times New Roman"/>
          <w:sz w:val="24"/>
          <w:szCs w:val="24"/>
        </w:rPr>
        <w:t>15</w:t>
      </w:r>
      <w:r w:rsidRPr="009C2E51">
        <w:rPr>
          <w:rFonts w:ascii="Times New Roman" w:eastAsia="DengXian" w:hAnsi="Times New Roman" w:cs="Times New Roman"/>
          <w:sz w:val="24"/>
          <w:szCs w:val="24"/>
        </w:rPr>
        <w:t xml:space="preserve">(a)). Hence, both energy of extension and hysteresis </w:t>
      </w:r>
      <w:r w:rsidR="000F35DD">
        <w:rPr>
          <w:rFonts w:ascii="Times New Roman" w:eastAsia="DengXian" w:hAnsi="Times New Roman" w:cs="Times New Roman"/>
          <w:sz w:val="24"/>
          <w:szCs w:val="24"/>
        </w:rPr>
        <w:t xml:space="preserve">of the 0.5 wt% composite </w:t>
      </w:r>
      <w:r w:rsidRPr="00401CA2">
        <w:rPr>
          <w:rFonts w:ascii="Times New Roman" w:eastAsia="DengXian" w:hAnsi="Times New Roman" w:cs="Times New Roman"/>
          <w:sz w:val="24"/>
          <w:szCs w:val="24"/>
        </w:rPr>
        <w:t xml:space="preserve">are much </w:t>
      </w:r>
      <w:r w:rsidR="00401CA2">
        <w:rPr>
          <w:rFonts w:ascii="Times New Roman" w:eastAsia="DengXian" w:hAnsi="Times New Roman" w:cs="Times New Roman"/>
          <w:sz w:val="24"/>
          <w:szCs w:val="24"/>
        </w:rPr>
        <w:t xml:space="preserve">significant </w:t>
      </w:r>
      <w:r w:rsidRPr="00401CA2">
        <w:rPr>
          <w:rFonts w:ascii="Times New Roman" w:eastAsia="DengXian" w:hAnsi="Times New Roman" w:cs="Times New Roman"/>
          <w:sz w:val="24"/>
          <w:szCs w:val="24"/>
        </w:rPr>
        <w:t>over HBPE and composites with lower P-rGO concentration</w:t>
      </w:r>
      <w:r w:rsidR="00856622">
        <w:rPr>
          <w:rFonts w:ascii="Times New Roman" w:eastAsia="DengXian" w:hAnsi="Times New Roman" w:cs="Times New Roman"/>
          <w:sz w:val="24"/>
          <w:szCs w:val="24"/>
        </w:rPr>
        <w:t>s</w:t>
      </w:r>
      <w:r w:rsidRPr="009C2E51">
        <w:rPr>
          <w:rFonts w:ascii="Times New Roman" w:eastAsia="DengXian" w:hAnsi="Times New Roman" w:cs="Times New Roman"/>
          <w:sz w:val="24"/>
          <w:szCs w:val="24"/>
        </w:rPr>
        <w:t>, resulting in a decreased hysteresis ratio.</w:t>
      </w:r>
    </w:p>
    <w:p w14:paraId="40B56183" w14:textId="77777777" w:rsidR="0065721F" w:rsidRPr="001A5452" w:rsidRDefault="0065721F" w:rsidP="0065721F">
      <w:pPr>
        <w:spacing w:after="0" w:line="480" w:lineRule="auto"/>
        <w:ind w:firstLine="360"/>
        <w:contextualSpacing/>
        <w:jc w:val="both"/>
        <w:rPr>
          <w:rFonts w:ascii="Times New Roman" w:eastAsia="DengXian" w:hAnsi="Times New Roman" w:cs="Times New Roman"/>
          <w:sz w:val="24"/>
          <w:szCs w:val="24"/>
        </w:rPr>
      </w:pPr>
    </w:p>
    <w:p w14:paraId="12DA13A9" w14:textId="2B24B81B" w:rsidR="006F38AE" w:rsidRPr="001A5452" w:rsidRDefault="0041000F" w:rsidP="0065721F">
      <w:pPr>
        <w:pStyle w:val="Caption"/>
        <w:ind w:firstLine="0"/>
        <w:rPr>
          <w:rFonts w:eastAsia="DengXian" w:cs="Times New Roman"/>
          <w:szCs w:val="24"/>
        </w:rPr>
      </w:pPr>
      <w:bookmarkStart w:id="279" w:name="_Toc502660888"/>
      <w:bookmarkStart w:id="280" w:name="_Toc502660959"/>
      <w:bookmarkStart w:id="281" w:name="_Toc502661181"/>
      <w:bookmarkStart w:id="282" w:name="_Toc518823478"/>
      <w:r>
        <w:t>Table 6</w:t>
      </w:r>
      <w:r w:rsidR="005128D5">
        <w:t>.</w:t>
      </w:r>
      <w:r w:rsidR="0065721F">
        <w:fldChar w:fldCharType="begin"/>
      </w:r>
      <w:r w:rsidR="0065721F">
        <w:instrText xml:space="preserve"> SEQ Table_6. \* ARABIC </w:instrText>
      </w:r>
      <w:r w:rsidR="0065721F">
        <w:fldChar w:fldCharType="separate"/>
      </w:r>
      <w:r w:rsidR="00551ED9">
        <w:rPr>
          <w:noProof/>
        </w:rPr>
        <w:t>3</w:t>
      </w:r>
      <w:r w:rsidR="0065721F">
        <w:fldChar w:fldCharType="end"/>
      </w:r>
      <w:r w:rsidR="006F38AE" w:rsidRPr="005128D5">
        <w:rPr>
          <w:rFonts w:eastAsia="DengXian" w:cs="Times New Roman"/>
          <w:szCs w:val="24"/>
        </w:rPr>
        <w:t>.</w:t>
      </w:r>
      <w:r w:rsidR="006F38AE" w:rsidRPr="001A5452">
        <w:rPr>
          <w:rFonts w:eastAsia="DengXian" w:cs="Times New Roman"/>
          <w:szCs w:val="24"/>
        </w:rPr>
        <w:t xml:space="preserve"> Hysteresis behavior of HBPE and HBPE/P-rGO nanocomposites.</w:t>
      </w:r>
      <w:bookmarkEnd w:id="279"/>
      <w:bookmarkEnd w:id="280"/>
      <w:bookmarkEnd w:id="281"/>
      <w:bookmarkEnd w:id="282"/>
    </w:p>
    <w:tbl>
      <w:tblPr>
        <w:tblStyle w:val="TableGrid2"/>
        <w:tblW w:w="9249" w:type="dxa"/>
        <w:tblBorders>
          <w:insideH w:val="none" w:sz="0" w:space="0" w:color="auto"/>
          <w:insideV w:val="none" w:sz="0" w:space="0" w:color="auto"/>
        </w:tblBorders>
        <w:tblLook w:val="04A0" w:firstRow="1" w:lastRow="0" w:firstColumn="1" w:lastColumn="0" w:noHBand="0" w:noVBand="1"/>
      </w:tblPr>
      <w:tblGrid>
        <w:gridCol w:w="1548"/>
        <w:gridCol w:w="2441"/>
        <w:gridCol w:w="1316"/>
        <w:gridCol w:w="1260"/>
        <w:gridCol w:w="1350"/>
        <w:gridCol w:w="1334"/>
      </w:tblGrid>
      <w:tr w:rsidR="006F38AE" w:rsidRPr="001A5452" w14:paraId="6DE03729" w14:textId="77777777" w:rsidTr="001A5452">
        <w:trPr>
          <w:trHeight w:val="270"/>
        </w:trPr>
        <w:tc>
          <w:tcPr>
            <w:tcW w:w="1548" w:type="dxa"/>
            <w:vMerge w:val="restart"/>
            <w:tcBorders>
              <w:top w:val="single" w:sz="4" w:space="0" w:color="auto"/>
              <w:left w:val="nil"/>
              <w:bottom w:val="nil"/>
            </w:tcBorders>
            <w:vAlign w:val="center"/>
          </w:tcPr>
          <w:p w14:paraId="5330F403"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Sample</w:t>
            </w:r>
          </w:p>
        </w:tc>
        <w:tc>
          <w:tcPr>
            <w:tcW w:w="2441" w:type="dxa"/>
            <w:vMerge w:val="restart"/>
            <w:tcBorders>
              <w:top w:val="single" w:sz="4" w:space="0" w:color="auto"/>
              <w:bottom w:val="nil"/>
            </w:tcBorders>
          </w:tcPr>
          <w:p w14:paraId="180E0B15" w14:textId="05FA4A26" w:rsidR="006F38AE" w:rsidRPr="001A5452" w:rsidRDefault="006F38AE" w:rsidP="00C822B1">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Hysteresis at 1</w:t>
            </w:r>
            <w:r w:rsidRPr="001A5452">
              <w:rPr>
                <w:rFonts w:ascii="Times New Roman" w:eastAsia="DengXian" w:hAnsi="Times New Roman" w:cs="Times New Roman"/>
                <w:sz w:val="24"/>
                <w:szCs w:val="24"/>
                <w:vertAlign w:val="superscript"/>
              </w:rPr>
              <w:t>st</w:t>
            </w:r>
            <w:r w:rsidRPr="001A5452">
              <w:rPr>
                <w:rFonts w:ascii="Times New Roman" w:eastAsia="DengXian" w:hAnsi="Times New Roman" w:cs="Times New Roman"/>
                <w:sz w:val="24"/>
                <w:szCs w:val="24"/>
              </w:rPr>
              <w:t>cycle</w:t>
            </w:r>
          </w:p>
          <w:p w14:paraId="6DCBDEFF" w14:textId="4620B1A9" w:rsidR="006F38AE" w:rsidRPr="001A5452" w:rsidRDefault="0041000F" w:rsidP="00F50AC6">
            <w:pPr>
              <w:tabs>
                <w:tab w:val="center" w:pos="4680"/>
                <w:tab w:val="right" w:pos="9360"/>
              </w:tabs>
              <w:spacing w:line="360" w:lineRule="auto"/>
              <w:ind w:firstLine="289"/>
              <w:rPr>
                <w:rFonts w:ascii="Times New Roman" w:eastAsia="DengXian" w:hAnsi="Times New Roman" w:cs="Times New Roman"/>
                <w:sz w:val="24"/>
                <w:szCs w:val="24"/>
              </w:rPr>
            </w:pPr>
            <w:r>
              <w:rPr>
                <w:rFonts w:ascii="Times New Roman" w:eastAsia="DengXian" w:hAnsi="Times New Roman" w:cs="Times New Roman"/>
                <w:sz w:val="24"/>
                <w:szCs w:val="24"/>
              </w:rPr>
              <w:t xml:space="preserve">     </w:t>
            </w:r>
            <w:r w:rsidR="006F38AE" w:rsidRPr="001A5452">
              <w:rPr>
                <w:rFonts w:ascii="Times New Roman" w:eastAsia="DengXian" w:hAnsi="Times New Roman" w:cs="Times New Roman"/>
                <w:sz w:val="24"/>
                <w:szCs w:val="24"/>
              </w:rPr>
              <w:t xml:space="preserve">  / </w:t>
            </w:r>
            <w:r w:rsidR="00856622">
              <w:rPr>
                <w:rFonts w:ascii="Times New Roman" w:eastAsia="DengXian" w:hAnsi="Times New Roman" w:cs="Times New Roman"/>
                <w:sz w:val="24"/>
                <w:szCs w:val="24"/>
              </w:rPr>
              <w:t>k</w:t>
            </w:r>
            <w:r w:rsidR="00856622" w:rsidRPr="001A5452">
              <w:rPr>
                <w:rFonts w:ascii="Times New Roman" w:eastAsia="DengXian" w:hAnsi="Times New Roman" w:cs="Times New Roman"/>
                <w:sz w:val="24"/>
                <w:szCs w:val="24"/>
              </w:rPr>
              <w:t xml:space="preserve">J </w:t>
            </w:r>
            <w:r w:rsidR="006F38AE" w:rsidRPr="001A5452">
              <w:rPr>
                <w:rFonts w:ascii="Times New Roman" w:eastAsia="DengXian" w:hAnsi="Times New Roman" w:cs="Times New Roman"/>
                <w:sz w:val="24"/>
                <w:szCs w:val="24"/>
              </w:rPr>
              <w:t>m</w:t>
            </w:r>
            <w:r w:rsidR="006F38AE" w:rsidRPr="001A5452">
              <w:rPr>
                <w:rFonts w:ascii="Times New Roman" w:eastAsia="DengXian" w:hAnsi="Times New Roman" w:cs="Times New Roman"/>
                <w:sz w:val="24"/>
                <w:szCs w:val="24"/>
                <w:vertAlign w:val="superscript"/>
              </w:rPr>
              <w:t>-3</w:t>
            </w:r>
          </w:p>
        </w:tc>
        <w:tc>
          <w:tcPr>
            <w:tcW w:w="5260" w:type="dxa"/>
            <w:gridSpan w:val="4"/>
            <w:tcBorders>
              <w:top w:val="single" w:sz="4" w:space="0" w:color="auto"/>
              <w:bottom w:val="single" w:sz="4" w:space="0" w:color="auto"/>
              <w:right w:val="nil"/>
            </w:tcBorders>
          </w:tcPr>
          <w:p w14:paraId="4136C995"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                           Hysteresis ratio</w:t>
            </w:r>
          </w:p>
        </w:tc>
      </w:tr>
      <w:tr w:rsidR="006F38AE" w:rsidRPr="001A5452" w14:paraId="2B928705" w14:textId="77777777" w:rsidTr="001A5452">
        <w:trPr>
          <w:trHeight w:val="270"/>
        </w:trPr>
        <w:tc>
          <w:tcPr>
            <w:tcW w:w="1548" w:type="dxa"/>
            <w:vMerge/>
            <w:tcBorders>
              <w:top w:val="nil"/>
              <w:left w:val="nil"/>
              <w:bottom w:val="single" w:sz="4" w:space="0" w:color="auto"/>
            </w:tcBorders>
          </w:tcPr>
          <w:p w14:paraId="4DB11E86"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p>
        </w:tc>
        <w:tc>
          <w:tcPr>
            <w:tcW w:w="2441" w:type="dxa"/>
            <w:vMerge/>
            <w:tcBorders>
              <w:top w:val="nil"/>
              <w:bottom w:val="single" w:sz="4" w:space="0" w:color="auto"/>
            </w:tcBorders>
          </w:tcPr>
          <w:p w14:paraId="1EECD39F"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p>
        </w:tc>
        <w:tc>
          <w:tcPr>
            <w:tcW w:w="1316" w:type="dxa"/>
            <w:tcBorders>
              <w:top w:val="single" w:sz="4" w:space="0" w:color="auto"/>
              <w:bottom w:val="single" w:sz="4" w:space="0" w:color="auto"/>
            </w:tcBorders>
          </w:tcPr>
          <w:p w14:paraId="7E7F4589"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1</w:t>
            </w:r>
            <w:r w:rsidRPr="001A5452">
              <w:rPr>
                <w:rFonts w:ascii="Times New Roman" w:eastAsia="DengXian" w:hAnsi="Times New Roman" w:cs="Times New Roman"/>
                <w:sz w:val="24"/>
                <w:szCs w:val="24"/>
                <w:vertAlign w:val="superscript"/>
              </w:rPr>
              <w:t>st</w:t>
            </w:r>
            <w:r w:rsidRPr="001A5452">
              <w:rPr>
                <w:rFonts w:ascii="Times New Roman" w:eastAsia="DengXian" w:hAnsi="Times New Roman" w:cs="Times New Roman"/>
                <w:sz w:val="24"/>
                <w:szCs w:val="24"/>
              </w:rPr>
              <w:t xml:space="preserve"> cycle</w:t>
            </w:r>
          </w:p>
        </w:tc>
        <w:tc>
          <w:tcPr>
            <w:tcW w:w="1260" w:type="dxa"/>
            <w:tcBorders>
              <w:top w:val="single" w:sz="4" w:space="0" w:color="auto"/>
              <w:bottom w:val="single" w:sz="4" w:space="0" w:color="auto"/>
            </w:tcBorders>
          </w:tcPr>
          <w:p w14:paraId="739BA39C" w14:textId="77777777" w:rsidR="006F38AE" w:rsidRPr="001A5452" w:rsidRDefault="006F38AE" w:rsidP="0041000F">
            <w:pPr>
              <w:tabs>
                <w:tab w:val="center" w:pos="4680"/>
                <w:tab w:val="right" w:pos="9360"/>
              </w:tabs>
              <w:spacing w:line="360" w:lineRule="auto"/>
              <w:ind w:firstLine="0"/>
              <w:rPr>
                <w:rFonts w:ascii="Times New Roman" w:eastAsia="DengXian" w:hAnsi="Times New Roman" w:cs="Times New Roman"/>
                <w:sz w:val="24"/>
                <w:szCs w:val="24"/>
              </w:rPr>
            </w:pPr>
            <w:r w:rsidRPr="001A5452">
              <w:rPr>
                <w:rFonts w:ascii="Times New Roman" w:eastAsia="DengXian" w:hAnsi="Times New Roman" w:cs="Times New Roman"/>
                <w:sz w:val="24"/>
                <w:szCs w:val="24"/>
              </w:rPr>
              <w:t>2</w:t>
            </w:r>
            <w:r w:rsidRPr="001A5452">
              <w:rPr>
                <w:rFonts w:ascii="Times New Roman" w:eastAsia="DengXian" w:hAnsi="Times New Roman" w:cs="Times New Roman"/>
                <w:sz w:val="24"/>
                <w:szCs w:val="24"/>
                <w:vertAlign w:val="superscript"/>
              </w:rPr>
              <w:t>nd</w:t>
            </w:r>
            <w:r w:rsidRPr="001A5452">
              <w:rPr>
                <w:rFonts w:ascii="Times New Roman" w:eastAsia="DengXian" w:hAnsi="Times New Roman" w:cs="Times New Roman"/>
                <w:sz w:val="24"/>
                <w:szCs w:val="24"/>
              </w:rPr>
              <w:t xml:space="preserve"> cycle</w:t>
            </w:r>
          </w:p>
        </w:tc>
        <w:tc>
          <w:tcPr>
            <w:tcW w:w="1350" w:type="dxa"/>
            <w:tcBorders>
              <w:top w:val="single" w:sz="4" w:space="0" w:color="auto"/>
              <w:bottom w:val="single" w:sz="4" w:space="0" w:color="auto"/>
            </w:tcBorders>
          </w:tcPr>
          <w:p w14:paraId="34E087D7"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3</w:t>
            </w:r>
            <w:r w:rsidRPr="001A5452">
              <w:rPr>
                <w:rFonts w:ascii="Times New Roman" w:eastAsia="DengXian" w:hAnsi="Times New Roman" w:cs="Times New Roman"/>
                <w:sz w:val="24"/>
                <w:szCs w:val="24"/>
                <w:vertAlign w:val="superscript"/>
              </w:rPr>
              <w:t>rd</w:t>
            </w:r>
            <w:r w:rsidRPr="001A5452">
              <w:rPr>
                <w:rFonts w:ascii="Times New Roman" w:eastAsia="DengXian" w:hAnsi="Times New Roman" w:cs="Times New Roman"/>
                <w:sz w:val="24"/>
                <w:szCs w:val="24"/>
              </w:rPr>
              <w:t xml:space="preserve"> cycle</w:t>
            </w:r>
          </w:p>
        </w:tc>
        <w:tc>
          <w:tcPr>
            <w:tcW w:w="1334" w:type="dxa"/>
            <w:tcBorders>
              <w:top w:val="single" w:sz="4" w:space="0" w:color="auto"/>
              <w:bottom w:val="single" w:sz="4" w:space="0" w:color="auto"/>
              <w:right w:val="nil"/>
            </w:tcBorders>
          </w:tcPr>
          <w:p w14:paraId="24C819CD"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4</w:t>
            </w:r>
            <w:r w:rsidRPr="001A5452">
              <w:rPr>
                <w:rFonts w:ascii="Times New Roman" w:eastAsia="DengXian" w:hAnsi="Times New Roman" w:cs="Times New Roman"/>
                <w:sz w:val="24"/>
                <w:szCs w:val="24"/>
                <w:vertAlign w:val="superscript"/>
              </w:rPr>
              <w:t>th</w:t>
            </w:r>
            <w:r w:rsidRPr="001A5452">
              <w:rPr>
                <w:rFonts w:ascii="Times New Roman" w:eastAsia="DengXian" w:hAnsi="Times New Roman" w:cs="Times New Roman"/>
                <w:sz w:val="24"/>
                <w:szCs w:val="24"/>
              </w:rPr>
              <w:t xml:space="preserve"> cycle</w:t>
            </w:r>
          </w:p>
        </w:tc>
      </w:tr>
      <w:tr w:rsidR="006F38AE" w:rsidRPr="001A5452" w14:paraId="4735751C" w14:textId="77777777" w:rsidTr="001A5452">
        <w:trPr>
          <w:trHeight w:val="270"/>
        </w:trPr>
        <w:tc>
          <w:tcPr>
            <w:tcW w:w="1548" w:type="dxa"/>
            <w:tcBorders>
              <w:top w:val="single" w:sz="4" w:space="0" w:color="auto"/>
              <w:left w:val="nil"/>
            </w:tcBorders>
          </w:tcPr>
          <w:p w14:paraId="2F52917A"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HBPE</w:t>
            </w:r>
          </w:p>
        </w:tc>
        <w:tc>
          <w:tcPr>
            <w:tcW w:w="2441" w:type="dxa"/>
            <w:tcBorders>
              <w:top w:val="single" w:sz="4" w:space="0" w:color="auto"/>
            </w:tcBorders>
          </w:tcPr>
          <w:p w14:paraId="0DA3B3D0"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          17.6</w:t>
            </w:r>
          </w:p>
        </w:tc>
        <w:tc>
          <w:tcPr>
            <w:tcW w:w="1316" w:type="dxa"/>
            <w:tcBorders>
              <w:top w:val="single" w:sz="4" w:space="0" w:color="auto"/>
            </w:tcBorders>
          </w:tcPr>
          <w:p w14:paraId="5C35F8C5"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0.25</w:t>
            </w:r>
          </w:p>
        </w:tc>
        <w:tc>
          <w:tcPr>
            <w:tcW w:w="1260" w:type="dxa"/>
            <w:tcBorders>
              <w:top w:val="single" w:sz="4" w:space="0" w:color="auto"/>
            </w:tcBorders>
          </w:tcPr>
          <w:p w14:paraId="1D957EFA"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0.19</w:t>
            </w:r>
          </w:p>
        </w:tc>
        <w:tc>
          <w:tcPr>
            <w:tcW w:w="1350" w:type="dxa"/>
            <w:tcBorders>
              <w:top w:val="single" w:sz="4" w:space="0" w:color="auto"/>
            </w:tcBorders>
          </w:tcPr>
          <w:p w14:paraId="0B34F565"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0.25</w:t>
            </w:r>
          </w:p>
        </w:tc>
        <w:tc>
          <w:tcPr>
            <w:tcW w:w="1334" w:type="dxa"/>
            <w:tcBorders>
              <w:top w:val="single" w:sz="4" w:space="0" w:color="auto"/>
              <w:right w:val="nil"/>
            </w:tcBorders>
          </w:tcPr>
          <w:p w14:paraId="09B6DC7E"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0.19</w:t>
            </w:r>
          </w:p>
        </w:tc>
      </w:tr>
      <w:tr w:rsidR="006F38AE" w:rsidRPr="001A5452" w14:paraId="02918402" w14:textId="77777777" w:rsidTr="001A5452">
        <w:trPr>
          <w:trHeight w:val="259"/>
        </w:trPr>
        <w:tc>
          <w:tcPr>
            <w:tcW w:w="1548" w:type="dxa"/>
            <w:tcBorders>
              <w:left w:val="nil"/>
            </w:tcBorders>
          </w:tcPr>
          <w:p w14:paraId="68DA9ADF"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0.01 wt.%</w:t>
            </w:r>
          </w:p>
        </w:tc>
        <w:tc>
          <w:tcPr>
            <w:tcW w:w="2441" w:type="dxa"/>
          </w:tcPr>
          <w:p w14:paraId="257445D7"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          17.8</w:t>
            </w:r>
          </w:p>
        </w:tc>
        <w:tc>
          <w:tcPr>
            <w:tcW w:w="1316" w:type="dxa"/>
          </w:tcPr>
          <w:p w14:paraId="78A80100"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0.27</w:t>
            </w:r>
          </w:p>
        </w:tc>
        <w:tc>
          <w:tcPr>
            <w:tcW w:w="1260" w:type="dxa"/>
          </w:tcPr>
          <w:p w14:paraId="603B4A2B"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0.19</w:t>
            </w:r>
          </w:p>
        </w:tc>
        <w:tc>
          <w:tcPr>
            <w:tcW w:w="1350" w:type="dxa"/>
          </w:tcPr>
          <w:p w14:paraId="5D99467C"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0.25</w:t>
            </w:r>
          </w:p>
        </w:tc>
        <w:tc>
          <w:tcPr>
            <w:tcW w:w="1334" w:type="dxa"/>
            <w:tcBorders>
              <w:right w:val="nil"/>
            </w:tcBorders>
          </w:tcPr>
          <w:p w14:paraId="5C31EE58"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0.19</w:t>
            </w:r>
          </w:p>
        </w:tc>
      </w:tr>
      <w:tr w:rsidR="006F38AE" w:rsidRPr="001A5452" w14:paraId="6320A45C" w14:textId="77777777" w:rsidTr="00401CA2">
        <w:trPr>
          <w:trHeight w:val="145"/>
        </w:trPr>
        <w:tc>
          <w:tcPr>
            <w:tcW w:w="1548" w:type="dxa"/>
            <w:tcBorders>
              <w:left w:val="nil"/>
            </w:tcBorders>
          </w:tcPr>
          <w:p w14:paraId="2381F2A2"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0.1 wt.%</w:t>
            </w:r>
          </w:p>
        </w:tc>
        <w:tc>
          <w:tcPr>
            <w:tcW w:w="2441" w:type="dxa"/>
          </w:tcPr>
          <w:p w14:paraId="4B45E348" w14:textId="77777777" w:rsidR="006F38AE" w:rsidRPr="001A5452" w:rsidRDefault="006F38AE" w:rsidP="00F50AC6">
            <w:pPr>
              <w:tabs>
                <w:tab w:val="left" w:pos="495"/>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          18.7</w:t>
            </w:r>
          </w:p>
        </w:tc>
        <w:tc>
          <w:tcPr>
            <w:tcW w:w="1316" w:type="dxa"/>
          </w:tcPr>
          <w:p w14:paraId="532D1500" w14:textId="77777777" w:rsidR="006F38AE" w:rsidRPr="001A5452" w:rsidRDefault="006F38AE" w:rsidP="00F50AC6">
            <w:pPr>
              <w:tabs>
                <w:tab w:val="left" w:pos="495"/>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0.30</w:t>
            </w:r>
          </w:p>
        </w:tc>
        <w:tc>
          <w:tcPr>
            <w:tcW w:w="1260" w:type="dxa"/>
          </w:tcPr>
          <w:p w14:paraId="038B84A9"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0.24</w:t>
            </w:r>
          </w:p>
        </w:tc>
        <w:tc>
          <w:tcPr>
            <w:tcW w:w="1350" w:type="dxa"/>
          </w:tcPr>
          <w:p w14:paraId="1A6CEAD7"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0.33</w:t>
            </w:r>
          </w:p>
        </w:tc>
        <w:tc>
          <w:tcPr>
            <w:tcW w:w="1334" w:type="dxa"/>
            <w:tcBorders>
              <w:right w:val="nil"/>
            </w:tcBorders>
          </w:tcPr>
          <w:p w14:paraId="5F79EA5C"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0.23</w:t>
            </w:r>
          </w:p>
        </w:tc>
      </w:tr>
      <w:tr w:rsidR="006F38AE" w:rsidRPr="001A5452" w14:paraId="6D050523" w14:textId="77777777" w:rsidTr="001A5452">
        <w:trPr>
          <w:trHeight w:val="270"/>
        </w:trPr>
        <w:tc>
          <w:tcPr>
            <w:tcW w:w="1548" w:type="dxa"/>
            <w:tcBorders>
              <w:left w:val="nil"/>
              <w:bottom w:val="single" w:sz="4" w:space="0" w:color="auto"/>
            </w:tcBorders>
          </w:tcPr>
          <w:p w14:paraId="764E4E90"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0.5 wt.%</w:t>
            </w:r>
          </w:p>
        </w:tc>
        <w:tc>
          <w:tcPr>
            <w:tcW w:w="2441" w:type="dxa"/>
          </w:tcPr>
          <w:p w14:paraId="3528CECB"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          19.7</w:t>
            </w:r>
          </w:p>
        </w:tc>
        <w:tc>
          <w:tcPr>
            <w:tcW w:w="1316" w:type="dxa"/>
          </w:tcPr>
          <w:p w14:paraId="79920B8C"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0.22</w:t>
            </w:r>
          </w:p>
        </w:tc>
        <w:tc>
          <w:tcPr>
            <w:tcW w:w="1260" w:type="dxa"/>
          </w:tcPr>
          <w:p w14:paraId="72D1F6D6"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0.19</w:t>
            </w:r>
          </w:p>
        </w:tc>
        <w:tc>
          <w:tcPr>
            <w:tcW w:w="1350" w:type="dxa"/>
          </w:tcPr>
          <w:p w14:paraId="7BF76F0B"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0.22</w:t>
            </w:r>
          </w:p>
        </w:tc>
        <w:tc>
          <w:tcPr>
            <w:tcW w:w="1334" w:type="dxa"/>
            <w:tcBorders>
              <w:bottom w:val="single" w:sz="4" w:space="0" w:color="auto"/>
              <w:right w:val="nil"/>
            </w:tcBorders>
          </w:tcPr>
          <w:p w14:paraId="5E6BEA36" w14:textId="77777777" w:rsidR="006F38AE" w:rsidRPr="001A5452" w:rsidRDefault="006F38AE" w:rsidP="00F50AC6">
            <w:pPr>
              <w:tabs>
                <w:tab w:val="center" w:pos="4680"/>
                <w:tab w:val="right" w:pos="9360"/>
              </w:tabs>
              <w:spacing w:line="360" w:lineRule="auto"/>
              <w:ind w:firstLine="289"/>
              <w:rPr>
                <w:rFonts w:ascii="Times New Roman" w:eastAsia="DengXian" w:hAnsi="Times New Roman" w:cs="Times New Roman"/>
                <w:sz w:val="24"/>
                <w:szCs w:val="24"/>
              </w:rPr>
            </w:pPr>
            <w:r w:rsidRPr="001A5452">
              <w:rPr>
                <w:rFonts w:ascii="Times New Roman" w:eastAsia="DengXian" w:hAnsi="Times New Roman" w:cs="Times New Roman"/>
                <w:sz w:val="24"/>
                <w:szCs w:val="24"/>
              </w:rPr>
              <w:t>0.19</w:t>
            </w:r>
          </w:p>
        </w:tc>
      </w:tr>
    </w:tbl>
    <w:p w14:paraId="74A302A7" w14:textId="77777777" w:rsidR="006F38AE" w:rsidRPr="001A5452" w:rsidRDefault="006F38AE" w:rsidP="006F38AE">
      <w:pPr>
        <w:spacing w:after="0" w:line="480" w:lineRule="auto"/>
        <w:ind w:firstLine="288"/>
        <w:jc w:val="both"/>
        <w:rPr>
          <w:rFonts w:ascii="Times New Roman" w:eastAsia="DengXian" w:hAnsi="Times New Roman" w:cs="Times New Roman"/>
          <w:sz w:val="20"/>
          <w:szCs w:val="20"/>
        </w:rPr>
      </w:pPr>
    </w:p>
    <w:p w14:paraId="2CA9B316" w14:textId="77777777" w:rsidR="006F38AE" w:rsidRPr="001A5452" w:rsidRDefault="006F38AE" w:rsidP="006F38AE">
      <w:pPr>
        <w:spacing w:after="0" w:line="480" w:lineRule="auto"/>
        <w:ind w:firstLine="360"/>
        <w:contextualSpacing/>
        <w:jc w:val="both"/>
        <w:rPr>
          <w:rFonts w:ascii="Times New Roman" w:eastAsia="DengXian" w:hAnsi="Times New Roman" w:cs="Times New Roman"/>
          <w:sz w:val="24"/>
          <w:szCs w:val="24"/>
        </w:rPr>
      </w:pPr>
    </w:p>
    <w:p w14:paraId="0548148F" w14:textId="77777777" w:rsidR="006F38AE" w:rsidRPr="001A5452" w:rsidRDefault="006F38AE" w:rsidP="006F38AE">
      <w:pPr>
        <w:spacing w:after="0" w:line="480" w:lineRule="auto"/>
        <w:ind w:firstLine="360"/>
        <w:contextualSpacing/>
        <w:jc w:val="both"/>
        <w:rPr>
          <w:rFonts w:ascii="Times New Roman" w:eastAsia="DengXian" w:hAnsi="Times New Roman" w:cs="Times New Roman"/>
          <w:sz w:val="24"/>
          <w:szCs w:val="24"/>
        </w:rPr>
      </w:pPr>
    </w:p>
    <w:p w14:paraId="394962F4" w14:textId="0D2505CF" w:rsidR="006F38AE" w:rsidRPr="001A5452" w:rsidRDefault="009C2E51" w:rsidP="006F38AE">
      <w:pPr>
        <w:spacing w:after="0" w:line="480" w:lineRule="auto"/>
        <w:ind w:firstLine="90"/>
        <w:contextualSpacing/>
        <w:jc w:val="center"/>
        <w:rPr>
          <w:rFonts w:ascii="Times New Roman" w:eastAsia="DengXian" w:hAnsi="Times New Roman" w:cs="Times New Roman"/>
          <w:sz w:val="24"/>
          <w:szCs w:val="24"/>
        </w:rPr>
      </w:pPr>
      <w:r>
        <w:rPr>
          <w:rFonts w:ascii="Times New Roman" w:eastAsia="DengXian" w:hAnsi="Times New Roman" w:cs="Times New Roman"/>
          <w:noProof/>
          <w:sz w:val="24"/>
          <w:szCs w:val="24"/>
          <w:lang w:val="en-GB"/>
        </w:rPr>
        <w:drawing>
          <wp:inline distT="0" distB="0" distL="0" distR="0" wp14:anchorId="27DEDEC9" wp14:editId="1D45D85C">
            <wp:extent cx="6103089" cy="661858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09790" cy="6625851"/>
                    </a:xfrm>
                    <a:prstGeom prst="rect">
                      <a:avLst/>
                    </a:prstGeom>
                    <a:noFill/>
                  </pic:spPr>
                </pic:pic>
              </a:graphicData>
            </a:graphic>
          </wp:inline>
        </w:drawing>
      </w:r>
    </w:p>
    <w:p w14:paraId="4F65FC89" w14:textId="02CFEB84" w:rsidR="006F38AE" w:rsidRPr="001A5452" w:rsidRDefault="0065721F" w:rsidP="0065721F">
      <w:pPr>
        <w:pStyle w:val="Caption"/>
        <w:ind w:firstLine="0"/>
        <w:jc w:val="both"/>
        <w:rPr>
          <w:rFonts w:eastAsia="DengXian" w:cs="Times New Roman"/>
          <w:szCs w:val="24"/>
        </w:rPr>
      </w:pPr>
      <w:bookmarkStart w:id="283" w:name="_Toc502662569"/>
      <w:bookmarkStart w:id="284" w:name="_Toc502662681"/>
      <w:bookmarkStart w:id="285" w:name="_Toc518823432"/>
      <w:r>
        <w:t>Fig</w:t>
      </w:r>
      <w:r w:rsidR="00DB2681">
        <w:t xml:space="preserve">ure </w:t>
      </w:r>
      <w:r w:rsidR="0041000F">
        <w:t>6</w:t>
      </w:r>
      <w:r w:rsidR="005128D5">
        <w:t>.</w:t>
      </w:r>
      <w:r w:rsidRPr="005128D5">
        <w:fldChar w:fldCharType="begin"/>
      </w:r>
      <w:r w:rsidRPr="005128D5">
        <w:instrText xml:space="preserve"> SEQ Figure_6. \* ARABIC </w:instrText>
      </w:r>
      <w:r w:rsidRPr="005128D5">
        <w:fldChar w:fldCharType="separate"/>
      </w:r>
      <w:r w:rsidR="00551ED9" w:rsidRPr="005128D5">
        <w:rPr>
          <w:noProof/>
        </w:rPr>
        <w:t>16</w:t>
      </w:r>
      <w:r w:rsidRPr="005128D5">
        <w:fldChar w:fldCharType="end"/>
      </w:r>
      <w:r w:rsidR="006F38AE" w:rsidRPr="005128D5">
        <w:rPr>
          <w:rFonts w:eastAsia="DengXian" w:cs="Times New Roman"/>
          <w:szCs w:val="24"/>
        </w:rPr>
        <w:t>.</w:t>
      </w:r>
      <w:r w:rsidR="006F38AE" w:rsidRPr="001A5452">
        <w:rPr>
          <w:rFonts w:eastAsia="DengXian" w:cs="Times New Roman"/>
          <w:szCs w:val="24"/>
        </w:rPr>
        <w:t xml:space="preserve"> Cyclic stress–strain behavior of HBPE and HBPE and HBPE/P-rGO nanocomposites:</w:t>
      </w:r>
      <w:r w:rsidR="006F38AE" w:rsidRPr="001A5452" w:rsidDel="00527B70">
        <w:rPr>
          <w:rFonts w:eastAsia="DengXian" w:cs="Times New Roman"/>
          <w:szCs w:val="24"/>
        </w:rPr>
        <w:t xml:space="preserve"> </w:t>
      </w:r>
      <w:r w:rsidR="006F38AE" w:rsidRPr="001A5452">
        <w:rPr>
          <w:rFonts w:eastAsia="DengXian" w:cs="Times New Roman"/>
          <w:szCs w:val="24"/>
        </w:rPr>
        <w:t>(a)-(d) 4 cycles with an extension of 200% and (e) hysteresis of 1</w:t>
      </w:r>
      <w:r w:rsidR="006F38AE" w:rsidRPr="001A5452">
        <w:rPr>
          <w:rFonts w:eastAsia="DengXian" w:cs="Times New Roman"/>
          <w:szCs w:val="24"/>
          <w:vertAlign w:val="superscript"/>
        </w:rPr>
        <w:t>st</w:t>
      </w:r>
      <w:r w:rsidR="006F38AE" w:rsidRPr="001A5452">
        <w:rPr>
          <w:rFonts w:eastAsia="DengXian" w:cs="Times New Roman"/>
          <w:szCs w:val="24"/>
        </w:rPr>
        <w:t xml:space="preserve"> cycle with an extension of 200%.</w:t>
      </w:r>
      <w:bookmarkEnd w:id="283"/>
      <w:bookmarkEnd w:id="284"/>
      <w:bookmarkEnd w:id="285"/>
    </w:p>
    <w:p w14:paraId="16960211" w14:textId="77777777" w:rsidR="006F38AE" w:rsidRPr="001A5452" w:rsidRDefault="006F38AE" w:rsidP="006F38AE">
      <w:pPr>
        <w:spacing w:after="0" w:line="480" w:lineRule="auto"/>
        <w:ind w:firstLine="288"/>
        <w:jc w:val="both"/>
        <w:rPr>
          <w:rFonts w:ascii="Times New Roman" w:eastAsia="DengXian" w:hAnsi="Times New Roman" w:cs="Times New Roman"/>
          <w:sz w:val="24"/>
          <w:szCs w:val="24"/>
        </w:rPr>
      </w:pPr>
    </w:p>
    <w:p w14:paraId="13DA080A" w14:textId="54ACA494" w:rsidR="006F38AE" w:rsidRPr="001A5452" w:rsidRDefault="009C2E51" w:rsidP="006F38AE">
      <w:pPr>
        <w:spacing w:after="0" w:line="480" w:lineRule="auto"/>
        <w:ind w:left="90" w:hanging="270"/>
        <w:jc w:val="both"/>
        <w:rPr>
          <w:rFonts w:ascii="Times New Roman" w:eastAsia="DengXian" w:hAnsi="Times New Roman" w:cs="Times New Roman"/>
          <w:sz w:val="24"/>
          <w:szCs w:val="24"/>
        </w:rPr>
      </w:pPr>
      <w:r>
        <w:rPr>
          <w:rFonts w:ascii="Times New Roman" w:eastAsia="DengXian" w:hAnsi="Times New Roman" w:cs="Times New Roman"/>
          <w:noProof/>
          <w:sz w:val="24"/>
          <w:szCs w:val="24"/>
          <w:lang w:val="en-GB"/>
        </w:rPr>
        <w:drawing>
          <wp:inline distT="0" distB="0" distL="0" distR="0" wp14:anchorId="5E39A627" wp14:editId="753978A2">
            <wp:extent cx="6198781" cy="239685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09283" cy="2400915"/>
                    </a:xfrm>
                    <a:prstGeom prst="rect">
                      <a:avLst/>
                    </a:prstGeom>
                    <a:noFill/>
                  </pic:spPr>
                </pic:pic>
              </a:graphicData>
            </a:graphic>
          </wp:inline>
        </w:drawing>
      </w:r>
    </w:p>
    <w:p w14:paraId="2E733483" w14:textId="577526CB" w:rsidR="006F38AE" w:rsidRPr="001A5452" w:rsidRDefault="006F38AE" w:rsidP="006F38AE">
      <w:pPr>
        <w:spacing w:after="0" w:line="480" w:lineRule="auto"/>
        <w:ind w:hanging="540"/>
        <w:jc w:val="center"/>
        <w:rPr>
          <w:rFonts w:ascii="Times New Roman" w:eastAsia="DengXian" w:hAnsi="Times New Roman" w:cs="Times New Roman"/>
          <w:sz w:val="20"/>
          <w:szCs w:val="20"/>
        </w:rPr>
      </w:pPr>
    </w:p>
    <w:p w14:paraId="14B24701" w14:textId="7615D207" w:rsidR="006F38AE" w:rsidRPr="001A5452" w:rsidRDefault="005128D5" w:rsidP="0065721F">
      <w:pPr>
        <w:pStyle w:val="Caption"/>
        <w:ind w:firstLine="0"/>
        <w:rPr>
          <w:rFonts w:eastAsia="DengXian" w:cs="Times New Roman"/>
          <w:szCs w:val="24"/>
        </w:rPr>
      </w:pPr>
      <w:bookmarkStart w:id="286" w:name="_Toc502662570"/>
      <w:bookmarkStart w:id="287" w:name="_Toc502662682"/>
      <w:bookmarkStart w:id="288" w:name="_Toc518823433"/>
      <w:r>
        <w:t xml:space="preserve">Figure </w:t>
      </w:r>
      <w:r w:rsidR="000B6775">
        <w:t>6</w:t>
      </w:r>
      <w:r>
        <w:t>.</w:t>
      </w:r>
      <w:r w:rsidR="0065721F">
        <w:fldChar w:fldCharType="begin"/>
      </w:r>
      <w:r w:rsidR="0065721F">
        <w:instrText xml:space="preserve"> SEQ Figure_6. \* ARABIC </w:instrText>
      </w:r>
      <w:r w:rsidR="0065721F">
        <w:fldChar w:fldCharType="separate"/>
      </w:r>
      <w:r w:rsidR="00551ED9">
        <w:rPr>
          <w:noProof/>
        </w:rPr>
        <w:t>17</w:t>
      </w:r>
      <w:r w:rsidR="0065721F">
        <w:fldChar w:fldCharType="end"/>
      </w:r>
      <w:r w:rsidR="006F38AE" w:rsidRPr="005128D5">
        <w:rPr>
          <w:rFonts w:eastAsia="DengXian" w:cs="Times New Roman"/>
          <w:szCs w:val="24"/>
        </w:rPr>
        <w:t>.</w:t>
      </w:r>
      <w:r w:rsidR="006F38AE" w:rsidRPr="001A5452">
        <w:rPr>
          <w:rFonts w:eastAsia="DengXian" w:cs="Times New Roman"/>
          <w:szCs w:val="24"/>
        </w:rPr>
        <w:t xml:space="preserve"> Stress–strain curves with different extensions of HBPE and HBPE/P-rGO nanocomposite (0.5 wt.%).</w:t>
      </w:r>
      <w:bookmarkEnd w:id="286"/>
      <w:bookmarkEnd w:id="287"/>
      <w:bookmarkEnd w:id="288"/>
    </w:p>
    <w:p w14:paraId="165ABACC" w14:textId="77777777" w:rsidR="006F38AE" w:rsidRPr="001A5452" w:rsidRDefault="006F38AE" w:rsidP="006F38AE">
      <w:pPr>
        <w:spacing w:after="0" w:line="480" w:lineRule="auto"/>
        <w:ind w:left="360"/>
        <w:jc w:val="center"/>
        <w:rPr>
          <w:rFonts w:ascii="Times New Roman" w:eastAsia="DengXian" w:hAnsi="Times New Roman" w:cs="Times New Roman"/>
          <w:sz w:val="24"/>
          <w:szCs w:val="24"/>
        </w:rPr>
      </w:pPr>
    </w:p>
    <w:p w14:paraId="31BCD7E3" w14:textId="0750E6C0" w:rsidR="006F38AE" w:rsidRPr="001A5452" w:rsidRDefault="005128D5" w:rsidP="0065721F">
      <w:pPr>
        <w:pStyle w:val="Caption"/>
        <w:ind w:firstLine="0"/>
        <w:rPr>
          <w:rFonts w:eastAsia="DengXian" w:cs="Times New Roman"/>
          <w:szCs w:val="24"/>
        </w:rPr>
      </w:pPr>
      <w:bookmarkStart w:id="289" w:name="_Toc502660889"/>
      <w:bookmarkStart w:id="290" w:name="_Toc502660960"/>
      <w:bookmarkStart w:id="291" w:name="_Toc502661182"/>
      <w:bookmarkStart w:id="292" w:name="_Toc518823479"/>
      <w:r>
        <w:t xml:space="preserve">Table </w:t>
      </w:r>
      <w:r w:rsidR="000B6775">
        <w:t>6</w:t>
      </w:r>
      <w:r>
        <w:t>.</w:t>
      </w:r>
      <w:r w:rsidR="0065721F">
        <w:fldChar w:fldCharType="begin"/>
      </w:r>
      <w:r w:rsidR="0065721F">
        <w:instrText xml:space="preserve"> SEQ Table_6. \* ARABIC </w:instrText>
      </w:r>
      <w:r w:rsidR="0065721F">
        <w:fldChar w:fldCharType="separate"/>
      </w:r>
      <w:r w:rsidR="00551ED9">
        <w:rPr>
          <w:noProof/>
        </w:rPr>
        <w:t>4</w:t>
      </w:r>
      <w:r w:rsidR="0065721F">
        <w:fldChar w:fldCharType="end"/>
      </w:r>
      <w:r w:rsidR="006F38AE" w:rsidRPr="005128D5">
        <w:rPr>
          <w:rFonts w:eastAsia="DengXian" w:cs="Times New Roman"/>
          <w:szCs w:val="24"/>
        </w:rPr>
        <w:t>.</w:t>
      </w:r>
      <w:r w:rsidR="006F38AE" w:rsidRPr="001A5452">
        <w:rPr>
          <w:rFonts w:eastAsia="DengXian" w:cs="Times New Roman"/>
          <w:szCs w:val="24"/>
        </w:rPr>
        <w:t xml:space="preserve"> The hysteresis ratio of HBPE and 0.5 wt.% HBPE/P-RGO at various extensions</w:t>
      </w:r>
      <w:bookmarkEnd w:id="289"/>
      <w:bookmarkEnd w:id="290"/>
      <w:bookmarkEnd w:id="291"/>
      <w:bookmarkEnd w:id="292"/>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1"/>
        <w:gridCol w:w="1807"/>
        <w:gridCol w:w="1768"/>
        <w:gridCol w:w="1768"/>
        <w:gridCol w:w="1776"/>
      </w:tblGrid>
      <w:tr w:rsidR="006F38AE" w:rsidRPr="001A5452" w14:paraId="1D1DE258" w14:textId="77777777" w:rsidTr="001A5452">
        <w:trPr>
          <w:jc w:val="center"/>
        </w:trPr>
        <w:tc>
          <w:tcPr>
            <w:tcW w:w="1781" w:type="dxa"/>
            <w:vMerge w:val="restart"/>
            <w:tcBorders>
              <w:top w:val="single" w:sz="4" w:space="0" w:color="auto"/>
              <w:bottom w:val="single" w:sz="4" w:space="0" w:color="auto"/>
            </w:tcBorders>
            <w:vAlign w:val="center"/>
          </w:tcPr>
          <w:p w14:paraId="34B2E6A6"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Samples</w:t>
            </w:r>
          </w:p>
        </w:tc>
        <w:tc>
          <w:tcPr>
            <w:tcW w:w="7119" w:type="dxa"/>
            <w:gridSpan w:val="4"/>
            <w:tcBorders>
              <w:top w:val="single" w:sz="4" w:space="0" w:color="auto"/>
              <w:bottom w:val="single" w:sz="4" w:space="0" w:color="auto"/>
            </w:tcBorders>
          </w:tcPr>
          <w:p w14:paraId="4E473736" w14:textId="5DAC4028"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Hysteresis ratio with various extension</w:t>
            </w:r>
            <w:r w:rsidR="000F35DD">
              <w:rPr>
                <w:rFonts w:ascii="Times New Roman" w:eastAsia="DengXian" w:hAnsi="Times New Roman" w:cs="Times New Roman"/>
                <w:sz w:val="24"/>
                <w:szCs w:val="24"/>
              </w:rPr>
              <w:t>s</w:t>
            </w:r>
          </w:p>
        </w:tc>
      </w:tr>
      <w:tr w:rsidR="006F38AE" w:rsidRPr="001A5452" w14:paraId="00B5DAD3" w14:textId="77777777" w:rsidTr="001A5452">
        <w:trPr>
          <w:jc w:val="center"/>
        </w:trPr>
        <w:tc>
          <w:tcPr>
            <w:tcW w:w="1781" w:type="dxa"/>
            <w:vMerge/>
            <w:tcBorders>
              <w:bottom w:val="single" w:sz="4" w:space="0" w:color="auto"/>
            </w:tcBorders>
          </w:tcPr>
          <w:p w14:paraId="1E8107A3"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p>
        </w:tc>
        <w:tc>
          <w:tcPr>
            <w:tcW w:w="1807" w:type="dxa"/>
            <w:tcBorders>
              <w:top w:val="single" w:sz="4" w:space="0" w:color="auto"/>
              <w:bottom w:val="single" w:sz="4" w:space="0" w:color="auto"/>
            </w:tcBorders>
          </w:tcPr>
          <w:p w14:paraId="570EBE7F"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10%</w:t>
            </w:r>
          </w:p>
        </w:tc>
        <w:tc>
          <w:tcPr>
            <w:tcW w:w="1768" w:type="dxa"/>
            <w:tcBorders>
              <w:top w:val="single" w:sz="4" w:space="0" w:color="auto"/>
              <w:bottom w:val="single" w:sz="4" w:space="0" w:color="auto"/>
            </w:tcBorders>
          </w:tcPr>
          <w:p w14:paraId="6BAEF682"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20%</w:t>
            </w:r>
          </w:p>
        </w:tc>
        <w:tc>
          <w:tcPr>
            <w:tcW w:w="1768" w:type="dxa"/>
            <w:tcBorders>
              <w:top w:val="single" w:sz="4" w:space="0" w:color="auto"/>
              <w:bottom w:val="single" w:sz="4" w:space="0" w:color="auto"/>
            </w:tcBorders>
          </w:tcPr>
          <w:p w14:paraId="3233DA67"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50%</w:t>
            </w:r>
          </w:p>
        </w:tc>
        <w:tc>
          <w:tcPr>
            <w:tcW w:w="1776" w:type="dxa"/>
            <w:tcBorders>
              <w:top w:val="single" w:sz="4" w:space="0" w:color="auto"/>
              <w:bottom w:val="single" w:sz="4" w:space="0" w:color="auto"/>
            </w:tcBorders>
          </w:tcPr>
          <w:p w14:paraId="0A4E80F5"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100%</w:t>
            </w:r>
          </w:p>
        </w:tc>
      </w:tr>
      <w:tr w:rsidR="006F38AE" w:rsidRPr="001A5452" w14:paraId="5EACECFF" w14:textId="77777777" w:rsidTr="001A5452">
        <w:trPr>
          <w:jc w:val="center"/>
        </w:trPr>
        <w:tc>
          <w:tcPr>
            <w:tcW w:w="1781" w:type="dxa"/>
            <w:tcBorders>
              <w:top w:val="single" w:sz="4" w:space="0" w:color="auto"/>
            </w:tcBorders>
          </w:tcPr>
          <w:p w14:paraId="5B987D62"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HBPE</w:t>
            </w:r>
          </w:p>
        </w:tc>
        <w:tc>
          <w:tcPr>
            <w:tcW w:w="1807" w:type="dxa"/>
            <w:tcBorders>
              <w:top w:val="single" w:sz="4" w:space="0" w:color="auto"/>
            </w:tcBorders>
          </w:tcPr>
          <w:p w14:paraId="040F034E"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0.40</w:t>
            </w:r>
          </w:p>
        </w:tc>
        <w:tc>
          <w:tcPr>
            <w:tcW w:w="1768" w:type="dxa"/>
            <w:tcBorders>
              <w:top w:val="single" w:sz="4" w:space="0" w:color="auto"/>
            </w:tcBorders>
          </w:tcPr>
          <w:p w14:paraId="4EFE7916"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0.45</w:t>
            </w:r>
          </w:p>
        </w:tc>
        <w:tc>
          <w:tcPr>
            <w:tcW w:w="1768" w:type="dxa"/>
            <w:tcBorders>
              <w:top w:val="single" w:sz="4" w:space="0" w:color="auto"/>
            </w:tcBorders>
          </w:tcPr>
          <w:p w14:paraId="13783236"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0.37</w:t>
            </w:r>
          </w:p>
        </w:tc>
        <w:tc>
          <w:tcPr>
            <w:tcW w:w="1776" w:type="dxa"/>
            <w:tcBorders>
              <w:top w:val="single" w:sz="4" w:space="0" w:color="auto"/>
            </w:tcBorders>
          </w:tcPr>
          <w:p w14:paraId="052B06B4"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0.25</w:t>
            </w:r>
          </w:p>
        </w:tc>
      </w:tr>
      <w:tr w:rsidR="006F38AE" w:rsidRPr="001A5452" w14:paraId="537C6D4E" w14:textId="77777777" w:rsidTr="001A5452">
        <w:trPr>
          <w:jc w:val="center"/>
        </w:trPr>
        <w:tc>
          <w:tcPr>
            <w:tcW w:w="1781" w:type="dxa"/>
            <w:tcBorders>
              <w:bottom w:val="single" w:sz="4" w:space="0" w:color="auto"/>
            </w:tcBorders>
          </w:tcPr>
          <w:p w14:paraId="2B0CE906"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0.5 wt.%</w:t>
            </w:r>
          </w:p>
        </w:tc>
        <w:tc>
          <w:tcPr>
            <w:tcW w:w="1807" w:type="dxa"/>
            <w:tcBorders>
              <w:bottom w:val="single" w:sz="4" w:space="0" w:color="auto"/>
            </w:tcBorders>
          </w:tcPr>
          <w:p w14:paraId="295464B9"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0.25</w:t>
            </w:r>
          </w:p>
        </w:tc>
        <w:tc>
          <w:tcPr>
            <w:tcW w:w="1768" w:type="dxa"/>
            <w:tcBorders>
              <w:bottom w:val="single" w:sz="4" w:space="0" w:color="auto"/>
            </w:tcBorders>
          </w:tcPr>
          <w:p w14:paraId="25A8C302"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0.32</w:t>
            </w:r>
          </w:p>
        </w:tc>
        <w:tc>
          <w:tcPr>
            <w:tcW w:w="1768" w:type="dxa"/>
            <w:tcBorders>
              <w:bottom w:val="single" w:sz="4" w:space="0" w:color="auto"/>
            </w:tcBorders>
          </w:tcPr>
          <w:p w14:paraId="564DE73C"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0.25</w:t>
            </w:r>
          </w:p>
        </w:tc>
        <w:tc>
          <w:tcPr>
            <w:tcW w:w="1776" w:type="dxa"/>
            <w:tcBorders>
              <w:bottom w:val="single" w:sz="4" w:space="0" w:color="auto"/>
            </w:tcBorders>
          </w:tcPr>
          <w:p w14:paraId="05ACDBE4" w14:textId="77777777" w:rsidR="006F38AE" w:rsidRPr="001A5452" w:rsidRDefault="006F38AE" w:rsidP="00C1080E">
            <w:pPr>
              <w:tabs>
                <w:tab w:val="center" w:pos="4680"/>
                <w:tab w:val="right" w:pos="9360"/>
              </w:tabs>
              <w:spacing w:line="360" w:lineRule="auto"/>
              <w:ind w:firstLine="289"/>
              <w:jc w:val="center"/>
              <w:rPr>
                <w:rFonts w:ascii="Times New Roman" w:eastAsia="DengXian" w:hAnsi="Times New Roman" w:cs="Times New Roman"/>
                <w:sz w:val="24"/>
                <w:szCs w:val="24"/>
              </w:rPr>
            </w:pPr>
            <w:r w:rsidRPr="001A5452">
              <w:rPr>
                <w:rFonts w:ascii="Times New Roman" w:eastAsia="DengXian" w:hAnsi="Times New Roman" w:cs="Times New Roman"/>
                <w:sz w:val="24"/>
                <w:szCs w:val="24"/>
              </w:rPr>
              <w:t>0.19</w:t>
            </w:r>
          </w:p>
        </w:tc>
      </w:tr>
    </w:tbl>
    <w:p w14:paraId="677A1B01" w14:textId="77777777" w:rsidR="006F38AE" w:rsidRPr="001A5452" w:rsidRDefault="006F38AE" w:rsidP="006F38AE">
      <w:pPr>
        <w:spacing w:after="0" w:line="480" w:lineRule="auto"/>
        <w:ind w:left="360"/>
        <w:rPr>
          <w:rFonts w:ascii="Times New Roman" w:eastAsia="DengXian" w:hAnsi="Times New Roman" w:cs="Times New Roman"/>
          <w:sz w:val="24"/>
          <w:szCs w:val="24"/>
        </w:rPr>
      </w:pPr>
    </w:p>
    <w:p w14:paraId="6C4A4E1F" w14:textId="6174BFBE" w:rsidR="006F38AE" w:rsidRDefault="006F38AE" w:rsidP="00401CA2">
      <w:pPr>
        <w:spacing w:after="0" w:line="480" w:lineRule="auto"/>
        <w:ind w:firstLine="360"/>
        <w:jc w:val="both"/>
        <w:rPr>
          <w:rFonts w:ascii="Times New Roman" w:eastAsia="DengXian" w:hAnsi="Times New Roman" w:cs="Times New Roman"/>
          <w:sz w:val="24"/>
          <w:szCs w:val="24"/>
        </w:rPr>
      </w:pPr>
      <w:r w:rsidRPr="00F93455">
        <w:rPr>
          <w:rFonts w:ascii="Times New Roman" w:eastAsia="DengXian" w:hAnsi="Times New Roman" w:cs="Times New Roman"/>
          <w:sz w:val="24"/>
          <w:szCs w:val="24"/>
        </w:rPr>
        <w:t xml:space="preserve">In order to study the hysteresis behavior for various extensions, cyclic tensile tests with different extensions (10%, 20%, 50%, and 100%) with a waiting time of 5 seconds between each cycle were performed on HBPE and 0.5 wt.% HBPE/P-rGO nanocomposite, and the results are shown in Figure </w:t>
      </w:r>
      <w:r w:rsidR="000B6775">
        <w:rPr>
          <w:rFonts w:ascii="Times New Roman" w:eastAsia="DengXian" w:hAnsi="Times New Roman" w:cs="Times New Roman"/>
          <w:sz w:val="24"/>
          <w:szCs w:val="24"/>
        </w:rPr>
        <w:t>6</w:t>
      </w:r>
      <w:r w:rsidR="009A1ACE">
        <w:rPr>
          <w:rFonts w:ascii="Times New Roman" w:eastAsia="DengXian" w:hAnsi="Times New Roman" w:cs="Times New Roman"/>
          <w:sz w:val="24"/>
          <w:szCs w:val="24"/>
        </w:rPr>
        <w:t>.17</w:t>
      </w:r>
      <w:r w:rsidRPr="00F93455">
        <w:rPr>
          <w:rFonts w:ascii="Times New Roman" w:eastAsia="DengXian" w:hAnsi="Times New Roman" w:cs="Times New Roman"/>
          <w:sz w:val="24"/>
          <w:szCs w:val="24"/>
        </w:rPr>
        <w:t xml:space="preserve"> and Table</w:t>
      </w:r>
      <w:r w:rsidR="000B6775">
        <w:rPr>
          <w:rFonts w:ascii="Times New Roman" w:eastAsia="DengXian" w:hAnsi="Times New Roman" w:cs="Times New Roman"/>
          <w:sz w:val="24"/>
          <w:szCs w:val="24"/>
        </w:rPr>
        <w:t xml:space="preserve"> 6</w:t>
      </w:r>
      <w:r w:rsidR="00F50AC6">
        <w:rPr>
          <w:rFonts w:ascii="Times New Roman" w:eastAsia="DengXian" w:hAnsi="Times New Roman" w:cs="Times New Roman"/>
          <w:sz w:val="24"/>
          <w:szCs w:val="24"/>
        </w:rPr>
        <w:t>.</w:t>
      </w:r>
      <w:r w:rsidRPr="00F93455">
        <w:rPr>
          <w:rFonts w:ascii="Times New Roman" w:eastAsia="DengXian" w:hAnsi="Times New Roman" w:cs="Times New Roman"/>
          <w:sz w:val="24"/>
          <w:szCs w:val="24"/>
        </w:rPr>
        <w:t xml:space="preserve">4. When the cycle was repeated, the sample recovered completely without any residue strain, indicating a great resilience. According to Figure </w:t>
      </w:r>
      <w:r w:rsidR="000B6775">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23569D">
        <w:rPr>
          <w:rFonts w:ascii="Times New Roman" w:eastAsia="DengXian" w:hAnsi="Times New Roman" w:cs="Times New Roman"/>
          <w:sz w:val="24"/>
          <w:szCs w:val="24"/>
        </w:rPr>
        <w:t>17</w:t>
      </w:r>
      <w:r w:rsidRPr="00F93455">
        <w:rPr>
          <w:rFonts w:ascii="Times New Roman" w:eastAsia="DengXian" w:hAnsi="Times New Roman" w:cs="Times New Roman"/>
          <w:sz w:val="24"/>
          <w:szCs w:val="24"/>
        </w:rPr>
        <w:t xml:space="preserve">, the hysteresis increases with the extension as expected. In terms of hysteresis ratio, </w:t>
      </w:r>
      <w:r w:rsidR="000F35DD" w:rsidRPr="000F35DD">
        <w:rPr>
          <w:rFonts w:ascii="Times New Roman" w:eastAsia="DengXian" w:hAnsi="Times New Roman" w:cs="Times New Roman"/>
          <w:sz w:val="24"/>
          <w:szCs w:val="24"/>
        </w:rPr>
        <w:t xml:space="preserve">the </w:t>
      </w:r>
      <w:r w:rsidRPr="00401CA2">
        <w:rPr>
          <w:rFonts w:ascii="Times New Roman" w:eastAsia="DengXian" w:hAnsi="Times New Roman" w:cs="Times New Roman"/>
          <w:sz w:val="24"/>
          <w:szCs w:val="24"/>
        </w:rPr>
        <w:t>HBPE/P-rGO nanocomposite exhibited a significant</w:t>
      </w:r>
      <w:r w:rsidR="000F35DD" w:rsidRPr="000F35DD">
        <w:rPr>
          <w:rFonts w:ascii="Times New Roman" w:eastAsia="DengXian" w:hAnsi="Times New Roman" w:cs="Times New Roman"/>
          <w:sz w:val="24"/>
          <w:szCs w:val="24"/>
        </w:rPr>
        <w:t>ly</w:t>
      </w:r>
      <w:r w:rsidRPr="00401CA2">
        <w:rPr>
          <w:rFonts w:ascii="Times New Roman" w:eastAsia="DengXian" w:hAnsi="Times New Roman" w:cs="Times New Roman"/>
          <w:sz w:val="24"/>
          <w:szCs w:val="24"/>
        </w:rPr>
        <w:t xml:space="preserve"> lower value over HBPE, same as the results of 4 cyclic tensile test with an extension of 200% (See Figure </w:t>
      </w:r>
      <w:r w:rsidR="000B6775">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23569D">
        <w:rPr>
          <w:rFonts w:ascii="Times New Roman" w:eastAsia="DengXian" w:hAnsi="Times New Roman" w:cs="Times New Roman"/>
          <w:sz w:val="24"/>
          <w:szCs w:val="24"/>
        </w:rPr>
        <w:t>16</w:t>
      </w:r>
      <w:r w:rsidRPr="00401CA2">
        <w:rPr>
          <w:rFonts w:ascii="Times New Roman" w:eastAsia="DengXian" w:hAnsi="Times New Roman" w:cs="Times New Roman"/>
          <w:sz w:val="24"/>
          <w:szCs w:val="24"/>
        </w:rPr>
        <w:t xml:space="preserve"> and Table </w:t>
      </w:r>
      <w:r w:rsidR="000B6775">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Pr="00401CA2">
        <w:rPr>
          <w:rFonts w:ascii="Times New Roman" w:eastAsia="DengXian" w:hAnsi="Times New Roman" w:cs="Times New Roman"/>
          <w:sz w:val="24"/>
          <w:szCs w:val="24"/>
        </w:rPr>
        <w:t>3).</w:t>
      </w:r>
      <w:r w:rsidRPr="00320F96">
        <w:rPr>
          <w:rFonts w:ascii="Times New Roman" w:eastAsia="DengXian" w:hAnsi="Times New Roman" w:cs="Times New Roman"/>
          <w:sz w:val="24"/>
          <w:szCs w:val="24"/>
        </w:rPr>
        <w:t xml:space="preserve"> </w:t>
      </w:r>
      <w:r w:rsidRPr="00401CA2">
        <w:rPr>
          <w:rFonts w:ascii="Times New Roman" w:eastAsia="DengXian" w:hAnsi="Times New Roman" w:cs="Times New Roman"/>
          <w:sz w:val="24"/>
          <w:szCs w:val="24"/>
        </w:rPr>
        <w:t>Similar to the previous results, hysteresis was getting worse with the incorporation with the P-rGO particles. However, composites show better recovery ability to its original state over neat HBPE.</w:t>
      </w:r>
    </w:p>
    <w:p w14:paraId="5E3BDBED" w14:textId="77777777" w:rsidR="00320F96" w:rsidRPr="001A5452" w:rsidRDefault="00320F96" w:rsidP="006F38AE">
      <w:pPr>
        <w:spacing w:after="0" w:line="480" w:lineRule="auto"/>
        <w:ind w:firstLine="360"/>
        <w:jc w:val="both"/>
        <w:rPr>
          <w:rFonts w:ascii="Times New Roman" w:eastAsia="DengXian" w:hAnsi="Times New Roman" w:cs="Times New Roman"/>
          <w:sz w:val="24"/>
          <w:szCs w:val="24"/>
        </w:rPr>
      </w:pPr>
    </w:p>
    <w:p w14:paraId="79A3ED60" w14:textId="22A10541" w:rsidR="006F38AE" w:rsidRPr="001A5452" w:rsidRDefault="00784880" w:rsidP="00A22DC4">
      <w:pPr>
        <w:pStyle w:val="Heading3"/>
      </w:pPr>
      <w:bookmarkStart w:id="293" w:name="_Toc518823362"/>
      <w:r>
        <w:t>6</w:t>
      </w:r>
      <w:r w:rsidR="00BD1DD2">
        <w:t>.</w:t>
      </w:r>
      <w:r w:rsidR="006F38AE" w:rsidRPr="001A5452">
        <w:t>3.3.3</w:t>
      </w:r>
      <w:r w:rsidR="006F38AE" w:rsidRPr="001A5452">
        <w:rPr>
          <w:lang w:val="en-GB"/>
        </w:rPr>
        <w:t>.</w:t>
      </w:r>
      <w:r w:rsidR="006F38AE" w:rsidRPr="001A5452">
        <w:t xml:space="preserve"> Fatigue behavior of HBPE and HBPE/P-rGO nanocomposites</w:t>
      </w:r>
      <w:bookmarkEnd w:id="293"/>
    </w:p>
    <w:p w14:paraId="20D66E4B" w14:textId="4AD5CDCE" w:rsidR="006F38AE" w:rsidRPr="001A5452" w:rsidRDefault="006F38AE" w:rsidP="006F38AE">
      <w:pPr>
        <w:spacing w:after="0" w:line="480" w:lineRule="auto"/>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Under fluctuating loads, polymers can also fail at stress levels much lower than they can withstand under monotonic loading conditions. Hence, the resistance of polymers to fatigue life is another important parameter </w:t>
      </w:r>
      <w:r w:rsidRPr="001A545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"10.1007/s10853-008-2651-9", "ISBN" : "0022-2461, 1573-4803", "ISSN" : "00222461", "abstract" : "Glass fiber polymer composites have high strength, low cost, but suffer from poor performance in fatigue. Mechanisms for high-cycle (&gt;10 4 cycles) fatigue failure in glass fiber composites consist primarily of matrix-dominated damage accumulation and growth that coalesce and propagate into the fibers resulting in ultimate fatigue failure. This investigation shows that the addition of small volume fractions of multi-walled carbon nanotubes (CNTs) in the matrix results in a significant increase in the high-cycle fatigue life. Cyclic hysteresis measured over each cycle in real time during testing is used as a sensitive indicator of fatigue damage. We show that hysteresis growth with cycling is suppressed when CNTs are present with resulting longer cyclic life. Incorporating CNTs into the matrix tends to inhibit the formation of large cracks since a large density of nucleation sites are provided by the CNTs. In addition, the increase in energy absorption from the fracture of nanotubes bridging across nanoscale cracks and nanotube pull-out from the matrix is thought to contribute to the higher fatigue life of glass composites containing CNTs. High-resolution scanning electron microscopy suggests possible mechanisms for energy absorption including nanotube pull-out and fracture. The distributed nanotubes in the matrix appear to inhibit damage propagation resulting in overall improved fatigue strength and durability. \u00a9 2008 Springer Science+Business Media, LLC.", "author" : [ { "dropping-particle" : "", "family" : "Grimmer", "given" : "Christopher S.", "non-dropping-particle" : "", "parse-names" : false, "suffix" : "" }, { "dropping-particle" : "", "family" : "Dharan", "given" : "C. K H", "non-dropping-particle" : "", "parse-names" : false, "suffix" : "" } ], "container-title" : "Journal of Materials Science", "id" : "ITEM-1", "issue" : "13", "issued" : { "date-parts" : [ [ "2008" ] ] }, "page" : "4487-4492", "title" : "High-cycle fatigue of hybrid carbon nanotube/glass fiber/polymer composites", "type" : "article-journal", "volume" : "43" }, "uris" : [ "http://www.mendeley.com/documents/?uuid=ef4296d7-8fc4-438d-9a2b-7a344f66e8f8" ] }, { "id" : "ITEM-2", "itemData" : { "author" : [ { "dropping-particle" : "", "family" : "L.A.Pruitt", "given" : "", "non-dropping-particle" : "", "parse-names" : false, "suffix" : "" } ], "id" : "ITEM-2", "issue" : "6", "issued" : { "date-parts" : [ [ "1980" ] ] }, "page" : "499-531", "title" : "Fatigue of Polymers", "type" : "article-journal", "volume" : "4" }, "uris" : [ "http://www.mendeley.com/documents/?uuid=c13d9a8e-170c-4532-9d96-214333ec1a30" ] }, { "id" : "ITEM-3", "itemData" : { "DOI" : "10.1016/j.polymertesting.2006.12.010", "ISSN" : "01429418", "abstract" : "Ratcheting behavior of an epoxy resin and its effect on fatigue life has been experimentally investigated. All the fatigue tests were carried out under stress-controlled mode, and stress-strain data were recorded during the entire fatigue life period by a newly established non-contact real-time strain measurement and control system. Quantitative results of evolutions of ratcheting strain, strain range and strain energy density in tests with various mean stresses and stress amplitudes have been retrieved from the stress-strain data. The amount of ratcheting strain and accumulation rate was sensitive to the stress amplitude and mean stress. Fatigue lives of these tests were compared with previous test results under strain-range-controlled mode and no obvious ratcheting strain effect on fatigue life was observed for this epoxy polymer. Additional fatigue tests with resting periods were further performed to investigate the mechanism of the experimental observations on this epoxy polymer. ?? 2007.", "author" : [ { "dropping-particle" : "", "family" : "Tao", "given" : "Gang", "non-dropping-particle" : "", "parse-names" : false, "suffix" : "" }, { "dropping-particle" : "", "family" : "Xia", "given" : "Zihui", "non-dropping-particle" : "", "parse-names" : false, "suffix" : "" } ], "container-title" : "Polymer Testing", "id" : "ITEM-3", "issue" : "4", "issued" : { "date-parts" : [ [ "2007" ] ] }, "page" : "451-460", "title" : "Ratcheting behavior of an epoxy polymer and its effect on fatigue life", "type" : "article-journal", "volume" : "26" }, "uris" : [ "http://www.mendeley.com/documents/?uuid=e742acb4-227d-4f70-ad1b-3379344cbc2a" ] } ], "mendeley" : { "formattedCitation" : "[260\u2013262]", "plainTextFormattedCitation" : "[260\u2013262]", "previouslyFormattedCitation" : "[260\u2013262]" }, "properties" : {  }, "schema" : "https://github.com/citation-style-language/schema/raw/master/csl-citation.json" }</w:instrText>
      </w:r>
      <w:r w:rsidRPr="001A545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[260–262]</w:t>
      </w:r>
      <w:r w:rsidRPr="001A5452">
        <w:rPr>
          <w:rFonts w:ascii="Times New Roman" w:eastAsia="DengXian" w:hAnsi="Times New Roman" w:cs="Times New Roman"/>
          <w:sz w:val="24"/>
          <w:szCs w:val="24"/>
        </w:rPr>
        <w:fldChar w:fldCharType="end"/>
      </w:r>
      <w:r w:rsidRPr="001A5452">
        <w:rPr>
          <w:rFonts w:ascii="Times New Roman" w:eastAsia="DengXian" w:hAnsi="Times New Roman" w:cs="Times New Roman"/>
          <w:sz w:val="24"/>
          <w:szCs w:val="24"/>
        </w:rPr>
        <w:t>. In order to evaluate the mechanical durability and fatigue failure properties of HBPE and its P-rGO nanocomposites, cyclic tests were conducted under 1000 repeated cycles with a given extension of 100% at an extension rate of 100 mm min</w:t>
      </w:r>
      <w:r w:rsidRPr="001A5452">
        <w:rPr>
          <w:rFonts w:ascii="Times New Roman" w:eastAsia="DengXian" w:hAnsi="Times New Roman" w:cs="Times New Roman"/>
          <w:sz w:val="24"/>
          <w:szCs w:val="24"/>
          <w:vertAlign w:val="superscript"/>
        </w:rPr>
        <w:t>-1</w:t>
      </w:r>
      <w:r w:rsidRPr="001A5452">
        <w:rPr>
          <w:rFonts w:ascii="Times New Roman" w:eastAsia="DengXian" w:hAnsi="Times New Roman" w:cs="Times New Roman"/>
          <w:sz w:val="24"/>
          <w:szCs w:val="24"/>
        </w:rPr>
        <w:t xml:space="preserve">. From Figure </w:t>
      </w:r>
      <w:r w:rsidR="00784880">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3A11DA">
        <w:rPr>
          <w:rFonts w:ascii="Times New Roman" w:eastAsia="DengXian" w:hAnsi="Times New Roman" w:cs="Times New Roman"/>
          <w:sz w:val="24"/>
          <w:szCs w:val="24"/>
        </w:rPr>
        <w:t>18</w:t>
      </w:r>
      <w:r w:rsidRPr="001A5452">
        <w:rPr>
          <w:rFonts w:ascii="Times New Roman" w:eastAsia="DengXian" w:hAnsi="Times New Roman" w:cs="Times New Roman"/>
          <w:sz w:val="24"/>
          <w:szCs w:val="24"/>
        </w:rPr>
        <w:t xml:space="preserve">, compared to the first cycle, the stress at 100% extension after 1000 cycles was reduced by 18.3% (neat), 18.3% (0.01%), 17.5%(0.1%), and 15.2% (0.5%), respectively. Meanwhile, the hysteresis </w:t>
      </w:r>
      <w:r w:rsidR="000F35DD">
        <w:rPr>
          <w:rFonts w:ascii="Times New Roman" w:eastAsia="DengXian" w:hAnsi="Times New Roman" w:cs="Times New Roman"/>
          <w:sz w:val="24"/>
          <w:szCs w:val="24"/>
        </w:rPr>
        <w:t xml:space="preserve">values </w:t>
      </w:r>
      <w:r w:rsidRPr="001A5452">
        <w:rPr>
          <w:rFonts w:ascii="Times New Roman" w:eastAsia="DengXian" w:hAnsi="Times New Roman" w:cs="Times New Roman"/>
          <w:sz w:val="24"/>
          <w:szCs w:val="24"/>
        </w:rPr>
        <w:t xml:space="preserve">at 50% extension are 8.97 </w:t>
      </w:r>
      <w:r w:rsidR="000F35DD">
        <w:rPr>
          <w:rFonts w:ascii="Times New Roman" w:eastAsia="DengXian" w:hAnsi="Times New Roman" w:cs="Times New Roman"/>
          <w:sz w:val="24"/>
          <w:szCs w:val="24"/>
        </w:rPr>
        <w:t>k</w:t>
      </w:r>
      <w:r w:rsidR="000F35DD" w:rsidRPr="001A5452">
        <w:rPr>
          <w:rFonts w:ascii="Times New Roman" w:eastAsia="DengXian" w:hAnsi="Times New Roman" w:cs="Times New Roman"/>
          <w:sz w:val="24"/>
          <w:szCs w:val="24"/>
        </w:rPr>
        <w:t xml:space="preserve">Pa </w:t>
      </w:r>
      <w:r w:rsidRPr="001A5452">
        <w:rPr>
          <w:rFonts w:ascii="Times New Roman" w:eastAsia="DengXian" w:hAnsi="Times New Roman" w:cs="Times New Roman"/>
          <w:sz w:val="24"/>
          <w:szCs w:val="24"/>
        </w:rPr>
        <w:t xml:space="preserve">(neat), 8.95 </w:t>
      </w:r>
      <w:r w:rsidR="009C2E51">
        <w:rPr>
          <w:rFonts w:ascii="Times New Roman" w:eastAsia="DengXian" w:hAnsi="Times New Roman" w:cs="Times New Roman"/>
          <w:sz w:val="24"/>
          <w:szCs w:val="24"/>
        </w:rPr>
        <w:t>k</w:t>
      </w:r>
      <w:r w:rsidRPr="009C2E51">
        <w:rPr>
          <w:rFonts w:ascii="Times New Roman" w:eastAsia="DengXian" w:hAnsi="Times New Roman" w:cs="Times New Roman"/>
          <w:sz w:val="24"/>
          <w:szCs w:val="24"/>
        </w:rPr>
        <w:t>Pa</w:t>
      </w:r>
      <w:r w:rsidRPr="001A5452">
        <w:rPr>
          <w:rFonts w:ascii="Times New Roman" w:eastAsia="DengXian" w:hAnsi="Times New Roman" w:cs="Times New Roman"/>
          <w:sz w:val="24"/>
          <w:szCs w:val="24"/>
        </w:rPr>
        <w:t xml:space="preserve"> (0.01 wt.%), 9.25 </w:t>
      </w:r>
      <w:r w:rsidR="009C2E51">
        <w:rPr>
          <w:rFonts w:ascii="Times New Roman" w:eastAsia="DengXian" w:hAnsi="Times New Roman" w:cs="Times New Roman"/>
          <w:sz w:val="24"/>
          <w:szCs w:val="24"/>
        </w:rPr>
        <w:t>k</w:t>
      </w:r>
      <w:r w:rsidRPr="009C2E51">
        <w:rPr>
          <w:rFonts w:ascii="Times New Roman" w:eastAsia="DengXian" w:hAnsi="Times New Roman" w:cs="Times New Roman"/>
          <w:sz w:val="24"/>
          <w:szCs w:val="24"/>
        </w:rPr>
        <w:t>Pa</w:t>
      </w:r>
      <w:r w:rsidRPr="001A5452">
        <w:rPr>
          <w:rFonts w:ascii="Times New Roman" w:eastAsia="DengXian" w:hAnsi="Times New Roman" w:cs="Times New Roman"/>
          <w:sz w:val="24"/>
          <w:szCs w:val="24"/>
        </w:rPr>
        <w:t xml:space="preserve"> (0.1 wt.%), and 12.0 </w:t>
      </w:r>
      <w:r w:rsidR="009C2E51">
        <w:rPr>
          <w:rFonts w:ascii="Times New Roman" w:eastAsia="DengXian" w:hAnsi="Times New Roman" w:cs="Times New Roman"/>
          <w:sz w:val="24"/>
          <w:szCs w:val="24"/>
        </w:rPr>
        <w:t>k</w:t>
      </w:r>
      <w:r w:rsidRPr="009C2E51">
        <w:rPr>
          <w:rFonts w:ascii="Times New Roman" w:eastAsia="DengXian" w:hAnsi="Times New Roman" w:cs="Times New Roman"/>
          <w:sz w:val="24"/>
          <w:szCs w:val="24"/>
        </w:rPr>
        <w:t>Pa</w:t>
      </w:r>
      <w:r w:rsidRPr="001A5452">
        <w:rPr>
          <w:rFonts w:ascii="Times New Roman" w:eastAsia="DengXian" w:hAnsi="Times New Roman" w:cs="Times New Roman"/>
          <w:sz w:val="24"/>
          <w:szCs w:val="24"/>
        </w:rPr>
        <w:t xml:space="preserve"> (1 wt.%), respectively. In addition, after 1000 repetitive loads, the recovery can be observed at 86.3% (neat), 86.9% (0.01 wt.%), 87.4% (0.1 wt.%), and 88.0% (0.5 wt.%), respectively. However, there are no visible cracks or fractures even after 1000 cycles with 100% extension. It implied that HBPE possesses excellent durability at high – cyclic loads. According to the results above, it can also be seen that the hysteresis behavior is increased by </w:t>
      </w:r>
      <w:r w:rsidR="00D950C2">
        <w:rPr>
          <w:rFonts w:ascii="Times New Roman" w:eastAsia="DengXian" w:hAnsi="Times New Roman" w:cs="Times New Roman"/>
          <w:sz w:val="24"/>
          <w:szCs w:val="24"/>
        </w:rPr>
        <w:t>incorporation</w:t>
      </w:r>
      <w:r w:rsidR="00D950C2"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t xml:space="preserve">of P-rGO, which is in agreement with previous </w:t>
      </w:r>
      <w:r w:rsidR="00D950C2">
        <w:rPr>
          <w:rFonts w:ascii="Times New Roman" w:eastAsia="DengXian" w:hAnsi="Times New Roman" w:cs="Times New Roman"/>
          <w:sz w:val="24"/>
          <w:szCs w:val="24"/>
        </w:rPr>
        <w:t xml:space="preserve">cyclic </w:t>
      </w:r>
      <w:r w:rsidR="00807A6D">
        <w:rPr>
          <w:rFonts w:ascii="Times New Roman" w:eastAsia="DengXian" w:hAnsi="Times New Roman" w:cs="Times New Roman"/>
          <w:sz w:val="24"/>
          <w:szCs w:val="24"/>
        </w:rPr>
        <w:t>tensile tests in literature</w:t>
      </w:r>
      <w:r w:rsidRPr="00401CA2">
        <w:rPr>
          <w:rFonts w:ascii="Times New Roman" w:eastAsia="DengXian" w:hAnsi="Times New Roman" w:cs="Times New Roman"/>
          <w:sz w:val="24"/>
          <w:szCs w:val="24"/>
        </w:rPr>
        <w:t xml:space="preserve">. </w:t>
      </w:r>
      <w:r w:rsidRPr="00200018">
        <w:rPr>
          <w:rFonts w:ascii="Times New Roman" w:eastAsia="DengXian" w:hAnsi="Times New Roman" w:cs="Times New Roman"/>
          <w:sz w:val="24"/>
          <w:szCs w:val="24"/>
        </w:rPr>
        <w:t>However, the</w:t>
      </w:r>
      <w:r w:rsidRPr="001A5452">
        <w:rPr>
          <w:rFonts w:ascii="Times New Roman" w:eastAsia="DengXian" w:hAnsi="Times New Roman" w:cs="Times New Roman"/>
          <w:sz w:val="24"/>
          <w:szCs w:val="24"/>
        </w:rPr>
        <w:t xml:space="preserve"> introduction of P-rGO improves the resistance to the fatigue failure when the nanofiller reaches 0.5 wt.%. This may be due to the fact that the introduction of rigid particles in soft matrix enhance</w:t>
      </w:r>
      <w:r w:rsidR="00D950C2">
        <w:rPr>
          <w:rFonts w:ascii="Times New Roman" w:eastAsia="DengXian" w:hAnsi="Times New Roman" w:cs="Times New Roman"/>
          <w:sz w:val="24"/>
          <w:szCs w:val="24"/>
        </w:rPr>
        <w:t>s</w:t>
      </w:r>
      <w:r w:rsidRPr="001A5452">
        <w:rPr>
          <w:rFonts w:ascii="Times New Roman" w:eastAsia="DengXian" w:hAnsi="Times New Roman" w:cs="Times New Roman"/>
          <w:sz w:val="24"/>
          <w:szCs w:val="24"/>
        </w:rPr>
        <w:t xml:space="preserve"> the stiffness of composites, and </w:t>
      </w:r>
      <w:r w:rsidRPr="00401CA2">
        <w:rPr>
          <w:rFonts w:ascii="Times New Roman" w:eastAsia="DengXian" w:hAnsi="Times New Roman" w:cs="Times New Roman"/>
          <w:sz w:val="24"/>
          <w:szCs w:val="24"/>
        </w:rPr>
        <w:t>the failure energy absorption is increased by nucleation sites provided by P-rGO</w:t>
      </w:r>
      <w:r w:rsidRPr="001A5452">
        <w:rPr>
          <w:rFonts w:ascii="Times New Roman" w:eastAsia="DengXian" w:hAnsi="Times New Roman" w:cs="Times New Roman"/>
          <w:sz w:val="24"/>
          <w:szCs w:val="24"/>
        </w:rPr>
        <w:t xml:space="preserve"> simultaneously. </w:t>
      </w:r>
    </w:p>
    <w:p w14:paraId="5D51F4CF" w14:textId="27ECAB17" w:rsidR="006F38AE" w:rsidRPr="001A5452" w:rsidRDefault="009C2E51" w:rsidP="006F38AE">
      <w:pPr>
        <w:tabs>
          <w:tab w:val="left" w:pos="5499"/>
        </w:tabs>
        <w:spacing w:after="0" w:line="480" w:lineRule="auto"/>
        <w:ind w:left="-90" w:hanging="270"/>
        <w:jc w:val="center"/>
        <w:rPr>
          <w:rFonts w:ascii="Times New Roman" w:eastAsia="DengXian" w:hAnsi="Times New Roman" w:cs="Times New Roman"/>
        </w:rPr>
      </w:pPr>
      <w:r>
        <w:rPr>
          <w:rFonts w:ascii="Times New Roman" w:eastAsia="DengXian" w:hAnsi="Times New Roman" w:cs="Times New Roman"/>
          <w:noProof/>
          <w:lang w:val="en-GB"/>
        </w:rPr>
        <w:drawing>
          <wp:inline distT="0" distB="0" distL="0" distR="0" wp14:anchorId="7D4E33BC" wp14:editId="7B28706A">
            <wp:extent cx="6496493" cy="476712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03438" cy="4772220"/>
                    </a:xfrm>
                    <a:prstGeom prst="rect">
                      <a:avLst/>
                    </a:prstGeom>
                    <a:noFill/>
                  </pic:spPr>
                </pic:pic>
              </a:graphicData>
            </a:graphic>
          </wp:inline>
        </w:drawing>
      </w:r>
    </w:p>
    <w:p w14:paraId="2C298091" w14:textId="58E015B7" w:rsidR="006F38AE" w:rsidRPr="001A5452" w:rsidRDefault="00784880" w:rsidP="0065721F">
      <w:pPr>
        <w:pStyle w:val="Caption"/>
        <w:ind w:firstLine="0"/>
        <w:rPr>
          <w:rFonts w:eastAsia="DengXian" w:cs="Times New Roman"/>
          <w:szCs w:val="24"/>
        </w:rPr>
      </w:pPr>
      <w:bookmarkStart w:id="294" w:name="_Toc502662571"/>
      <w:bookmarkStart w:id="295" w:name="_Toc502662683"/>
      <w:bookmarkStart w:id="296" w:name="_Toc518823434"/>
      <w:r>
        <w:t>Figure 6</w:t>
      </w:r>
      <w:r w:rsidR="0023569D">
        <w:t>.</w:t>
      </w:r>
      <w:r w:rsidR="0065721F">
        <w:fldChar w:fldCharType="begin"/>
      </w:r>
      <w:r w:rsidR="0065721F">
        <w:instrText xml:space="preserve"> SEQ Figure_6. \* ARABIC </w:instrText>
      </w:r>
      <w:r w:rsidR="0065721F">
        <w:fldChar w:fldCharType="separate"/>
      </w:r>
      <w:r w:rsidR="00551ED9">
        <w:rPr>
          <w:noProof/>
        </w:rPr>
        <w:t>18</w:t>
      </w:r>
      <w:r w:rsidR="0065721F">
        <w:fldChar w:fldCharType="end"/>
      </w:r>
      <w:r w:rsidR="006F38AE" w:rsidRPr="0023569D">
        <w:rPr>
          <w:rFonts w:eastAsia="DengXian" w:cs="Times New Roman"/>
          <w:szCs w:val="24"/>
        </w:rPr>
        <w:t xml:space="preserve">. </w:t>
      </w:r>
      <w:r w:rsidR="006F38AE" w:rsidRPr="001A5452">
        <w:rPr>
          <w:rFonts w:eastAsia="DengXian" w:cs="Times New Roman"/>
          <w:szCs w:val="24"/>
        </w:rPr>
        <w:t>Stress–strain curve of cyclic fatigue test: (a) HBPE, (b) 0.01 wt.%, (c) 0.1 wt.%, and (d) 0.5 wt.%.</w:t>
      </w:r>
      <w:bookmarkEnd w:id="294"/>
      <w:bookmarkEnd w:id="295"/>
      <w:bookmarkEnd w:id="296"/>
    </w:p>
    <w:p w14:paraId="4F360C92" w14:textId="77777777" w:rsidR="006F38AE" w:rsidRPr="001A5452" w:rsidRDefault="006F38AE" w:rsidP="006F38AE">
      <w:pPr>
        <w:spacing w:after="0" w:line="480" w:lineRule="auto"/>
        <w:ind w:left="810"/>
        <w:contextualSpacing/>
        <w:rPr>
          <w:rFonts w:ascii="Times New Roman" w:eastAsia="DengXian" w:hAnsi="Times New Roman" w:cs="Times New Roman"/>
          <w:sz w:val="24"/>
          <w:szCs w:val="24"/>
          <w:vertAlign w:val="superscript"/>
        </w:rPr>
      </w:pPr>
    </w:p>
    <w:p w14:paraId="678D2B55" w14:textId="5E4971B8" w:rsidR="006F38AE" w:rsidRPr="001A5452" w:rsidRDefault="001B3FB7" w:rsidP="00A22DC4">
      <w:pPr>
        <w:pStyle w:val="Heading2"/>
      </w:pPr>
      <w:bookmarkStart w:id="297" w:name="_Toc518823363"/>
      <w:r>
        <w:t>6</w:t>
      </w:r>
      <w:r w:rsidR="00BD1DD2">
        <w:t>.</w:t>
      </w:r>
      <w:r w:rsidR="006F38AE" w:rsidRPr="001A5452">
        <w:t>3.4. Glass transition temperature (</w:t>
      </w:r>
      <w:r w:rsidR="006F38AE" w:rsidRPr="001A5452">
        <w:rPr>
          <w:i/>
        </w:rPr>
        <w:t>T</w:t>
      </w:r>
      <w:r w:rsidR="006F38AE" w:rsidRPr="001A5452">
        <w:rPr>
          <w:i/>
          <w:vertAlign w:val="subscript"/>
        </w:rPr>
        <w:t>g</w:t>
      </w:r>
      <w:r w:rsidR="006F38AE" w:rsidRPr="001A5452">
        <w:t>)</w:t>
      </w:r>
      <w:bookmarkEnd w:id="297"/>
    </w:p>
    <w:p w14:paraId="2DC4441B" w14:textId="736E9BDE" w:rsidR="006F38AE" w:rsidRPr="001A5452" w:rsidRDefault="006F38AE" w:rsidP="006F38AE">
      <w:pPr>
        <w:spacing w:after="0" w:line="480" w:lineRule="auto"/>
        <w:contextualSpacing/>
        <w:jc w:val="both"/>
        <w:rPr>
          <w:rFonts w:ascii="Times New Roman" w:eastAsia="DengXian" w:hAnsi="Times New Roman" w:cs="Times New Roman"/>
          <w:sz w:val="24"/>
          <w:szCs w:val="24"/>
        </w:rPr>
      </w:pPr>
      <w:r w:rsidRPr="001A5452">
        <w:rPr>
          <w:rFonts w:ascii="Times New Roman" w:eastAsia="DengXian" w:hAnsi="Times New Roman" w:cs="Times New Roman"/>
          <w:i/>
          <w:sz w:val="24"/>
          <w:szCs w:val="24"/>
        </w:rPr>
        <w:t>T</w:t>
      </w:r>
      <w:r w:rsidRPr="001A5452">
        <w:rPr>
          <w:rFonts w:ascii="Times New Roman" w:eastAsia="DengXian" w:hAnsi="Times New Roman" w:cs="Times New Roman"/>
          <w:i/>
          <w:sz w:val="24"/>
          <w:szCs w:val="24"/>
          <w:vertAlign w:val="subscript"/>
        </w:rPr>
        <w:t>g</w:t>
      </w:r>
      <w:r w:rsidRPr="001A5452">
        <w:rPr>
          <w:rFonts w:ascii="Times New Roman" w:eastAsia="DengXian" w:hAnsi="Times New Roman" w:cs="Times New Roman"/>
          <w:sz w:val="24"/>
          <w:szCs w:val="24"/>
        </w:rPr>
        <w:t xml:space="preserve"> is an important parameter in the applications of polymer because it defines the states (glassy, or rubbery) of polymer. For most elastomers, they are used at the temperature </w:t>
      </w:r>
      <w:r w:rsidR="00E32B41">
        <w:rPr>
          <w:rFonts w:ascii="Times New Roman" w:eastAsia="DengXian" w:hAnsi="Times New Roman" w:cs="Times New Roman"/>
          <w:sz w:val="24"/>
          <w:szCs w:val="24"/>
        </w:rPr>
        <w:t>above</w:t>
      </w:r>
      <w:r w:rsidR="00E32B41"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t xml:space="preserve">their </w:t>
      </w:r>
      <w:r w:rsidRPr="001A5452">
        <w:rPr>
          <w:rFonts w:ascii="Times New Roman" w:eastAsia="DengXian" w:hAnsi="Times New Roman" w:cs="Times New Roman"/>
          <w:i/>
          <w:sz w:val="24"/>
          <w:szCs w:val="24"/>
        </w:rPr>
        <w:t>T</w:t>
      </w:r>
      <w:r w:rsidRPr="001A5452">
        <w:rPr>
          <w:rFonts w:ascii="Times New Roman" w:eastAsia="DengXian" w:hAnsi="Times New Roman" w:cs="Times New Roman"/>
          <w:i/>
          <w:sz w:val="24"/>
          <w:szCs w:val="24"/>
          <w:vertAlign w:val="subscript"/>
        </w:rPr>
        <w:t>g</w:t>
      </w:r>
      <w:r w:rsidRPr="001A5452">
        <w:rPr>
          <w:rFonts w:ascii="Times New Roman" w:eastAsia="DengXian" w:hAnsi="Times New Roman" w:cs="Times New Roman"/>
          <w:sz w:val="24"/>
          <w:szCs w:val="24"/>
        </w:rPr>
        <w:t xml:space="preserve"> for their flexibility. In this work, DMA was used to study the </w:t>
      </w:r>
      <w:r w:rsidRPr="001A5452">
        <w:rPr>
          <w:rFonts w:ascii="Times New Roman" w:eastAsia="DengXian" w:hAnsi="Times New Roman" w:cs="Times New Roman"/>
          <w:i/>
          <w:sz w:val="24"/>
          <w:szCs w:val="24"/>
        </w:rPr>
        <w:t>T</w:t>
      </w:r>
      <w:r w:rsidRPr="001A5452">
        <w:rPr>
          <w:rFonts w:ascii="Times New Roman" w:eastAsia="DengXian" w:hAnsi="Times New Roman" w:cs="Times New Roman"/>
          <w:i/>
          <w:sz w:val="24"/>
          <w:szCs w:val="24"/>
          <w:vertAlign w:val="subscript"/>
        </w:rPr>
        <w:t>g</w:t>
      </w:r>
      <w:r w:rsidRPr="001A5452">
        <w:rPr>
          <w:rFonts w:ascii="Times New Roman" w:eastAsia="DengXian" w:hAnsi="Times New Roman" w:cs="Times New Roman"/>
          <w:sz w:val="24"/>
          <w:szCs w:val="24"/>
        </w:rPr>
        <w:t xml:space="preserve"> of HBPE and it</w:t>
      </w:r>
      <w:r w:rsidR="00784880">
        <w:rPr>
          <w:rFonts w:ascii="Times New Roman" w:eastAsia="DengXian" w:hAnsi="Times New Roman" w:cs="Times New Roman"/>
          <w:sz w:val="24"/>
          <w:szCs w:val="24"/>
        </w:rPr>
        <w:t>s P-rGO composites. In Figure 6</w:t>
      </w:r>
      <w:r w:rsidR="003A11DA">
        <w:rPr>
          <w:rFonts w:ascii="Times New Roman" w:eastAsia="DengXian" w:hAnsi="Times New Roman" w:cs="Times New Roman"/>
          <w:sz w:val="24"/>
          <w:szCs w:val="24"/>
        </w:rPr>
        <w:t>.19</w:t>
      </w:r>
      <w:r w:rsidRPr="001A5452">
        <w:rPr>
          <w:rFonts w:ascii="Times New Roman" w:eastAsia="DengXian" w:hAnsi="Times New Roman" w:cs="Times New Roman"/>
          <w:sz w:val="24"/>
          <w:szCs w:val="24"/>
        </w:rPr>
        <w:t xml:space="preserve">, the </w:t>
      </w:r>
      <w:r w:rsidRPr="001A5452">
        <w:rPr>
          <w:rFonts w:ascii="Times New Roman" w:eastAsia="DengXian" w:hAnsi="Times New Roman" w:cs="Times New Roman"/>
          <w:i/>
          <w:sz w:val="24"/>
          <w:szCs w:val="24"/>
        </w:rPr>
        <w:t>T</w:t>
      </w:r>
      <w:r w:rsidRPr="001A5452">
        <w:rPr>
          <w:rFonts w:ascii="Times New Roman" w:eastAsia="DengXian" w:hAnsi="Times New Roman" w:cs="Times New Roman"/>
          <w:i/>
          <w:sz w:val="24"/>
          <w:szCs w:val="24"/>
          <w:vertAlign w:val="subscript"/>
        </w:rPr>
        <w:t>g</w:t>
      </w:r>
      <w:r w:rsidRPr="001A5452">
        <w:rPr>
          <w:rFonts w:ascii="Times New Roman" w:eastAsia="DengXian" w:hAnsi="Times New Roman" w:cs="Times New Roman"/>
          <w:sz w:val="24"/>
          <w:szCs w:val="24"/>
          <w:vertAlign w:val="subscript"/>
        </w:rPr>
        <w:t xml:space="preserve"> </w:t>
      </w:r>
      <w:r w:rsidRPr="001A5452">
        <w:rPr>
          <w:rFonts w:ascii="Times New Roman" w:eastAsia="DengXian" w:hAnsi="Times New Roman" w:cs="Times New Roman"/>
          <w:sz w:val="24"/>
          <w:szCs w:val="24"/>
        </w:rPr>
        <w:t xml:space="preserve">of neat HBPE is around -38 °C. </w:t>
      </w:r>
      <w:r w:rsidRPr="001A5452">
        <w:rPr>
          <w:rFonts w:ascii="Times New Roman" w:eastAsia="DengXian" w:hAnsi="Times New Roman" w:cs="Times New Roman"/>
          <w:i/>
          <w:sz w:val="24"/>
          <w:szCs w:val="24"/>
        </w:rPr>
        <w:t>T</w:t>
      </w:r>
      <w:r w:rsidRPr="001A5452">
        <w:rPr>
          <w:rFonts w:ascii="Times New Roman" w:eastAsia="DengXian" w:hAnsi="Times New Roman" w:cs="Times New Roman"/>
          <w:i/>
          <w:sz w:val="24"/>
          <w:szCs w:val="24"/>
          <w:vertAlign w:val="subscript"/>
        </w:rPr>
        <w:t>g</w:t>
      </w:r>
      <w:r w:rsidRPr="001A5452">
        <w:rPr>
          <w:rFonts w:ascii="Times New Roman" w:eastAsia="DengXian" w:hAnsi="Times New Roman" w:cs="Times New Roman"/>
          <w:sz w:val="24"/>
          <w:szCs w:val="24"/>
        </w:rPr>
        <w:t xml:space="preserve"> is increased with the introduction of P-rGO, and the maximum </w:t>
      </w:r>
      <w:r w:rsidRPr="001A5452">
        <w:rPr>
          <w:rFonts w:ascii="Times New Roman" w:eastAsia="DengXian" w:hAnsi="Times New Roman" w:cs="Times New Roman"/>
          <w:i/>
          <w:sz w:val="24"/>
          <w:szCs w:val="24"/>
        </w:rPr>
        <w:t>T</w:t>
      </w:r>
      <w:r w:rsidRPr="001A5452">
        <w:rPr>
          <w:rFonts w:ascii="Times New Roman" w:eastAsia="DengXian" w:hAnsi="Times New Roman" w:cs="Times New Roman"/>
          <w:i/>
          <w:sz w:val="24"/>
          <w:szCs w:val="24"/>
          <w:vertAlign w:val="subscript"/>
        </w:rPr>
        <w:t>g</w:t>
      </w:r>
      <w:r w:rsidRPr="001A5452">
        <w:rPr>
          <w:rFonts w:ascii="Times New Roman" w:eastAsia="DengXian" w:hAnsi="Times New Roman" w:cs="Times New Roman"/>
          <w:sz w:val="24"/>
          <w:szCs w:val="24"/>
        </w:rPr>
        <w:t xml:space="preserve"> with -28 °C occurred at 0.5 wt.%. This is because that the excellent </w:t>
      </w:r>
      <w:r w:rsidR="00E32B41">
        <w:rPr>
          <w:rFonts w:ascii="Times New Roman" w:eastAsia="DengXian" w:hAnsi="Times New Roman" w:cs="Times New Roman"/>
          <w:sz w:val="24"/>
          <w:szCs w:val="24"/>
        </w:rPr>
        <w:t>interactions</w:t>
      </w:r>
      <w:r w:rsidR="00E32B41" w:rsidRPr="001A5452">
        <w:rPr>
          <w:rFonts w:ascii="Times New Roman" w:eastAsia="DengXian" w:hAnsi="Times New Roman" w:cs="Times New Roman"/>
          <w:sz w:val="24"/>
          <w:szCs w:val="24"/>
        </w:rPr>
        <w:t xml:space="preserve"> </w:t>
      </w:r>
      <w:r w:rsidRPr="001A5452">
        <w:rPr>
          <w:rFonts w:ascii="Times New Roman" w:eastAsia="DengXian" w:hAnsi="Times New Roman" w:cs="Times New Roman"/>
          <w:sz w:val="24"/>
          <w:szCs w:val="24"/>
        </w:rPr>
        <w:t xml:space="preserve">of P-rGO with HBPE matrix limits the movement of polymer chains, resulting in a higher </w:t>
      </w:r>
      <w:r w:rsidRPr="001A5452">
        <w:rPr>
          <w:rFonts w:ascii="Times New Roman" w:eastAsia="DengXian" w:hAnsi="Times New Roman" w:cs="Times New Roman"/>
          <w:i/>
          <w:sz w:val="24"/>
          <w:szCs w:val="24"/>
        </w:rPr>
        <w:t>T</w:t>
      </w:r>
      <w:r w:rsidRPr="001A5452">
        <w:rPr>
          <w:rFonts w:ascii="Times New Roman" w:eastAsia="DengXian" w:hAnsi="Times New Roman" w:cs="Times New Roman"/>
          <w:i/>
          <w:sz w:val="24"/>
          <w:szCs w:val="24"/>
          <w:vertAlign w:val="subscript"/>
        </w:rPr>
        <w:t>g</w:t>
      </w:r>
      <w:r w:rsidRPr="001A5452">
        <w:rPr>
          <w:rFonts w:ascii="Times New Roman" w:eastAsia="DengXian" w:hAnsi="Times New Roman" w:cs="Times New Roman"/>
          <w:sz w:val="24"/>
          <w:szCs w:val="24"/>
        </w:rPr>
        <w:t xml:space="preserve">.  However, the dynamic mechanical properties like storage modulus and loss modulus cannot be obtained via DMA test. This is due to the softness of samples </w:t>
      </w:r>
      <w:r w:rsidR="00E32B41">
        <w:rPr>
          <w:rFonts w:ascii="Times New Roman" w:eastAsia="DengXian" w:hAnsi="Times New Roman" w:cs="Times New Roman"/>
          <w:sz w:val="24"/>
          <w:szCs w:val="24"/>
        </w:rPr>
        <w:t xml:space="preserve">that </w:t>
      </w:r>
      <w:r w:rsidRPr="001A5452">
        <w:rPr>
          <w:rFonts w:ascii="Times New Roman" w:eastAsia="DengXian" w:hAnsi="Times New Roman" w:cs="Times New Roman"/>
          <w:sz w:val="24"/>
          <w:szCs w:val="24"/>
        </w:rPr>
        <w:t>results in very we</w:t>
      </w:r>
      <w:r w:rsidR="00E32B41">
        <w:rPr>
          <w:rFonts w:ascii="Times New Roman" w:eastAsia="DengXian" w:hAnsi="Times New Roman" w:cs="Times New Roman"/>
          <w:sz w:val="24"/>
          <w:szCs w:val="24"/>
        </w:rPr>
        <w:t>a</w:t>
      </w:r>
      <w:r w:rsidRPr="001A5452">
        <w:rPr>
          <w:rFonts w:ascii="Times New Roman" w:eastAsia="DengXian" w:hAnsi="Times New Roman" w:cs="Times New Roman"/>
          <w:sz w:val="24"/>
          <w:szCs w:val="24"/>
        </w:rPr>
        <w:t xml:space="preserve">k force signals. </w:t>
      </w:r>
    </w:p>
    <w:p w14:paraId="5D758CAF" w14:textId="77777777" w:rsidR="006F38AE" w:rsidRPr="001A5452" w:rsidRDefault="006F38AE" w:rsidP="006F38AE">
      <w:pPr>
        <w:spacing w:after="0" w:line="480" w:lineRule="auto"/>
        <w:contextualSpacing/>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110817AA" wp14:editId="7E8096EA">
            <wp:extent cx="4864608" cy="337232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69181" cy="3375497"/>
                    </a:xfrm>
                    <a:prstGeom prst="rect">
                      <a:avLst/>
                    </a:prstGeom>
                    <a:noFill/>
                  </pic:spPr>
                </pic:pic>
              </a:graphicData>
            </a:graphic>
          </wp:inline>
        </w:drawing>
      </w:r>
    </w:p>
    <w:p w14:paraId="01A2FD5B" w14:textId="151DEB99" w:rsidR="006F38AE" w:rsidRPr="001A5452" w:rsidRDefault="00784880" w:rsidP="0065721F">
      <w:pPr>
        <w:pStyle w:val="Caption"/>
        <w:rPr>
          <w:rFonts w:eastAsia="DengXian" w:cs="Times New Roman"/>
          <w:szCs w:val="24"/>
        </w:rPr>
      </w:pPr>
      <w:bookmarkStart w:id="298" w:name="_Toc502662572"/>
      <w:bookmarkStart w:id="299" w:name="_Toc502662684"/>
      <w:bookmarkStart w:id="300" w:name="_Toc518823435"/>
      <w:r>
        <w:t>Figure 6</w:t>
      </w:r>
      <w:r w:rsidR="0023569D">
        <w:t>.</w:t>
      </w:r>
      <w:r w:rsidR="0065721F" w:rsidRPr="0023569D">
        <w:fldChar w:fldCharType="begin"/>
      </w:r>
      <w:r w:rsidR="0065721F" w:rsidRPr="0023569D">
        <w:instrText xml:space="preserve"> SEQ Figure_6. \* ARABIC </w:instrText>
      </w:r>
      <w:r w:rsidR="0065721F" w:rsidRPr="0023569D">
        <w:fldChar w:fldCharType="separate"/>
      </w:r>
      <w:r w:rsidR="00551ED9" w:rsidRPr="0023569D">
        <w:rPr>
          <w:noProof/>
        </w:rPr>
        <w:t>19</w:t>
      </w:r>
      <w:r w:rsidR="0065721F" w:rsidRPr="0023569D">
        <w:fldChar w:fldCharType="end"/>
      </w:r>
      <w:r w:rsidR="006F38AE" w:rsidRPr="0023569D">
        <w:rPr>
          <w:rFonts w:eastAsia="DengXian" w:cs="Times New Roman"/>
          <w:szCs w:val="24"/>
        </w:rPr>
        <w:t>.</w:t>
      </w:r>
      <w:r w:rsidR="006F38AE" w:rsidRPr="001A5452">
        <w:rPr>
          <w:rFonts w:eastAsia="DengXian" w:cs="Times New Roman"/>
          <w:b w:val="0"/>
          <w:szCs w:val="24"/>
        </w:rPr>
        <w:t xml:space="preserve"> </w:t>
      </w:r>
      <w:r w:rsidR="006F38AE" w:rsidRPr="001A5452">
        <w:rPr>
          <w:rFonts w:eastAsia="DengXian" w:cs="Times New Roman"/>
          <w:szCs w:val="24"/>
        </w:rPr>
        <w:t xml:space="preserve">Glass transition temperature </w:t>
      </w:r>
      <w:r w:rsidR="006F38AE" w:rsidRPr="001A5452">
        <w:rPr>
          <w:rFonts w:eastAsia="DengXian" w:cs="Times New Roman"/>
          <w:i/>
          <w:szCs w:val="24"/>
        </w:rPr>
        <w:t>T</w:t>
      </w:r>
      <w:r w:rsidR="006F38AE" w:rsidRPr="001A5452">
        <w:rPr>
          <w:rFonts w:eastAsia="DengXian" w:cs="Times New Roman"/>
          <w:i/>
          <w:szCs w:val="24"/>
          <w:vertAlign w:val="subscript"/>
        </w:rPr>
        <w:t>g</w:t>
      </w:r>
      <w:r w:rsidR="006F38AE" w:rsidRPr="001A5452">
        <w:rPr>
          <w:rFonts w:eastAsia="DengXian" w:cs="Times New Roman"/>
          <w:szCs w:val="24"/>
        </w:rPr>
        <w:t xml:space="preserve"> determined </w:t>
      </w:r>
      <w:r w:rsidR="00E32B41">
        <w:rPr>
          <w:rFonts w:eastAsia="DengXian" w:cs="Times New Roman"/>
          <w:szCs w:val="24"/>
        </w:rPr>
        <w:t>from</w:t>
      </w:r>
      <w:r w:rsidR="00E32B41" w:rsidRPr="001A5452">
        <w:rPr>
          <w:rFonts w:eastAsia="DengXian" w:cs="Times New Roman"/>
          <w:szCs w:val="24"/>
        </w:rPr>
        <w:t xml:space="preserve"> </w:t>
      </w:r>
      <w:r w:rsidR="006F38AE" w:rsidRPr="001A5452">
        <w:rPr>
          <w:rFonts w:eastAsia="DengXian" w:cs="Times New Roman"/>
          <w:szCs w:val="24"/>
        </w:rPr>
        <w:t xml:space="preserve">Tan </w:t>
      </w:r>
      <w:r w:rsidR="006F38AE" w:rsidRPr="001A5452">
        <w:rPr>
          <w:rFonts w:eastAsia="DengXian" w:cs="Times New Roman"/>
          <w:i/>
          <w:szCs w:val="24"/>
        </w:rPr>
        <w:t>δ</w:t>
      </w:r>
      <w:r w:rsidR="00E32B41">
        <w:rPr>
          <w:rFonts w:eastAsia="DengXian" w:cs="Times New Roman"/>
          <w:szCs w:val="24"/>
        </w:rPr>
        <w:t xml:space="preserve"> curves.</w:t>
      </w:r>
      <w:bookmarkEnd w:id="298"/>
      <w:bookmarkEnd w:id="299"/>
      <w:bookmarkEnd w:id="300"/>
    </w:p>
    <w:p w14:paraId="64DE2F20" w14:textId="77777777" w:rsidR="006F38AE" w:rsidRPr="001A5452" w:rsidRDefault="006F38AE" w:rsidP="006F38AE">
      <w:pPr>
        <w:spacing w:after="0" w:line="480" w:lineRule="auto"/>
        <w:ind w:left="720" w:firstLine="288"/>
        <w:contextualSpacing/>
        <w:jc w:val="center"/>
        <w:rPr>
          <w:rFonts w:ascii="Times New Roman" w:eastAsia="DengXian" w:hAnsi="Times New Roman" w:cs="Times New Roman"/>
          <w:sz w:val="24"/>
          <w:szCs w:val="24"/>
        </w:rPr>
      </w:pPr>
    </w:p>
    <w:p w14:paraId="3AC2B8C4" w14:textId="32451DB3" w:rsidR="006F38AE" w:rsidRPr="001A5452" w:rsidRDefault="00617825" w:rsidP="00A22DC4">
      <w:pPr>
        <w:pStyle w:val="Heading2"/>
      </w:pPr>
      <w:bookmarkStart w:id="301" w:name="_Toc518823364"/>
      <w:r>
        <w:t>6</w:t>
      </w:r>
      <w:r w:rsidR="00BD1DD2">
        <w:t>.</w:t>
      </w:r>
      <w:r w:rsidR="006F38AE" w:rsidRPr="001A5452">
        <w:t>3.5. Thermal stability</w:t>
      </w:r>
      <w:bookmarkEnd w:id="301"/>
    </w:p>
    <w:p w14:paraId="5B3709D9" w14:textId="7EB29ED7" w:rsidR="006F38AE" w:rsidRDefault="006F38AE" w:rsidP="006F38AE">
      <w:pPr>
        <w:spacing w:after="0" w:line="480" w:lineRule="auto"/>
        <w:contextualSpacing/>
        <w:jc w:val="both"/>
        <w:rPr>
          <w:rFonts w:ascii="Times New Roman" w:eastAsia="DengXian" w:hAnsi="Times New Roman" w:cs="Times New Roman"/>
          <w:sz w:val="24"/>
          <w:szCs w:val="24"/>
        </w:rPr>
      </w:pPr>
      <w:r w:rsidRPr="009C2E51">
        <w:rPr>
          <w:rFonts w:ascii="Times New Roman" w:eastAsia="DengXian" w:hAnsi="Times New Roman" w:cs="Times New Roman"/>
          <w:sz w:val="24"/>
          <w:szCs w:val="24"/>
        </w:rPr>
        <w:t xml:space="preserve">The thermal stability of P-rGO and HBPE/P-rGO nano composites is studied by TGA analysis. According to Figure </w:t>
      </w:r>
      <w:r w:rsidR="00617825">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3A11DA">
        <w:rPr>
          <w:rFonts w:ascii="Times New Roman" w:eastAsia="DengXian" w:hAnsi="Times New Roman" w:cs="Times New Roman"/>
          <w:sz w:val="24"/>
          <w:szCs w:val="24"/>
        </w:rPr>
        <w:t>20</w:t>
      </w:r>
      <w:r w:rsidRPr="009C2E51">
        <w:rPr>
          <w:rFonts w:ascii="Times New Roman" w:eastAsia="DengXian" w:hAnsi="Times New Roman" w:cs="Times New Roman"/>
          <w:sz w:val="24"/>
          <w:szCs w:val="24"/>
        </w:rPr>
        <w:t>(a), P-rGO hybrid processes better thermal stability over GO. In detail,   a small weight loss appeared around 100 °C for both GO and P-rGO, which is related to the moisture. For GO, the main loss of 35.5% occurred around 200 °C, presumably due to the decomposition of the oxygen functional groups, yielding CO</w:t>
      </w:r>
      <w:r w:rsidRPr="009C2E51">
        <w:rPr>
          <w:rFonts w:ascii="Times New Roman" w:eastAsia="DengXian" w:hAnsi="Times New Roman" w:cs="Times New Roman"/>
          <w:sz w:val="24"/>
          <w:szCs w:val="24"/>
          <w:vertAlign w:val="subscript"/>
        </w:rPr>
        <w:t>2</w:t>
      </w:r>
      <w:r w:rsidRPr="009C2E51">
        <w:rPr>
          <w:rFonts w:ascii="Times New Roman" w:eastAsia="DengXian" w:hAnsi="Times New Roman" w:cs="Times New Roman"/>
          <w:sz w:val="24"/>
          <w:szCs w:val="24"/>
        </w:rPr>
        <w:t xml:space="preserve">, CO and steam </w:t>
      </w:r>
      <w:r w:rsidRPr="009C2E51">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"10.1016/j.carbon.2007.02.034", "ISBN" : "0008-6223", "ISSN" : "00086223", "PMID" : "9412464", "abstract" : "Reduction of a colloidal suspension of exfoliated graphene oxide sheets in water with hydrazine hydrate results in their aggregation and subsequent formation of a high-surface-area carbon material which consists of thin graphene-based sheets. The reduced material was characterized by elemental analysis, thermo-gravimetric analysis, scanning electron microscopy, X-ray photoelectron spectroscopy, NMR spectroscopy, Raman spectroscopy, and by electrical conductivity measurements. \u00a9 2007 Elsevier Ltd. All rights reserved.", "author" : [ { "dropping-particle" : "", "family" : "Stankovich", "given" : "Sasha", "non-dropping-particle" : "", "parse-names" : false, "suffix" : "" }, { "dropping-particle" : "", "family" : "Dikin", "given" : "Dmitriy A.", "non-dropping-particle" : "", "parse-names" : false, "suffix" : "" }, { "dropping-particle" : "", "family" : "Piner", "given" : "Richard D.", "non-dropping-particle" : "", "parse-names" : false, "suffix" : "" }, { "dropping-particle" : "", "family" : "Kohlhaas", "given" : "Kevin A.", "non-dropping-particle" : "", "parse-names" : false, "suffix" : "" }, { "dropping-particle" : "", "family" : "Kleinhammes", "given" : "Alfred", "non-dropping-particle" : "", "parse-names" : false, "suffix" : "" }, { "dropping-particle" : "", "family" : "Jia", "given" : "Yuanyuan", "non-dropping-particle" : "", "parse-names" : false, "suffix" : "" }, { "dropping-particle" : "", "family" : "Wu", "given" : "Yue", "non-dropping-particle" : "", "parse-names" : false, "suffix" : "" }, { "dropping-particle" : "", "family" : "Nguyen", "given" : "SonBinh Binh T.", "non-dropping-particle" : "", "parse-names" : false, "suffix" : "" }, { "dropping-particle" : "", "family" : "Ruoff", "given" : "Rodney S.", "non-dropping-particle" : "", "parse-names" : false, "suffix" : "" } ], "container-title" : "Carbon", "id" : "ITEM-1", "issue" : "7", "issued" : { "date-parts" : [ [ "2007" ] ] }, "page" : "1558-1565", "title" : "Synthesis of graphene-based nanosheets via chemical reduction of exfoliated graphite oxide", "type" : "article-journal", "volume" : "45" }, "uris" : [ "http://www.mendeley.com/documents/?uuid=7d96f1a7-d047-463c-8a60-e43142ea0559" ] } ], "mendeley" : { "formattedCitation" : "[34]", "plainTextFormattedCitation" : "[34]", "previouslyFormattedCitation" : "[34]" }, "properties" : {  }, "schema" : "https://github.com/citation-style-language/schema/raw/master/csl-citation.json" }</w:instrText>
      </w:r>
      <w:r w:rsidRPr="009C2E51">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[34]</w:t>
      </w:r>
      <w:r w:rsidRPr="009C2E51">
        <w:rPr>
          <w:rFonts w:ascii="Times New Roman" w:eastAsia="DengXian" w:hAnsi="Times New Roman" w:cs="Times New Roman"/>
          <w:sz w:val="24"/>
          <w:szCs w:val="24"/>
        </w:rPr>
        <w:fldChar w:fldCharType="end"/>
      </w:r>
      <w:r w:rsidRPr="009C2E51">
        <w:rPr>
          <w:rFonts w:ascii="Times New Roman" w:eastAsia="DengXian" w:hAnsi="Times New Roman" w:cs="Times New Roman"/>
          <w:sz w:val="24"/>
          <w:szCs w:val="24"/>
        </w:rPr>
        <w:t>. The remaining weight of GO at 700 °C is 44.5%. For P-rGO, the main loss of only 17.8% happened around 200 °C– 300 °C, with 49.5% remaining weight. This is presumably because that some oxygen functional groups have</w:t>
      </w:r>
      <w:r w:rsidRPr="00E32B41">
        <w:rPr>
          <w:rFonts w:ascii="Times New Roman" w:eastAsia="DengXian" w:hAnsi="Times New Roman" w:cs="Times New Roman"/>
          <w:sz w:val="24"/>
          <w:szCs w:val="24"/>
        </w:rPr>
        <w:t xml:space="preserve"> </w:t>
      </w:r>
      <w:r w:rsidRPr="00401CA2">
        <w:rPr>
          <w:rFonts w:ascii="Times New Roman" w:eastAsia="DengXian" w:hAnsi="Times New Roman" w:cs="Times New Roman"/>
          <w:sz w:val="24"/>
          <w:szCs w:val="24"/>
        </w:rPr>
        <w:t>been removed by PPD</w:t>
      </w:r>
      <w:r w:rsidR="00A8029E">
        <w:rPr>
          <w:rFonts w:ascii="Times New Roman" w:eastAsia="DengXian" w:hAnsi="Times New Roman" w:cs="Times New Roman"/>
          <w:sz w:val="24"/>
          <w:szCs w:val="24"/>
        </w:rPr>
        <w:t xml:space="preserve"> during the reduction process</w:t>
      </w:r>
      <w:r w:rsidRPr="009C2E51">
        <w:rPr>
          <w:rFonts w:ascii="Times New Roman" w:eastAsia="DengXian" w:hAnsi="Times New Roman" w:cs="Times New Roman"/>
          <w:sz w:val="24"/>
          <w:szCs w:val="24"/>
        </w:rPr>
        <w:t xml:space="preserve">. Figure </w:t>
      </w:r>
      <w:r w:rsidR="00617825">
        <w:rPr>
          <w:rFonts w:ascii="Times New Roman" w:eastAsia="DengXian" w:hAnsi="Times New Roman" w:cs="Times New Roman"/>
          <w:sz w:val="24"/>
          <w:szCs w:val="24"/>
        </w:rPr>
        <w:t>6</w:t>
      </w:r>
      <w:r w:rsidR="00F50AC6">
        <w:rPr>
          <w:rFonts w:ascii="Times New Roman" w:eastAsia="DengXian" w:hAnsi="Times New Roman" w:cs="Times New Roman"/>
          <w:sz w:val="24"/>
          <w:szCs w:val="24"/>
        </w:rPr>
        <w:t>.</w:t>
      </w:r>
      <w:r w:rsidR="003A11DA">
        <w:rPr>
          <w:rFonts w:ascii="Times New Roman" w:eastAsia="DengXian" w:hAnsi="Times New Roman" w:cs="Times New Roman"/>
          <w:sz w:val="24"/>
          <w:szCs w:val="24"/>
        </w:rPr>
        <w:t>20</w:t>
      </w:r>
      <w:r w:rsidRPr="009C2E51">
        <w:rPr>
          <w:rFonts w:ascii="Times New Roman" w:eastAsia="DengXian" w:hAnsi="Times New Roman" w:cs="Times New Roman"/>
          <w:sz w:val="24"/>
          <w:szCs w:val="24"/>
        </w:rPr>
        <w:t>(b) presents the thermal stability of HBPE and its P-rGO composites. The starting degradation temperature</w:t>
      </w:r>
      <w:r w:rsidR="00A8029E">
        <w:rPr>
          <w:rFonts w:ascii="Times New Roman" w:eastAsia="DengXian" w:hAnsi="Times New Roman" w:cs="Times New Roman"/>
          <w:sz w:val="24"/>
          <w:szCs w:val="24"/>
        </w:rPr>
        <w:t>s</w:t>
      </w:r>
      <w:r w:rsidRPr="009C2E51">
        <w:rPr>
          <w:rFonts w:ascii="Times New Roman" w:eastAsia="DengXian" w:hAnsi="Times New Roman" w:cs="Times New Roman"/>
          <w:sz w:val="24"/>
          <w:szCs w:val="24"/>
        </w:rPr>
        <w:t xml:space="preserve"> (</w:t>
      </w:r>
      <m:oMath>
        <m:sSubSup>
          <m:sSubSupPr>
            <m:ctrlPr>
              <w:rPr>
                <w:rFonts w:ascii="Cambria Math" w:eastAsia="DengXian" w:hAnsi="Cambria Math" w:cs="Times New Roman"/>
                <w:sz w:val="24"/>
                <w:szCs w:val="24"/>
              </w:rPr>
            </m:ctrlPr>
          </m:sSubSupPr>
          <m:e>
            <m:r>
              <w:rPr>
                <w:rFonts w:ascii="Cambria Math" w:eastAsia="DengXian" w:hAnsi="Cambria Math" w:cs="Times New Roman"/>
                <w:sz w:val="24"/>
                <w:szCs w:val="24"/>
              </w:rPr>
              <m:t>T</m:t>
            </m:r>
          </m:e>
          <m:sub>
            <m:r>
              <w:rPr>
                <w:rFonts w:ascii="Cambria Math" w:eastAsia="DengXian" w:hAnsi="Cambria Math" w:cs="Times New Roman"/>
                <w:sz w:val="24"/>
                <w:szCs w:val="24"/>
              </w:rPr>
              <m:t>d</m:t>
            </m:r>
          </m:sub>
          <m:sup>
            <m:r>
              <w:rPr>
                <w:rFonts w:ascii="Cambria Math" w:eastAsia="DengXian" w:hAnsi="Cambria Math" w:cs="Times New Roman"/>
                <w:sz w:val="24"/>
                <w:szCs w:val="24"/>
              </w:rPr>
              <m:t>onset</m:t>
            </m:r>
          </m:sup>
        </m:sSubSup>
      </m:oMath>
      <w:r w:rsidRPr="009C2E51">
        <w:rPr>
          <w:rFonts w:ascii="Times New Roman" w:eastAsia="DengXian" w:hAnsi="Times New Roman" w:cs="Times New Roman"/>
          <w:sz w:val="24"/>
          <w:szCs w:val="24"/>
        </w:rPr>
        <w:t xml:space="preserve">) of HBPE and HBPE/P-rGO composites are observed at 404 °C (HBPE), 404 °C (0.01 wt.%), 405 °C (0.1 wt.%), and 407 °C (0.5 wt.%), respectively. The remaining weights are 2.89% (HBPE), 1.41% (0.01 wt.%), 0.5% (0.1 wt.%), and 4.86% (0.5 wt. %). It concludes that HBPE and its composites with a low P-rGO loading (below 0.1 wt.%) possess similar thermal properties. However, the incorporation of P-rGO could enhance the thermal stability when P-rGO concentration reaches 0.5 wt.%. This is because the rigid nanoparticles (P-rGO) are compatible with HBPE matrix and  could inhibit the movement of polymer chains when it reaches 0.5 wt.% of P-rGO </w:t>
      </w:r>
      <w:r w:rsidRPr="009C2E51">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"10.1021/am201654b", "ISSN" : "1944-8244, 1944-8252", "PMID" : "22422027", "abstract" : "A facile and efficient approach was developed to simultaneously functionalize and reduce graphene oxide (GO) with p-phenylene diamine (PPD) by simple refluxing. This was possible by the nucleophilic substitution reaction of epoxide groups of GO with amine groups of PPD aided by NH(3) solution. As a consequence, electrical conductivity of GO-PPD increased to 2.1 \u00d7 10(2) S/m, which was nearly 9 orders of magnitude higher than that of GO. Additionally, after the incorporation of GO-PPD in polystyrene (PS), the composites exhibited a sharp transition from electrically insulating to conducting behavior with a low percolation threshold of ~0.34 vol %, which was attributed to the improved dispersion and the reduction of GO-PPD. Thermal stability of the PS/GO-PPD composite was also ~8 \u00b0C higher than that of PS.", "author" : [ { "dropping-particle" : "", "family" : "Ma", "given" : "Hui-Ling", "non-dropping-particle" : "", "parse-names" : false, "suffix" : "" }, { "dropping-particle" : "", "family" : "Zhang", "given" : "Hao-Bin", "non-dropping-particle" : "", "parse-names" : false, "suffix" : "" }, { "dropping-particle" : "", "family" : "Hu", "given" : "Qi-Hui", "non-dropping-particle" : "", "parse-names" : false, "suffix" : "" }, { "dropping-particle" : "", "family" : "Li", "given" : "Wen-Juan", "non-dropping-particle" : "", "parse-names" : false, "suffix" : "" }, { "dropping-particle" : "", "family" : "Jiang", "given" : "Zhi-Guo", "non-dropping-particle" : "", "parse-names" : false, "suffix" : "" }, { "dropping-particle" : "", "family" : "Yu", "given" : "Zhong-Zhen", "non-dropping-particle" : "", "parse-names" : false, "suffix" : "" }, { "dropping-particle" : "", "family" : "Dasari", "given" : "Aravind", "non-dropping-particle" : "", "parse-names" : false, "suffix" : "" } ], "container-title" : "ACS Applied Materials &amp; Interfaces", "id" : "ITEM-1", "issued" : { "date-parts" : [ [ "2012" ] ] }, "page" : "1948-1953", "title" : "Functionalization and Reduction of Graphene Oxide with p -Phenylene Diamine for Electrically Conductive and Thermally Stable Polystyrene Composites", "type" : "article-journal", "volume" : "4" }, "uris" : [ "http://www.mendeley.com/documents/?uuid=b65c4788-5b95-47cd-97cb-53a60b47d6eb" ] } ], "mendeley" : { "formattedCitation" : "[253]", "plainTextFormattedCitation" : "[253]", "previouslyFormattedCitation" : "[253]" }, "properties" : {  }, "schema" : "https://github.com/citation-style-language/schema/raw/master/csl-citation.json" }</w:instrText>
      </w:r>
      <w:r w:rsidRPr="009C2E51">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[253]</w:t>
      </w:r>
      <w:r w:rsidRPr="009C2E51">
        <w:rPr>
          <w:rFonts w:ascii="Times New Roman" w:eastAsia="DengXian" w:hAnsi="Times New Roman" w:cs="Times New Roman"/>
          <w:sz w:val="24"/>
          <w:szCs w:val="24"/>
        </w:rPr>
        <w:fldChar w:fldCharType="end"/>
      </w:r>
      <w:r w:rsidRPr="009C2E51">
        <w:rPr>
          <w:rFonts w:ascii="Times New Roman" w:eastAsia="DengXian" w:hAnsi="Times New Roman" w:cs="Times New Roman"/>
          <w:sz w:val="24"/>
          <w:szCs w:val="24"/>
        </w:rPr>
        <w:t>.</w:t>
      </w:r>
      <w:r w:rsidRPr="001A5452">
        <w:rPr>
          <w:rFonts w:ascii="Times New Roman" w:eastAsia="DengXian" w:hAnsi="Times New Roman" w:cs="Times New Roman"/>
          <w:sz w:val="24"/>
          <w:szCs w:val="24"/>
        </w:rPr>
        <w:t xml:space="preserve"> </w:t>
      </w:r>
    </w:p>
    <w:p w14:paraId="121E7CBB" w14:textId="77777777" w:rsidR="0065721F" w:rsidRPr="001A5452" w:rsidRDefault="0065721F" w:rsidP="006F38AE">
      <w:pPr>
        <w:spacing w:after="0" w:line="480" w:lineRule="auto"/>
        <w:contextualSpacing/>
        <w:jc w:val="both"/>
        <w:rPr>
          <w:rFonts w:ascii="Times New Roman" w:eastAsia="DengXian" w:hAnsi="Times New Roman" w:cs="Times New Roman"/>
          <w:sz w:val="24"/>
          <w:szCs w:val="24"/>
        </w:rPr>
      </w:pPr>
    </w:p>
    <w:p w14:paraId="6981B115" w14:textId="77777777" w:rsidR="006F38AE" w:rsidRPr="001A5452" w:rsidRDefault="006F38AE" w:rsidP="006F38AE">
      <w:pPr>
        <w:spacing w:after="0" w:line="480" w:lineRule="auto"/>
        <w:ind w:left="90" w:hanging="720"/>
        <w:contextualSpacing/>
        <w:jc w:val="center"/>
        <w:rPr>
          <w:rFonts w:ascii="Times New Roman" w:eastAsia="DengXian" w:hAnsi="Times New Roman" w:cs="Times New Roman"/>
          <w:sz w:val="24"/>
          <w:szCs w:val="24"/>
        </w:rPr>
      </w:pPr>
      <w:r w:rsidRPr="001A5452">
        <w:rPr>
          <w:rFonts w:ascii="Times New Roman" w:eastAsia="DengXian" w:hAnsi="Times New Roman" w:cs="Times New Roman"/>
          <w:noProof/>
          <w:sz w:val="24"/>
          <w:szCs w:val="24"/>
          <w:lang w:val="en-GB"/>
        </w:rPr>
        <w:drawing>
          <wp:inline distT="0" distB="0" distL="0" distR="0" wp14:anchorId="262A9E1F" wp14:editId="4C00E2B4">
            <wp:extent cx="6666077" cy="2564777"/>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85937" cy="2572418"/>
                    </a:xfrm>
                    <a:prstGeom prst="rect">
                      <a:avLst/>
                    </a:prstGeom>
                    <a:noFill/>
                  </pic:spPr>
                </pic:pic>
              </a:graphicData>
            </a:graphic>
          </wp:inline>
        </w:drawing>
      </w:r>
    </w:p>
    <w:p w14:paraId="2F735802" w14:textId="5F70F11E" w:rsidR="006F38AE" w:rsidRPr="001A5452" w:rsidRDefault="00617825" w:rsidP="0065721F">
      <w:pPr>
        <w:pStyle w:val="Caption"/>
        <w:ind w:firstLine="0"/>
        <w:rPr>
          <w:rFonts w:eastAsia="DengXian" w:cs="Times New Roman"/>
          <w:szCs w:val="24"/>
        </w:rPr>
      </w:pPr>
      <w:bookmarkStart w:id="302" w:name="_Toc502662573"/>
      <w:bookmarkStart w:id="303" w:name="_Toc502662685"/>
      <w:bookmarkStart w:id="304" w:name="_Toc518823436"/>
      <w:r>
        <w:t>Figure 6</w:t>
      </w:r>
      <w:r w:rsidR="0023569D">
        <w:t>.</w:t>
      </w:r>
      <w:r w:rsidR="0065721F">
        <w:fldChar w:fldCharType="begin"/>
      </w:r>
      <w:r w:rsidR="0065721F">
        <w:instrText xml:space="preserve"> SEQ Figure_6. \* ARABIC </w:instrText>
      </w:r>
      <w:r w:rsidR="0065721F">
        <w:fldChar w:fldCharType="separate"/>
      </w:r>
      <w:r w:rsidR="00551ED9">
        <w:rPr>
          <w:noProof/>
        </w:rPr>
        <w:t>20</w:t>
      </w:r>
      <w:r w:rsidR="0065721F">
        <w:fldChar w:fldCharType="end"/>
      </w:r>
      <w:r w:rsidR="006F38AE" w:rsidRPr="0023569D">
        <w:rPr>
          <w:rFonts w:eastAsia="DengXian" w:cs="Times New Roman"/>
          <w:szCs w:val="24"/>
        </w:rPr>
        <w:t>.</w:t>
      </w:r>
      <w:r w:rsidR="006F38AE" w:rsidRPr="001A5452">
        <w:rPr>
          <w:rFonts w:eastAsia="DengXian" w:cs="Times New Roman"/>
          <w:szCs w:val="24"/>
        </w:rPr>
        <w:t xml:space="preserve">  TGA curves of (a) GO, P-rGO, and PPD, and (b) HBPE and HBPE/P-rGO nanocomposites</w:t>
      </w:r>
      <w:r w:rsidR="006F38AE" w:rsidRPr="001A5452" w:rsidDel="00C9331E">
        <w:rPr>
          <w:rFonts w:eastAsia="DengXian" w:cs="Times New Roman"/>
          <w:szCs w:val="24"/>
        </w:rPr>
        <w:t xml:space="preserve"> </w:t>
      </w:r>
      <w:r w:rsidR="006F38AE" w:rsidRPr="001A5452">
        <w:rPr>
          <w:rFonts w:eastAsia="DengXian" w:cs="Times New Roman"/>
          <w:szCs w:val="24"/>
        </w:rPr>
        <w:t>with different loadings.</w:t>
      </w:r>
      <w:bookmarkEnd w:id="302"/>
      <w:bookmarkEnd w:id="303"/>
      <w:bookmarkEnd w:id="304"/>
    </w:p>
    <w:p w14:paraId="77041559" w14:textId="77777777" w:rsidR="006F38AE" w:rsidRPr="001A5452" w:rsidRDefault="006F38AE" w:rsidP="006F38AE">
      <w:pPr>
        <w:spacing w:after="0" w:line="480" w:lineRule="auto"/>
        <w:contextualSpacing/>
        <w:jc w:val="center"/>
        <w:rPr>
          <w:rFonts w:ascii="Times New Roman" w:eastAsia="DengXian" w:hAnsi="Times New Roman" w:cs="Times New Roman"/>
          <w:sz w:val="24"/>
          <w:szCs w:val="24"/>
        </w:rPr>
      </w:pPr>
    </w:p>
    <w:p w14:paraId="72B3E240" w14:textId="4FFC924D" w:rsidR="006F38AE" w:rsidRPr="009C2E51" w:rsidRDefault="00617825" w:rsidP="00A22DC4">
      <w:pPr>
        <w:pStyle w:val="Heading2"/>
      </w:pPr>
      <w:bookmarkStart w:id="305" w:name="_Toc518823365"/>
      <w:r>
        <w:t>6</w:t>
      </w:r>
      <w:r w:rsidR="00BD1DD2">
        <w:t>.</w:t>
      </w:r>
      <w:r w:rsidR="006F38AE" w:rsidRPr="00A8029E">
        <w:t>3.6</w:t>
      </w:r>
      <w:r w:rsidR="006F38AE" w:rsidRPr="00401CA2">
        <w:t>.</w:t>
      </w:r>
      <w:r w:rsidR="00A22DC4">
        <w:t xml:space="preserve"> Self-h</w:t>
      </w:r>
      <w:r w:rsidR="006F38AE" w:rsidRPr="009C2E51">
        <w:t>ealing efficiency</w:t>
      </w:r>
      <w:bookmarkEnd w:id="305"/>
    </w:p>
    <w:p w14:paraId="79FBB93E" w14:textId="654DD671" w:rsidR="006F38AE" w:rsidRDefault="006F38AE" w:rsidP="006F38AE">
      <w:pPr>
        <w:spacing w:after="0" w:line="480" w:lineRule="auto"/>
        <w:contextualSpacing/>
        <w:jc w:val="both"/>
        <w:rPr>
          <w:rFonts w:ascii="Times New Roman" w:eastAsia="DengXian" w:hAnsi="Times New Roman" w:cs="Times New Roman"/>
          <w:sz w:val="24"/>
          <w:szCs w:val="24"/>
        </w:rPr>
      </w:pPr>
      <w:r w:rsidRPr="009C2E51">
        <w:rPr>
          <w:rFonts w:ascii="Times New Roman" w:eastAsia="DengXian" w:hAnsi="Times New Roman" w:cs="Times New Roman"/>
          <w:sz w:val="24"/>
          <w:szCs w:val="24"/>
        </w:rPr>
        <w:t>For an idea</w:t>
      </w:r>
      <w:r w:rsidR="00DD1AFE">
        <w:rPr>
          <w:rFonts w:ascii="Times New Roman" w:eastAsia="DengXian" w:hAnsi="Times New Roman" w:cs="Times New Roman"/>
          <w:sz w:val="24"/>
          <w:szCs w:val="24"/>
        </w:rPr>
        <w:t>l</w:t>
      </w:r>
      <w:r w:rsidRPr="009C2E51">
        <w:rPr>
          <w:rFonts w:ascii="Times New Roman" w:eastAsia="DengXian" w:hAnsi="Times New Roman" w:cs="Times New Roman"/>
          <w:sz w:val="24"/>
          <w:szCs w:val="24"/>
        </w:rPr>
        <w:t xml:space="preserve"> self–healing polymer, it should be able to rapidly and completely recover its physical properties during its repair process. However, in practice, this may not always be possible. For most cases, the re-established polymers present the reduced mechanical properties in comparison with its undamaged polymers, and the fracture always happened at the initial fracture sites due to remnant defects </w:t>
      </w:r>
      <w:r w:rsidRPr="00401CA2">
        <w:rPr>
          <w:rFonts w:ascii="Times New Roman" w:eastAsia="DengXian" w:hAnsi="Times New Roman" w:cs="Times New Roman"/>
          <w:noProof/>
          <w:sz w:val="24"/>
          <w:szCs w:val="24"/>
        </w:rPr>
        <w:fldChar w:fldCharType="begin" w:fldLock="1"/>
      </w:r>
      <w:r w:rsidR="00D14688">
        <w:rPr>
          <w:rFonts w:ascii="Times New Roman" w:eastAsia="DengXian" w:hAnsi="Times New Roman" w:cs="Times New Roman"/>
          <w:noProof/>
          <w:sz w:val="24"/>
          <w:szCs w:val="24"/>
        </w:rPr>
        <w:instrText>ADDIN CSL_CITATION { "citationItems" : [ { "id" : "ITEM-1", "itemData" : { "DOI" : "10.1038/nnano.2012.192", "ISBN" : "1748-3395 (Electronic) 1748-3387 (Linking)", "ISSN" : "17483395", "PMID" : "23142944", "abstract" : "Pressure sensitivity and mechanical self-healing are two vital functions of the human skin. A flexible and electrically conducting material that can sense mechanical forces and yet be able to self-heal repeatably can be of use in emerging fields such as soft robotics and biomimetic prostheses, but combining all these properties together remains a challenging task. Here, we describe a composite material composed of a supramolecular organic polymer with embedded nickel nanostructured microparticles, which shows mechanical and electrical self-healing properties at ambient conditions. We also show that our material is pressure- and flexion-sensitive, and therefore suitable for electronic skin applications. The electrical conductivity can be tuned by varying the amount of nickel particles and can reach values as high as 40 S cm(-1). On rupture, the initial conductivity is repeatably restored with \u223c90% efficiency after 15 s healing time, and the mechanical properties are completely restored after \u223c10 min. The composite resistance varies inversely with applied flexion and tactile forces. These results demonstrate that natural skin's repeatable self-healing capability can be mimicked in conductive and piezoresistive materials, thus potentially expanding the scope of applications of current electronic skin systems.", "author" : [ { "dropping-particle" : "", "family" : "Tee", "given" : "Benjamin C-K.", "non-dropping-particle" : "", "parse-names" : false, "suffix" : "" }, { "dropping-particle" : "", "family" : "Wang", "given" : "Chao", "non-dropping-particle" : "", "parse-names" : false, "suffix" : "" }, { "dropping-particle" : "", "family" : "Allen", "given" : "Ranulfo", "non-dropping-particle" : "", "parse-names" : false, "suffix" : "" }, { "dropping-particle" : "", "family" : "Bao", "given" : "Zhenan", "non-dropping-particle" : "", "parse-names" : false, "suffix" : "" } ], "container-title" : "Nature Nanotechnology", "id" : "ITEM-1", "issue" : "12", "issued" : { "date-parts" : [ [ "2012" ] ] }, "page" : "825-832", "publisher" : "Nature Publishing Group", "title" : "An electrically and mechanically self-healing composite with pressure- and flexion-sensitive properties for electronic skin applications", "type" : "article-journal", "volume" : "7" }, "uris" : [ "http://www.mendeley.com/documents/?uuid=2f16ba11-9586-4992-a412-d94451ae32a3" ] } ], "mendeley" : { "formattedCitation" : "[134]", "plainTextFormattedCitation" : "[134]", "previouslyFormattedCitation" : "[134]" }, "properties" : {  }, "schema" : "https://github.com/citation-style-language/schema/raw/master/csl-citation.json" }</w:instrText>
      </w:r>
      <w:r w:rsidRPr="00401CA2">
        <w:rPr>
          <w:rFonts w:ascii="Times New Roman" w:eastAsia="DengXian" w:hAnsi="Times New Roman" w:cs="Times New Roman"/>
          <w:noProof/>
          <w:sz w:val="24"/>
          <w:szCs w:val="24"/>
        </w:rPr>
        <w:fldChar w:fldCharType="separate"/>
      </w:r>
      <w:r w:rsidR="00D973A8" w:rsidRPr="00D973A8">
        <w:rPr>
          <w:rFonts w:ascii="Times New Roman" w:eastAsia="DengXian" w:hAnsi="Times New Roman" w:cs="Times New Roman"/>
          <w:noProof/>
          <w:sz w:val="24"/>
          <w:szCs w:val="24"/>
        </w:rPr>
        <w:t>[134]</w:t>
      </w:r>
      <w:r w:rsidRPr="00401CA2">
        <w:rPr>
          <w:rFonts w:ascii="Times New Roman" w:eastAsia="DengXian" w:hAnsi="Times New Roman" w:cs="Times New Roman"/>
          <w:noProof/>
          <w:sz w:val="24"/>
          <w:szCs w:val="24"/>
        </w:rPr>
        <w:fldChar w:fldCharType="end"/>
      </w:r>
      <w:r w:rsidRPr="009C2E51">
        <w:rPr>
          <w:rFonts w:ascii="Times New Roman" w:eastAsia="DengXian" w:hAnsi="Times New Roman" w:cs="Times New Roman"/>
          <w:sz w:val="24"/>
          <w:szCs w:val="24"/>
        </w:rPr>
        <w:t xml:space="preserve">. Self-healing efficiency is used here to investigate its self-healing ability </w:t>
      </w:r>
      <w:r w:rsidRPr="00401CA2">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"10.1039/b904502n", "ISBN" : "0306-0012", "ISSN" : "0306-0012", "PMID" : "20502798", "abstract" : "Given the extensive use of polymers in the modern age with applications ranging from aerospace components to microcircuitry, the ability to regain the mechanical and physical characteristics of complex pristine materials after damage is an attractive proposition. This tutorial review focusses upon the key chemical concepts that have been successfully utilised in the design of healable polymeric materials.", "author" : [ { "dropping-particle" : "", "family" : "Burattini", "given" : "Stefano", "non-dropping-particle" : "", "parse-names" : false, "suffix" : "" }, { "dropping-particle" : "", "family" : "Greenland", "given" : "Barnaby W.", "non-dropping-particle" : "", "parse-names" : false, "suffix" : "" }, { "dropping-particle" : "", "family" : "Chappell", "given" : "David", "non-dropping-particle" : "", "parse-names" : false, "suffix" : "" }, { "dropping-particle" : "", "family" : "Colquhoun", "given" : "Howard M.", "non-dropping-particle" : "", "parse-names" : false, "suffix" : "" }, { "dropping-particle" : "", "family" : "Hayes", "given" : "Wayne", "non-dropping-particle" : "", "parse-names" : false, "suffix" : "" } ], "container-title" : "Chemical Society Reviews", "id" : "ITEM-1", "issue" : "6", "issued" : { "date-parts" : [ [ "2010" ] ] }, "page" : "1973-1985", "title" : "Healable polymeric materials: a tutorial review", "type" : "article-journal", "volume" : "39" }, "uris" : [ "http://www.mendeley.com/documents/?uuid=c5148c1a-55a3-407e-8a90-390d9ae81e1b" ] } ], "mendeley" : { "formattedCitation" : "[234]", "plainTextFormattedCitation" : "[234]", "previouslyFormattedCitation" : "[234]" }, "properties" : {  }, "schema" : "https://github.com/citation-style-language/schema/raw/master/csl-citation.json" }</w:instrText>
      </w:r>
      <w:r w:rsidRPr="00401CA2">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[234]</w:t>
      </w:r>
      <w:r w:rsidRPr="00401CA2">
        <w:rPr>
          <w:rFonts w:ascii="Times New Roman" w:eastAsia="DengXian" w:hAnsi="Times New Roman" w:cs="Times New Roman"/>
          <w:sz w:val="24"/>
          <w:szCs w:val="24"/>
        </w:rPr>
        <w:fldChar w:fldCharType="end"/>
      </w:r>
      <w:r w:rsidRPr="009C2E51">
        <w:rPr>
          <w:rFonts w:ascii="Times New Roman" w:eastAsia="DengXian" w:hAnsi="Times New Roman" w:cs="Times New Roman"/>
          <w:sz w:val="24"/>
          <w:szCs w:val="24"/>
        </w:rPr>
        <w:t xml:space="preserve"> (</w:t>
      </w:r>
      <w:r w:rsidR="00387E17" w:rsidRPr="009C2E51">
        <w:rPr>
          <w:rFonts w:ascii="Times New Roman" w:eastAsia="DengXian" w:hAnsi="Times New Roman" w:cs="Times New Roman"/>
          <w:sz w:val="24"/>
          <w:szCs w:val="24"/>
        </w:rPr>
        <w:t>eq</w:t>
      </w:r>
      <w:r w:rsidR="00387E17">
        <w:rPr>
          <w:rFonts w:ascii="Times New Roman" w:eastAsia="DengXian" w:hAnsi="Times New Roman" w:cs="Times New Roman"/>
          <w:sz w:val="24"/>
          <w:szCs w:val="24"/>
        </w:rPr>
        <w:t>uation</w:t>
      </w:r>
      <w:r w:rsidRPr="009C2E51">
        <w:rPr>
          <w:rFonts w:ascii="Times New Roman" w:eastAsia="DengXian" w:hAnsi="Times New Roman" w:cs="Times New Roman"/>
          <w:sz w:val="24"/>
          <w:szCs w:val="24"/>
        </w:rPr>
        <w:t xml:space="preserve"> (</w:t>
      </w:r>
      <w:r w:rsidR="00617825">
        <w:rPr>
          <w:rFonts w:ascii="Times New Roman" w:eastAsia="DengXian" w:hAnsi="Times New Roman" w:cs="Times New Roman"/>
          <w:sz w:val="24"/>
          <w:szCs w:val="24"/>
        </w:rPr>
        <w:t>6</w:t>
      </w:r>
      <w:r w:rsidR="00387E17">
        <w:rPr>
          <w:rFonts w:ascii="Times New Roman" w:eastAsia="DengXian" w:hAnsi="Times New Roman" w:cs="Times New Roman"/>
          <w:sz w:val="24"/>
          <w:szCs w:val="24"/>
        </w:rPr>
        <w:t>.</w:t>
      </w:r>
      <w:r w:rsidRPr="009C2E51">
        <w:rPr>
          <w:rFonts w:ascii="Times New Roman" w:eastAsia="DengXian" w:hAnsi="Times New Roman" w:cs="Times New Roman"/>
          <w:sz w:val="24"/>
          <w:szCs w:val="24"/>
        </w:rPr>
        <w:t xml:space="preserve">5)). </w:t>
      </w:r>
    </w:p>
    <w:p w14:paraId="2D3A3C46" w14:textId="77777777" w:rsidR="0065721F" w:rsidRPr="009C2E51" w:rsidRDefault="0065721F" w:rsidP="006F38AE">
      <w:pPr>
        <w:spacing w:after="0" w:line="480" w:lineRule="auto"/>
        <w:contextualSpacing/>
        <w:jc w:val="both"/>
        <w:rPr>
          <w:rFonts w:ascii="Times New Roman" w:eastAsia="DengXian" w:hAnsi="Times New Roman" w:cs="Times New Roman"/>
          <w:sz w:val="24"/>
          <w:szCs w:val="24"/>
        </w:rPr>
      </w:pPr>
    </w:p>
    <w:p w14:paraId="48FE7370" w14:textId="598EB782" w:rsidR="006F38AE" w:rsidRDefault="006F38AE" w:rsidP="006F38AE">
      <w:pPr>
        <w:spacing w:after="0" w:line="480" w:lineRule="auto"/>
        <w:ind w:left="720" w:firstLine="288"/>
        <w:contextualSpacing/>
        <w:jc w:val="center"/>
        <w:rPr>
          <w:rFonts w:ascii="Times New Roman" w:eastAsia="DengXian" w:hAnsi="Times New Roman" w:cs="Times New Roman"/>
          <w:b/>
          <w:sz w:val="24"/>
          <w:szCs w:val="24"/>
        </w:rPr>
      </w:pPr>
      <m:oMath>
        <m:r>
          <m:rPr>
            <m:sty m:val="bi"/>
          </m:rPr>
          <w:rPr>
            <w:rFonts w:ascii="Cambria Math" w:eastAsia="DengXian" w:hAnsi="Cambria Math" w:cs="Times New Roman"/>
            <w:sz w:val="28"/>
            <w:szCs w:val="28"/>
          </w:rPr>
          <m:t>Healing efficiency</m:t>
        </m:r>
        <m:r>
          <m:rPr>
            <m:sty m:val="b"/>
          </m:rPr>
          <w:rPr>
            <w:rFonts w:ascii="Cambria Math" w:eastAsia="DengXian" w:hAnsi="Cambria Math" w:cs="Times New Roman"/>
            <w:sz w:val="28"/>
            <w:szCs w:val="28"/>
          </w:rPr>
          <m:t>=</m:t>
        </m:r>
        <m:f>
          <m:fPr>
            <m:ctrlPr>
              <w:rPr>
                <w:rFonts w:ascii="Cambria Math" w:eastAsia="DengXian" w:hAnsi="Cambria Math" w:cs="Times New Roman"/>
                <w:b/>
                <w:sz w:val="28"/>
                <w:szCs w:val="28"/>
              </w:rPr>
            </m:ctrlPr>
          </m:fPr>
          <m:num>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Mechanical value</m:t>
                </m:r>
              </m:e>
              <m:sub>
                <m:r>
                  <m:rPr>
                    <m:sty m:val="bi"/>
                  </m:rPr>
                  <w:rPr>
                    <w:rFonts w:ascii="Cambria Math" w:eastAsia="DengXian" w:hAnsi="Cambria Math" w:cs="Times New Roman"/>
                    <w:sz w:val="28"/>
                    <w:szCs w:val="28"/>
                  </w:rPr>
                  <m:t>healed</m:t>
                </m:r>
              </m:sub>
            </m:sSub>
          </m:num>
          <m:den>
            <m:sSub>
              <m:sSubPr>
                <m:ctrlPr>
                  <w:rPr>
                    <w:rFonts w:ascii="Cambria Math" w:eastAsia="DengXian" w:hAnsi="Cambria Math" w:cs="Times New Roman"/>
                    <w:b/>
                    <w:i/>
                    <w:sz w:val="28"/>
                    <w:szCs w:val="28"/>
                  </w:rPr>
                </m:ctrlPr>
              </m:sSubPr>
              <m:e>
                <m:r>
                  <m:rPr>
                    <m:sty m:val="bi"/>
                  </m:rPr>
                  <w:rPr>
                    <w:rFonts w:ascii="Cambria Math" w:eastAsia="DengXian" w:hAnsi="Cambria Math" w:cs="Times New Roman"/>
                    <w:sz w:val="28"/>
                    <w:szCs w:val="28"/>
                  </w:rPr>
                  <m:t>Mechanical value</m:t>
                </m:r>
              </m:e>
              <m:sub>
                <m:r>
                  <m:rPr>
                    <m:sty m:val="bi"/>
                  </m:rPr>
                  <w:rPr>
                    <w:rFonts w:ascii="Cambria Math" w:eastAsia="DengXian" w:hAnsi="Cambria Math" w:cs="Times New Roman"/>
                    <w:sz w:val="28"/>
                    <w:szCs w:val="28"/>
                  </w:rPr>
                  <m:t>pristine</m:t>
                </m:r>
              </m:sub>
            </m:sSub>
          </m:den>
        </m:f>
        <m:r>
          <m:rPr>
            <m:sty m:val="bi"/>
          </m:rPr>
          <w:rPr>
            <w:rFonts w:ascii="Cambria Math" w:eastAsia="DengXian" w:hAnsi="Cambria Math" w:cs="Times New Roman"/>
            <w:sz w:val="28"/>
            <w:szCs w:val="28"/>
          </w:rPr>
          <m:t xml:space="preserve"> ×100%</m:t>
        </m:r>
      </m:oMath>
      <w:r w:rsidRPr="00401CA2">
        <w:rPr>
          <w:rFonts w:ascii="Times New Roman" w:eastAsia="DengXian" w:hAnsi="Times New Roman" w:cs="Times New Roman"/>
          <w:sz w:val="24"/>
          <w:szCs w:val="24"/>
        </w:rPr>
        <w:t xml:space="preserve"> </w:t>
      </w:r>
      <w:r w:rsidRPr="00401CA2">
        <w:rPr>
          <w:rFonts w:ascii="Times New Roman" w:eastAsia="DengXian" w:hAnsi="Times New Roman" w:cs="Times New Roman"/>
          <w:b/>
          <w:sz w:val="24"/>
          <w:szCs w:val="24"/>
        </w:rPr>
        <w:t xml:space="preserve">     (</w:t>
      </w:r>
      <w:r w:rsidR="00617825">
        <w:rPr>
          <w:rFonts w:ascii="Times New Roman" w:eastAsia="DengXian" w:hAnsi="Times New Roman" w:cs="Times New Roman"/>
          <w:b/>
          <w:sz w:val="24"/>
          <w:szCs w:val="24"/>
        </w:rPr>
        <w:t>6</w:t>
      </w:r>
      <w:r w:rsidR="00387E17">
        <w:rPr>
          <w:rFonts w:ascii="Times New Roman" w:eastAsia="DengXian" w:hAnsi="Times New Roman" w:cs="Times New Roman"/>
          <w:b/>
          <w:sz w:val="24"/>
          <w:szCs w:val="24"/>
        </w:rPr>
        <w:t>.</w:t>
      </w:r>
      <w:r w:rsidRPr="00401CA2">
        <w:rPr>
          <w:rFonts w:ascii="Times New Roman" w:eastAsia="DengXian" w:hAnsi="Times New Roman" w:cs="Times New Roman"/>
          <w:b/>
          <w:sz w:val="24"/>
          <w:szCs w:val="24"/>
        </w:rPr>
        <w:t>5)</w:t>
      </w:r>
    </w:p>
    <w:p w14:paraId="42098F40" w14:textId="77777777" w:rsidR="0065721F" w:rsidRPr="00401CA2" w:rsidRDefault="0065721F" w:rsidP="006F38AE">
      <w:pPr>
        <w:spacing w:after="0" w:line="480" w:lineRule="auto"/>
        <w:ind w:left="720" w:firstLine="288"/>
        <w:contextualSpacing/>
        <w:jc w:val="center"/>
        <w:rPr>
          <w:rFonts w:ascii="Times New Roman" w:eastAsia="DengXian" w:hAnsi="Times New Roman" w:cs="Times New Roman"/>
          <w:b/>
          <w:sz w:val="24"/>
          <w:szCs w:val="24"/>
        </w:rPr>
      </w:pPr>
    </w:p>
    <w:p w14:paraId="686D351C" w14:textId="54F64569" w:rsidR="00DD1AFE" w:rsidRDefault="006F38AE" w:rsidP="006F38AE">
      <w:pPr>
        <w:spacing w:after="0" w:line="480" w:lineRule="auto"/>
        <w:ind w:firstLine="360"/>
        <w:jc w:val="both"/>
        <w:rPr>
          <w:rFonts w:ascii="Times New Roman" w:eastAsia="DengXian" w:hAnsi="Times New Roman" w:cs="Times New Roman"/>
          <w:sz w:val="24"/>
          <w:szCs w:val="24"/>
        </w:rPr>
      </w:pPr>
      <w:r w:rsidRPr="00401CA2">
        <w:rPr>
          <w:rFonts w:ascii="Times New Roman" w:eastAsia="DengXian" w:hAnsi="Times New Roman" w:cs="Times New Roman"/>
          <w:sz w:val="24"/>
          <w:szCs w:val="24"/>
        </w:rPr>
        <w:t xml:space="preserve">In this work, the monomer ratio of the trimer acid (Pripol 1040) and diol (Pripol 2030) is 2:3, which means the amount of –COOH group and –OH </w:t>
      </w:r>
      <w:r w:rsidR="00DD1AFE">
        <w:rPr>
          <w:rFonts w:ascii="Times New Roman" w:eastAsia="DengXian" w:hAnsi="Times New Roman" w:cs="Times New Roman"/>
          <w:sz w:val="24"/>
          <w:szCs w:val="24"/>
        </w:rPr>
        <w:t xml:space="preserve">group </w:t>
      </w:r>
      <w:r w:rsidRPr="00076FD0">
        <w:rPr>
          <w:rFonts w:ascii="Times New Roman" w:eastAsia="DengXian" w:hAnsi="Times New Roman" w:cs="Times New Roman"/>
          <w:sz w:val="24"/>
          <w:szCs w:val="24"/>
        </w:rPr>
        <w:t xml:space="preserve">is equal. Theoretically, both hydroxyl groups and carboxyl groups are presented at the end of the polymer chains </w:t>
      </w:r>
      <w:r w:rsidRPr="00076FD0">
        <w:rPr>
          <w:rFonts w:ascii="Times New Roman" w:eastAsia="DengXian" w:hAnsi="Times New Roman" w:cs="Times New Roman"/>
          <w:noProof/>
          <w:sz w:val="24"/>
          <w:szCs w:val="24"/>
        </w:rPr>
        <w:t>[22]</w:t>
      </w:r>
      <w:r w:rsidRPr="00076FD0">
        <w:rPr>
          <w:rFonts w:ascii="Times New Roman" w:eastAsia="DengXian" w:hAnsi="Times New Roman" w:cs="Times New Roman"/>
          <w:sz w:val="24"/>
          <w:szCs w:val="24"/>
        </w:rPr>
        <w:t xml:space="preserve">, which has been proven by FTIR. In this case, there is a potential for self–healing via hydrogen bonds to occur between carbonyl groups and hydroxyl groups. In order to demonstrate this effect, samples were cut into completely two separate pieces by using a razor blade, the cut surfaces were gently brought back together subsequently, and were allowed to heal at room temperature for 10 min and 24 h, respectively. Tensile tests were carried out to investigate the self–healing efficiency, and the restoration on modulus, tensile strength, elongation at break, and energy at break </w:t>
      </w:r>
      <w:r w:rsidR="00DD1AFE" w:rsidRPr="00076FD0">
        <w:rPr>
          <w:rFonts w:ascii="Times New Roman" w:eastAsia="DengXian" w:hAnsi="Times New Roman" w:cs="Times New Roman"/>
          <w:sz w:val="24"/>
          <w:szCs w:val="24"/>
        </w:rPr>
        <w:t>w</w:t>
      </w:r>
      <w:r w:rsidR="00DD1AFE">
        <w:rPr>
          <w:rFonts w:ascii="Times New Roman" w:eastAsia="DengXian" w:hAnsi="Times New Roman" w:cs="Times New Roman"/>
          <w:sz w:val="24"/>
          <w:szCs w:val="24"/>
        </w:rPr>
        <w:t>as</w:t>
      </w:r>
      <w:r w:rsidR="00DD1AFE" w:rsidRPr="00076FD0">
        <w:rPr>
          <w:rFonts w:ascii="Times New Roman" w:eastAsia="DengXian" w:hAnsi="Times New Roman" w:cs="Times New Roman"/>
          <w:sz w:val="24"/>
          <w:szCs w:val="24"/>
        </w:rPr>
        <w:t xml:space="preserve"> </w:t>
      </w:r>
      <w:r w:rsidR="003A11DA">
        <w:rPr>
          <w:rFonts w:ascii="Times New Roman" w:eastAsia="DengXian" w:hAnsi="Times New Roman" w:cs="Times New Roman"/>
          <w:sz w:val="24"/>
          <w:szCs w:val="24"/>
        </w:rPr>
        <w:t xml:space="preserve">shown </w:t>
      </w:r>
      <w:r w:rsidR="00617825">
        <w:rPr>
          <w:rFonts w:ascii="Times New Roman" w:eastAsia="DengXian" w:hAnsi="Times New Roman" w:cs="Times New Roman"/>
          <w:sz w:val="24"/>
          <w:szCs w:val="24"/>
        </w:rPr>
        <w:t>in Figure 6</w:t>
      </w:r>
      <w:r w:rsidR="003A11DA">
        <w:rPr>
          <w:rFonts w:ascii="Times New Roman" w:eastAsia="DengXian" w:hAnsi="Times New Roman" w:cs="Times New Roman"/>
          <w:sz w:val="24"/>
          <w:szCs w:val="24"/>
        </w:rPr>
        <w:t>.21</w:t>
      </w:r>
      <w:r w:rsidRPr="00076FD0">
        <w:rPr>
          <w:rFonts w:ascii="Times New Roman" w:eastAsia="DengXian" w:hAnsi="Times New Roman" w:cs="Times New Roman"/>
          <w:sz w:val="24"/>
          <w:szCs w:val="24"/>
        </w:rPr>
        <w:t xml:space="preserve"> and Table </w:t>
      </w:r>
      <w:r w:rsidR="00617825">
        <w:rPr>
          <w:rFonts w:ascii="Times New Roman" w:eastAsia="DengXian" w:hAnsi="Times New Roman" w:cs="Times New Roman"/>
          <w:sz w:val="24"/>
          <w:szCs w:val="24"/>
        </w:rPr>
        <w:t>6</w:t>
      </w:r>
      <w:r w:rsidR="003A11DA">
        <w:rPr>
          <w:rFonts w:ascii="Times New Roman" w:eastAsia="DengXian" w:hAnsi="Times New Roman" w:cs="Times New Roman"/>
          <w:sz w:val="24"/>
          <w:szCs w:val="24"/>
        </w:rPr>
        <w:t>.</w:t>
      </w:r>
      <w:r w:rsidRPr="00076FD0">
        <w:rPr>
          <w:rFonts w:ascii="Times New Roman" w:eastAsia="DengXian" w:hAnsi="Times New Roman" w:cs="Times New Roman"/>
          <w:sz w:val="24"/>
          <w:szCs w:val="24"/>
        </w:rPr>
        <w:t xml:space="preserve">5. Normally, toughness or energy at break are used to quantify the mechanical healing efficiency, because both stress and strain are taken into account. </w:t>
      </w:r>
    </w:p>
    <w:p w14:paraId="649F6986" w14:textId="68DD0034" w:rsidR="006F38AE" w:rsidRPr="009C608D" w:rsidRDefault="006F38AE" w:rsidP="006F38AE">
      <w:pPr>
        <w:spacing w:after="0" w:line="480" w:lineRule="auto"/>
        <w:ind w:firstLine="360"/>
        <w:jc w:val="both"/>
        <w:rPr>
          <w:rFonts w:ascii="Times New Roman" w:eastAsia="DengXian" w:hAnsi="Times New Roman" w:cs="Times New Roman"/>
          <w:sz w:val="24"/>
          <w:szCs w:val="24"/>
        </w:rPr>
      </w:pPr>
      <w:r w:rsidRPr="00076FD0">
        <w:rPr>
          <w:rFonts w:ascii="Times New Roman" w:eastAsia="DengXian" w:hAnsi="Times New Roman" w:cs="Times New Roman"/>
          <w:sz w:val="24"/>
          <w:szCs w:val="24"/>
        </w:rPr>
        <w:t>In this work, the healing efficiency of HBPE was 5.8% after 10 min and 40.5% after 24 h</w:t>
      </w:r>
      <w:r w:rsidR="00DD1AFE">
        <w:rPr>
          <w:rFonts w:ascii="Times New Roman" w:eastAsia="DengXian" w:hAnsi="Times New Roman" w:cs="Times New Roman"/>
          <w:sz w:val="24"/>
          <w:szCs w:val="24"/>
        </w:rPr>
        <w:t xml:space="preserve"> ambient conditions</w:t>
      </w:r>
      <w:r w:rsidRPr="009C608D">
        <w:rPr>
          <w:rFonts w:ascii="Times New Roman" w:eastAsia="DengXian" w:hAnsi="Times New Roman" w:cs="Times New Roman"/>
          <w:sz w:val="24"/>
          <w:szCs w:val="24"/>
        </w:rPr>
        <w:t xml:space="preserve">. </w:t>
      </w:r>
      <w:r w:rsidRPr="009C608D">
        <w:rPr>
          <w:rFonts w:ascii="Times New Roman" w:eastAsia="DengXian" w:hAnsi="Times New Roman" w:cs="Times New Roman"/>
          <w:sz w:val="24"/>
          <w:szCs w:val="24"/>
          <w:lang w:val="en-GB"/>
        </w:rPr>
        <w:t xml:space="preserve">The self-healing capacity after 48 h showed the similar value as that after 24 h, indicating that hydrogen bonding did not continue to re-associate after 24 h. </w:t>
      </w:r>
      <w:r w:rsidRPr="009C608D">
        <w:rPr>
          <w:rFonts w:ascii="Times New Roman" w:eastAsia="DengXian" w:hAnsi="Times New Roman" w:cs="Times New Roman"/>
          <w:sz w:val="24"/>
          <w:szCs w:val="24"/>
        </w:rPr>
        <w:t xml:space="preserve">However, the self–healing efficiencies were affected significantly with the increasing GO loadings. In detail, the self-healing efficiencies within 10 min were increased and the highest efficiency of 20.9% occurred at 0.01 wt.% HBPE/P-rGO composite. This is presumably because that the excellent </w:t>
      </w:r>
      <w:r w:rsidR="00DD1AFE">
        <w:rPr>
          <w:rFonts w:ascii="Times New Roman" w:eastAsia="DengXian" w:hAnsi="Times New Roman" w:cs="Times New Roman"/>
          <w:sz w:val="24"/>
          <w:szCs w:val="24"/>
        </w:rPr>
        <w:t>interactions</w:t>
      </w:r>
      <w:r w:rsidR="00DD1AFE" w:rsidRPr="009C608D">
        <w:rPr>
          <w:rFonts w:ascii="Times New Roman" w:eastAsia="DengXian" w:hAnsi="Times New Roman" w:cs="Times New Roman"/>
          <w:sz w:val="24"/>
          <w:szCs w:val="24"/>
        </w:rPr>
        <w:t xml:space="preserve"> </w:t>
      </w:r>
      <w:r w:rsidRPr="009C608D">
        <w:rPr>
          <w:rFonts w:ascii="Times New Roman" w:eastAsia="DengXian" w:hAnsi="Times New Roman" w:cs="Times New Roman"/>
          <w:sz w:val="24"/>
          <w:szCs w:val="24"/>
        </w:rPr>
        <w:t xml:space="preserve">of P-rGO with polymer matrix at low concentration could </w:t>
      </w:r>
      <w:r w:rsidR="00DD1AFE">
        <w:rPr>
          <w:rFonts w:ascii="Times New Roman" w:eastAsia="DengXian" w:hAnsi="Times New Roman" w:cs="Times New Roman"/>
          <w:sz w:val="24"/>
          <w:szCs w:val="24"/>
        </w:rPr>
        <w:t>hinder</w:t>
      </w:r>
      <w:r w:rsidR="00DD1AFE" w:rsidRPr="009C608D">
        <w:rPr>
          <w:rFonts w:ascii="Times New Roman" w:eastAsia="DengXian" w:hAnsi="Times New Roman" w:cs="Times New Roman"/>
          <w:sz w:val="24"/>
          <w:szCs w:val="24"/>
        </w:rPr>
        <w:t xml:space="preserve"> </w:t>
      </w:r>
      <w:r w:rsidRPr="009C608D">
        <w:rPr>
          <w:rFonts w:ascii="Times New Roman" w:eastAsia="DengXian" w:hAnsi="Times New Roman" w:cs="Times New Roman"/>
          <w:sz w:val="24"/>
          <w:szCs w:val="24"/>
        </w:rPr>
        <w:t>the crosslinking of polymers, resulting in more flexible</w:t>
      </w:r>
      <w:r w:rsidRPr="00A8029E">
        <w:rPr>
          <w:rFonts w:ascii="Times New Roman" w:eastAsia="DengXian" w:hAnsi="Times New Roman" w:cs="Times New Roman"/>
          <w:sz w:val="24"/>
          <w:szCs w:val="24"/>
        </w:rPr>
        <w:t xml:space="preserve"> </w:t>
      </w:r>
      <w:r w:rsidRPr="009C608D">
        <w:rPr>
          <w:rFonts w:ascii="Times New Roman" w:eastAsia="DengXian" w:hAnsi="Times New Roman" w:cs="Times New Roman"/>
          <w:sz w:val="24"/>
          <w:szCs w:val="24"/>
        </w:rPr>
        <w:t>polymer chains and more active hydrogen bonding sites</w:t>
      </w:r>
      <w:r w:rsidR="001E4493">
        <w:rPr>
          <w:rFonts w:ascii="Times New Roman" w:eastAsia="DengXian" w:hAnsi="Times New Roman" w:cs="Times New Roman"/>
          <w:sz w:val="24"/>
          <w:szCs w:val="24"/>
        </w:rPr>
        <w:t>. This</w:t>
      </w:r>
      <w:r w:rsidRPr="009C608D">
        <w:rPr>
          <w:rFonts w:ascii="Times New Roman" w:eastAsia="DengXian" w:hAnsi="Times New Roman" w:cs="Times New Roman"/>
          <w:sz w:val="24"/>
          <w:szCs w:val="24"/>
        </w:rPr>
        <w:t xml:space="preserve"> </w:t>
      </w:r>
      <w:r w:rsidR="001E4493" w:rsidRPr="009C608D">
        <w:rPr>
          <w:rFonts w:ascii="Times New Roman" w:eastAsia="DengXian" w:hAnsi="Times New Roman" w:cs="Times New Roman"/>
          <w:sz w:val="24"/>
          <w:szCs w:val="24"/>
        </w:rPr>
        <w:t>lead</w:t>
      </w:r>
      <w:r w:rsidR="001E4493">
        <w:rPr>
          <w:rFonts w:ascii="Times New Roman" w:eastAsia="DengXian" w:hAnsi="Times New Roman" w:cs="Times New Roman"/>
          <w:sz w:val="24"/>
          <w:szCs w:val="24"/>
        </w:rPr>
        <w:t>s</w:t>
      </w:r>
      <w:r w:rsidR="001E4493" w:rsidRPr="009C608D">
        <w:rPr>
          <w:rFonts w:ascii="Times New Roman" w:eastAsia="DengXian" w:hAnsi="Times New Roman" w:cs="Times New Roman"/>
          <w:sz w:val="24"/>
          <w:szCs w:val="24"/>
        </w:rPr>
        <w:t xml:space="preserve"> </w:t>
      </w:r>
      <w:r w:rsidRPr="009C608D">
        <w:rPr>
          <w:rFonts w:ascii="Times New Roman" w:eastAsia="DengXian" w:hAnsi="Times New Roman" w:cs="Times New Roman"/>
          <w:sz w:val="24"/>
          <w:szCs w:val="24"/>
        </w:rPr>
        <w:t xml:space="preserve">to </w:t>
      </w:r>
      <w:r w:rsidR="001E4493">
        <w:rPr>
          <w:rFonts w:ascii="Times New Roman" w:eastAsia="DengXian" w:hAnsi="Times New Roman" w:cs="Times New Roman"/>
          <w:sz w:val="24"/>
          <w:szCs w:val="24"/>
        </w:rPr>
        <w:t xml:space="preserve">a </w:t>
      </w:r>
      <w:r w:rsidRPr="009C608D">
        <w:rPr>
          <w:rFonts w:ascii="Times New Roman" w:eastAsia="DengXian" w:hAnsi="Times New Roman" w:cs="Times New Roman"/>
          <w:sz w:val="24"/>
          <w:szCs w:val="24"/>
        </w:rPr>
        <w:t>high</w:t>
      </w:r>
      <w:r w:rsidR="001E4493">
        <w:rPr>
          <w:rFonts w:ascii="Times New Roman" w:eastAsia="DengXian" w:hAnsi="Times New Roman" w:cs="Times New Roman"/>
          <w:sz w:val="24"/>
          <w:szCs w:val="24"/>
        </w:rPr>
        <w:t>er</w:t>
      </w:r>
      <w:r w:rsidRPr="009C608D">
        <w:rPr>
          <w:rFonts w:ascii="Times New Roman" w:eastAsia="DengXian" w:hAnsi="Times New Roman" w:cs="Times New Roman"/>
          <w:sz w:val="24"/>
          <w:szCs w:val="24"/>
        </w:rPr>
        <w:t xml:space="preserve"> density of hydrogen bonding with an enhanced mechanical self-healing efficiency, which is a common phenomenon for most of self-healing elastomers </w:t>
      </w:r>
      <w:r w:rsidRPr="009C608D">
        <w:rPr>
          <w:rFonts w:ascii="Times New Roman" w:eastAsia="DengXian" w:hAnsi="Times New Roman" w:cs="Times New Roman"/>
          <w:sz w:val="24"/>
          <w:szCs w:val="24"/>
        </w:rPr>
        <w:fldChar w:fldCharType="begin" w:fldLock="1"/>
      </w:r>
      <w:r w:rsidR="007D10CD">
        <w:rPr>
          <w:rFonts w:ascii="Times New Roman" w:eastAsia="DengXian" w:hAnsi="Times New Roman" w:cs="Times New Roman"/>
          <w:sz w:val="24"/>
          <w:szCs w:val="24"/>
        </w:rPr>
        <w:instrText>ADDIN CSL_CITATION { "citationItems" : [ { "id" : "ITEM-1", "itemData" : { "DOI" : "10.1038/nature09963", "ISBN" : "0028-0836", "ISSN" : "0028-0836", "PMID" : "21512571", "abstract" : "Polymers with the ability to repair themselves after sustaining damage could extend the lifetimes of materials used in many applications. Most approaches to healable materials require heating the damaged area. Here we present metallosupramolecular polymers that can be mended through exposure to light. They consist of telechelic, rubbery, low-molecular-mass polymers with ligand end groups that are non-covalently linked through metal-ion binding. On exposure to ultraviolet light, the metal-ligand motifs are electronically excited and the absorbed energy is converted into heat. This causes temporary disengagement of the metal-ligand motifs and a concomitant reversible decrease in the polymers' molecular mass and viscosity, thereby allowing quick and efficient defect healing. Light can be applied locally to a damage site, so objects can in principle be healed under load. We anticipate that this approach to healable materials, based on supramolecular polymers and a light-heat conversion step, can be applied to a wide range of supramolecular materials that use different chemistries.", "author" : [ { "dropping-particle" : "", "family" : "Burnworth", "given" : "Mark", "non-dropping-particle" : "", "parse-names" : false, "suffix" : "" }, { "dropping-particle" : "", "family" : "Tang", "given" : "Liming", "non-dropping-particle" : "", "parse-names" : false, "suffix" : "" }, { "dropping-particle" : "", "family" : "Kumpfer", "given" : "Justin R.", "non-dropping-particle" : "", "parse-names" : false, "suffix" : "" }, { "dropping-particle" : "", "family" : "Duncan", "given" : "Andrew J.", "non-dropping-particle" : "", "parse-names" : false, "suffix" : "" }, { "dropping-particle" : "", "family" : "Beyer", "given" : "Frederick L.", "non-dropping-particle" : "", "parse-names" : false, "suffix" : "" }, { "dropping-particle" : "", "family" : "Fiore", "given" : "Gina L.", "non-dropping-particle" : "", "parse-names" : false, "suffix" : "" }, { "dropping-particle" : "", "family" : "Rowan", "given" : "Stuart J.", "non-dropping-particle" : "", "parse-names" : false, "suffix" : "" }, { "dropping-particle" : "", "family" : "Weder", "given" : "Christoph", "non-dropping-particle" : "", "parse-names" : false, "suffix" : "" } ], "container-title" : "Nature", "id" : "ITEM-1", "issue" : "7343", "issued" : { "date-parts" : [ [ "2011" ] ] }, "page" : "334-337", "publisher" : "Nature Publishing Group", "title" : "Optically healable supramolecular polymers", "type" : "article-journal", "volume" : "472" }, "uris" : [ "http://www.mendeley.com/documents/?uuid=b01d33cc-4cd5-438b-a0db-006d0788ed04" ] }, { "id" : "ITEM-2", "itemData" : { "DOI" : "10.1038/nature06669", "ISBN" : "1476-4687 (Electronic)\\r0028-0836 (Linking)", "ISSN" : "0028-0836", "PMID" : "18288191", "abstract" : "Rubbers exhibit enormous extensibility up to several hundred per cent, compared with a few per cent for ordinary solids, and have the ability to recover their original shape and dimensions on release of stress. Rubber elasticity is a property of macromolecules that are either covalently cross-linked or connected in a network by physical associations such as small glassy or crystalline domains, ionic aggregates or multiple hydrogen bonds. Covalent cross-links or strong physical associations prevent flow and creep. Here we design and synthesize molecules that associate together to form both chains and cross-links via hydrogen bonds. The system shows recoverable extensibility up to several hundred per cent and little creep under load. In striking contrast to conventional cross-linked or thermoreversible rubbers made of macromolecules, these systems, when broken or cut, can be simply repaired by bringing together fractured surfaces to self-heal at room temperature. Repaired samples recuperate their enormous extensibility. The process of breaking and healing can be repeated many times. These materials can be easily processed, re-used and recycled. Their unique self-repairing properties, the simplicity of their synthesis, their availability from renewable resources and the low cost of raw ingredients (fatty acids and urea) bode well for future applications.", "author" : [ { "dropping-particle" : "", "family" : "Cordier", "given" : "Philippe", "non-dropping-particle" : "", "parse-names" : false, "suffix" : "" }, { "dropping-particle" : "", "family" : "Tournilhac", "given" : "Fran\u00e7ois", "non-dropping-particle" : "", "parse-names" : false, "suffix" : "" }, { "dropping-particle" : "", "family" : "Souli\u00e9-Ziakovic", "given" : "Corinne", "non-dropping-particle" : "", "parse-names" : false, "suffix" : "" }, { "dropping-particle" : "", "family" : "Leibler", "given" : "Ludwik", "non-dropping-particle" : "", "parse-names" : false, "suffix" : "" } ], "container-title" : "Nature", "id" : "ITEM-2", "issue" : "7181", "issued" : { "date-parts" : [ [ "2008" ] ] }, "page" : "977-980", "title" : "Self-healing and thermoreversible rubber from supramolecular assembly", "type" : "article-journal", "volume" : "451" }, "uris" : [ "http://www.mendeley.com/documents/?uuid=43ef4f89-6b75-410c-a873-1419b95175e9" ] }, { "id" : "ITEM-3",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"ITEM-3", "issue" : "40", "issued" : { "date-parts" : [ [ "2013" ] ] }, "page" : "5785-5790", "title" : "A rapid and efficient self-healing thermo-reversible elastomer crosslinked with graphene oxide", "type" : "article-journal", "volume" : "25" }, "uris" : [ "http://www.mendeley.com/documents/?uuid=c6119f47-655c-4db2-9140-d5126b5d384c" ] } ], "mendeley" : { "formattedCitation" : "[135,139,263]", "plainTextFormattedCitation" : "[135,139,263]", "previouslyFormattedCitation" : "[135,139,263]" }, "properties" : {  }, "schema" : "https://github.com/citation-style-language/schema/raw/master/csl-citation.json" }</w:instrText>
      </w:r>
      <w:r w:rsidRPr="009C608D">
        <w:rPr>
          <w:rFonts w:ascii="Times New Roman" w:eastAsia="DengXian" w:hAnsi="Times New Roman" w:cs="Times New Roman"/>
          <w:sz w:val="24"/>
          <w:szCs w:val="24"/>
        </w:rPr>
        <w:fldChar w:fldCharType="separate"/>
      </w:r>
      <w:r w:rsidR="008F0DFC" w:rsidRPr="008F0DFC">
        <w:rPr>
          <w:rFonts w:ascii="Times New Roman" w:eastAsia="DengXian" w:hAnsi="Times New Roman" w:cs="Times New Roman"/>
          <w:noProof/>
          <w:sz w:val="24"/>
          <w:szCs w:val="24"/>
        </w:rPr>
        <w:t>[135,139,263]</w:t>
      </w:r>
      <w:r w:rsidRPr="009C608D">
        <w:rPr>
          <w:rFonts w:ascii="Times New Roman" w:eastAsia="DengXian" w:hAnsi="Times New Roman" w:cs="Times New Roman"/>
          <w:sz w:val="24"/>
          <w:szCs w:val="24"/>
        </w:rPr>
        <w:fldChar w:fldCharType="end"/>
      </w:r>
      <w:r w:rsidRPr="009C608D">
        <w:rPr>
          <w:rFonts w:ascii="Times New Roman" w:eastAsia="DengXian" w:hAnsi="Times New Roman" w:cs="Times New Roman"/>
          <w:sz w:val="24"/>
          <w:szCs w:val="24"/>
        </w:rPr>
        <w:t xml:space="preserve">. </w:t>
      </w:r>
      <w:r w:rsidR="001E4493">
        <w:rPr>
          <w:rFonts w:ascii="Times New Roman" w:eastAsia="DengXian" w:hAnsi="Times New Roman" w:cs="Times New Roman"/>
          <w:sz w:val="24"/>
          <w:szCs w:val="24"/>
        </w:rPr>
        <w:t xml:space="preserve">In contrast, </w:t>
      </w:r>
      <w:r w:rsidR="00DD1AFE" w:rsidRPr="000B69DE">
        <w:rPr>
          <w:rFonts w:ascii="Times New Roman" w:eastAsia="DengXian" w:hAnsi="Times New Roman" w:cs="Times New Roman"/>
          <w:sz w:val="24"/>
          <w:szCs w:val="24"/>
        </w:rPr>
        <w:t xml:space="preserve">0.5 wt.% HBPE/P-rGO nanocomposite showed a decreased self-healing efficiency of only 3.2%.  </w:t>
      </w:r>
      <w:r w:rsidR="001E4493">
        <w:rPr>
          <w:rFonts w:ascii="Times New Roman" w:eastAsia="DengXian" w:hAnsi="Times New Roman" w:cs="Times New Roman"/>
          <w:sz w:val="24"/>
          <w:szCs w:val="24"/>
        </w:rPr>
        <w:t xml:space="preserve">This </w:t>
      </w:r>
      <w:r w:rsidR="001E4493" w:rsidRPr="009C608D">
        <w:rPr>
          <w:rFonts w:ascii="Times New Roman" w:eastAsia="DengXian" w:hAnsi="Times New Roman" w:cs="Times New Roman"/>
          <w:sz w:val="24"/>
          <w:szCs w:val="24"/>
        </w:rPr>
        <w:t>is</w:t>
      </w:r>
      <w:r w:rsidRPr="009C608D">
        <w:rPr>
          <w:rFonts w:ascii="Times New Roman" w:eastAsia="DengXian" w:hAnsi="Times New Roman" w:cs="Times New Roman"/>
          <w:sz w:val="24"/>
          <w:szCs w:val="24"/>
        </w:rPr>
        <w:t xml:space="preserve"> presumably because some of the fracture surface area was occupied by P-rGO particles, resulting in a less hydrogen bonding density which is a key parameter for self-healing capacity </w:t>
      </w:r>
      <w:r w:rsidRPr="00F93455">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"ITEM-1", "issue" : "40", "issued" : { "date-parts" : [ [ "2013" ] ] }, "page" : "5785-5790", "title" : "A rapid and efficient self-healing thermo-reversible elastomer crosslinked with graphene oxide", "type" : "article-journal", "volume" : "25" }, "uris" : [ "http://www.mendeley.com/documents/?uuid=c6119f47-655c-4db2-9140-d5126b5d384c" ] }, { "id" : "ITEM-2", "itemData" : { "DOI" : "10.1038/nnano.2012.192", "ISBN" : "1748-3395 (Electronic) 1748-3387 (Linking)", "ISSN" : "17483395", "PMID" : "23142944", "abstract" : "Pressure sensitivity and mechanical self-healing are two vital functions of the human skin. A flexible and electrically conducting material that can sense mechanical forces and yet be able to self-heal repeatably can be of use in emerging fields such as soft robotics and biomimetic prostheses, but combining all these properties together remains a challenging task. Here, we describe a composite material composed of a supramolecular organic polymer with embedded nickel nanostructured microparticles, which shows mechanical and electrical self-healing properties at ambient conditions. We also show that our material is pressure- and flexion-sensitive, and therefore suitable for electronic skin applications. The electrical conductivity can be tuned by varying the amount of nickel particles and can reach values as high as 40 S cm(-1). On rupture, the initial conductivity is repeatably restored with \u223c90% efficiency after 15 s healing time, and the mechanical properties are completely restored after \u223c10 min. The composite resistance varies inversely with applied flexion and tactile forces. These results demonstrate that natural skin's repeatable self-healing capability can be mimicked in conductive and piezoresistive materials, thus potentially expanding the scope of applications of current electronic skin systems.", "author" : [ { "dropping-particle" : "", "family" : "Tee", "given" : "Benjamin C-K.", "non-dropping-particle" : "", "parse-names" : false, "suffix" : "" }, { "dropping-particle" : "", "family" : "Wang", "given" : "Chao", "non-dropping-particle" : "", "parse-names" : false, "suffix" : "" }, { "dropping-particle" : "", "family" : "Allen", "given" : "Ranulfo", "non-dropping-particle" : "", "parse-names" : false, "suffix" : "" }, { "dropping-particle" : "", "family" : "Bao", "given" : "Zhenan", "non-dropping-particle" : "", "parse-names" : false, "suffix" : "" } ], "container-title" : "Nature Nanotechnology", "id" : "ITEM-2", "issue" : "12", "issued" : { "date-parts" : [ [ "2012" ] ] }, "page" : "825-832", "publisher" : "Nature Publishing Group", "title" : "An electrically and mechanically self-healing composite with pressure- and flexion-sensitive properties for electronic skin applications", "type" : "article-journal", "volume" : "7" }, "uris" : [ "http://www.mendeley.com/documents/?uuid=2f16ba11-9586-4992-a412-d94451ae32a3" ] } ], "mendeley" : { "formattedCitation" : "[134,135]", "plainTextFormattedCitation" : "[134,135]", "previouslyFormattedCitation" : "[134,135]" }, "properties" : {  }, "schema" : "https://github.com/citation-style-language/schema/raw/master/csl-citation.json" }</w:instrText>
      </w:r>
      <w:r w:rsidRPr="00F93455">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[134,135]</w:t>
      </w:r>
      <w:r w:rsidRPr="00F93455">
        <w:rPr>
          <w:rFonts w:ascii="Times New Roman" w:eastAsia="DengXian" w:hAnsi="Times New Roman" w:cs="Times New Roman"/>
          <w:sz w:val="24"/>
          <w:szCs w:val="24"/>
        </w:rPr>
        <w:fldChar w:fldCharType="end"/>
      </w:r>
      <w:r w:rsidRPr="009C608D">
        <w:rPr>
          <w:rFonts w:ascii="Times New Roman" w:eastAsia="DengXian" w:hAnsi="Times New Roman" w:cs="Times New Roman"/>
          <w:sz w:val="24"/>
          <w:szCs w:val="24"/>
        </w:rPr>
        <w:t>. Adversely, the self-healing efficiencies after 24 h were reduced significantly and the lowest efficiency of 7.</w:t>
      </w:r>
      <w:r w:rsidR="001E4493">
        <w:rPr>
          <w:rFonts w:ascii="Times New Roman" w:eastAsia="DengXian" w:hAnsi="Times New Roman" w:cs="Times New Roman"/>
          <w:sz w:val="24"/>
          <w:szCs w:val="24"/>
        </w:rPr>
        <w:t>7</w:t>
      </w:r>
      <w:r w:rsidRPr="00F50AC6">
        <w:rPr>
          <w:rFonts w:ascii="Times New Roman" w:eastAsia="DengXian" w:hAnsi="Times New Roman" w:cs="Times New Roman"/>
          <w:sz w:val="24"/>
          <w:szCs w:val="24"/>
        </w:rPr>
        <w:t xml:space="preserve">% occurred at 0.5 wt.% HBPE/P-rGO composite. This is presumably because that lower crosslinking degree leads a higher diffusion and re-association of hydrogen bonding, which is a key parameter for the fast self-healing within short time (10 min). </w:t>
      </w:r>
      <w:r w:rsidR="001E4493">
        <w:rPr>
          <w:rFonts w:ascii="Times New Roman" w:eastAsia="DengXian" w:hAnsi="Times New Roman" w:cs="Times New Roman"/>
          <w:sz w:val="24"/>
          <w:szCs w:val="24"/>
        </w:rPr>
        <w:t>However</w:t>
      </w:r>
      <w:r w:rsidRPr="009C608D">
        <w:rPr>
          <w:rFonts w:ascii="Times New Roman" w:eastAsia="DengXian" w:hAnsi="Times New Roman" w:cs="Times New Roman"/>
          <w:sz w:val="24"/>
          <w:szCs w:val="24"/>
        </w:rPr>
        <w:t xml:space="preserve">, for the self-healing within long time (24 h), the density of hydrogen bonding is the key parameter rather than crosslinking degree. The surface for functional groups (carbonyl groups and hydroxyl groups) was occupied by the addition of P-rGO particles, resulting in a reduced density of hydrogen bonding to re-associate </w:t>
      </w:r>
      <w:r w:rsidRPr="009C608D">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"ITEM-1", "issue" : "40", "issued" : { "date-parts" : [ [ "2013" ] ] }, "page" : "5785-5790", "title" : "A rapid and efficient self-healing thermo-reversible elastomer crosslinked with graphene oxide", "type" : "article-journal", "volume" : "25" }, "uris" : [ "http://www.mendeley.com/documents/?uuid=c6119f47-655c-4db2-9140-d5126b5d384c" ] } ], "mendeley" : { "formattedCitation" : "[135]", "plainTextFormattedCitation" : "[135]", "previouslyFormattedCitation" : "[135]" }, "properties" : {  }, "schema" : "https://github.com/citation-style-language/schema/raw/master/csl-citation.json" }</w:instrText>
      </w:r>
      <w:r w:rsidRPr="009C608D">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[135]</w:t>
      </w:r>
      <w:r w:rsidRPr="009C608D">
        <w:rPr>
          <w:rFonts w:ascii="Times New Roman" w:eastAsia="DengXian" w:hAnsi="Times New Roman" w:cs="Times New Roman"/>
          <w:sz w:val="24"/>
          <w:szCs w:val="24"/>
        </w:rPr>
        <w:fldChar w:fldCharType="end"/>
      </w:r>
      <w:r w:rsidRPr="009C608D">
        <w:rPr>
          <w:rFonts w:ascii="Times New Roman" w:eastAsia="DengXian" w:hAnsi="Times New Roman" w:cs="Times New Roman"/>
          <w:sz w:val="24"/>
          <w:szCs w:val="24"/>
        </w:rPr>
        <w:t xml:space="preserve">. </w:t>
      </w:r>
    </w:p>
    <w:p w14:paraId="52A031B7" w14:textId="5889DF87" w:rsidR="006F38AE" w:rsidRPr="001A5452" w:rsidRDefault="006F38AE" w:rsidP="006F38AE">
      <w:pPr>
        <w:spacing w:after="0" w:line="480" w:lineRule="auto"/>
        <w:ind w:firstLine="360"/>
        <w:jc w:val="both"/>
        <w:rPr>
          <w:rFonts w:ascii="Times New Roman" w:eastAsia="DengXian" w:hAnsi="Times New Roman" w:cs="Times New Roman"/>
          <w:sz w:val="24"/>
          <w:szCs w:val="24"/>
        </w:rPr>
      </w:pPr>
      <w:r w:rsidRPr="009C608D">
        <w:rPr>
          <w:rFonts w:ascii="Times New Roman" w:eastAsia="DengXian" w:hAnsi="Times New Roman" w:cs="Times New Roman"/>
          <w:sz w:val="24"/>
          <w:szCs w:val="24"/>
        </w:rPr>
        <w:t xml:space="preserve">As we know, most of </w:t>
      </w:r>
      <w:r w:rsidR="001E4493" w:rsidRPr="009C608D">
        <w:rPr>
          <w:rFonts w:ascii="Times New Roman" w:eastAsia="DengXian" w:hAnsi="Times New Roman" w:cs="Times New Roman"/>
          <w:sz w:val="24"/>
          <w:szCs w:val="24"/>
        </w:rPr>
        <w:t>heal</w:t>
      </w:r>
      <w:r w:rsidR="001E4493">
        <w:rPr>
          <w:rFonts w:ascii="Times New Roman" w:eastAsia="DengXian" w:hAnsi="Times New Roman" w:cs="Times New Roman"/>
          <w:sz w:val="24"/>
          <w:szCs w:val="24"/>
        </w:rPr>
        <w:t>able</w:t>
      </w:r>
      <w:r w:rsidR="001E4493" w:rsidRPr="009C608D">
        <w:rPr>
          <w:rFonts w:ascii="Times New Roman" w:eastAsia="DengXian" w:hAnsi="Times New Roman" w:cs="Times New Roman"/>
          <w:sz w:val="24"/>
          <w:szCs w:val="24"/>
        </w:rPr>
        <w:t xml:space="preserve"> </w:t>
      </w:r>
      <w:r w:rsidRPr="009C608D">
        <w:rPr>
          <w:rFonts w:ascii="Times New Roman" w:eastAsia="DengXian" w:hAnsi="Times New Roman" w:cs="Times New Roman"/>
          <w:sz w:val="24"/>
          <w:szCs w:val="24"/>
        </w:rPr>
        <w:t xml:space="preserve">elastomers require healing agents or external stimuli like light or heat, and only few samples can be automatically repaired at room temperature </w:t>
      </w:r>
      <w:r w:rsidRPr="009C608D">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"10.1038/nchem.2492", "ISBN" : "1755-4349", "ISSN" : "1755-4330", "PMID" : "27219708", "abstract" : "It is a challenge to synthesize materials that possess the properties of biological muscles\u2014strong, elastic and capable of self-healing. Herein we report a network of poly(dimethylsiloxane) polymer chains crosslinked by coordination complexes that combines high stretchability, high dielectric strength, autonomous self-healing and mechanical actuation. The healing process can take place at a temperature as low as \u221220 \u00b0C and is not significantly affected by surface ageing and moisture. The crosslinking complexes used consist of 2,6-pyridinedicarboxamide ligands that coordinate to Fe(III) centres through three different interactions: a strong pyridyl\u2013iron one, and two weaker carboxamido\u2013iron ones through both the nitrogen and oxygen atoms of the carboxamide groups. As a result, the iron\u2013ligand bonds can readily break and re-form while the iron centres still remain attached to the ligands through the stronger interaction with the pyridyl ring, which enables reversible unfolding and refolding of the chains. We hypothesize that this behaviour supports the high stretchability and self-healing capability of the material.", "author" : [ { "dropping-particle" : "", "family" : "Li", "given" : "Cheng-Hui", "non-dropping-particle" : "", "parse-names" : false, "suffix" : "" }, { "dropping-particle" : "", "family" : "Wang", "given" : "Chao", "non-dropping-particle" : "", "parse-names" : false, "suffix" : "" }, { "dropping-particle" : "", "family" : "Keplinger", "given" : "Christoph", "non-dropping-particle" : "", "parse-names" : false, "suffix" : "" }, { "dropping-particle" : "", "family" : "Zuo", "given" : "Jing-Lin", "non-dropping-particle" : "", "parse-names" : false, "suffix" : "" }, { "dropping-particle" : "", "family" : "Jin", "given" : "Lihua", "non-dropping-particle" : "", "parse-names" : false, "suffix" : "" }, { "dropping-particle" : "", "family" : "Sun", "given" : "Yang", "non-dropping-particle" : "", "parse-names" : false, "suffix" : "" }, { "dropping-particle" : "", "family" : "Zheng", "given" : "Peng", "non-dropping-particle" : "", "parse-names" : false, "suffix" : "" }, { "dropping-particle" : "", "family" : "Cao", "given" : "Yi", "non-dropping-particle" : "", "parse-names" : false, "suffix" : "" }, { "dropping-particle" : "", "family" : "Lissel", "given" : "Franziska", "non-dropping-particle" : "", "parse-names" : false, "suffix" : "" }, { "dropping-particle" : "", "family" : "Linder", "given" : "Christian", "non-dropping-particle" : "", "parse-names" : false, "suffix" : "" }, { "dropping-particle" : "", "family" : "You", "given" : "Xiao-Zeng", "non-dropping-particle" : "", "parse-names" : false, "suffix" : "" }, { "dropping-particle" : "", "family" : "Bao", "given" : "Zhenan", "non-dropping-particle" : "", "parse-names" : false, "suffix" : "" } ], "container-title" : "Nature Chemistry", "id" : "ITEM-1", "issue" : "6", "issued" : { "date-parts" : [ [ "2016" ] ] }, "page" : "618-624", "publisher" : "Nature Publishing Group", "title" : "A highly stretchable autonomous self-healing elastomer", "type" : "article-journal", "volume" : "8" }, "uris" : [ "http://www.mendeley.com/documents/?uuid=8e42dfd3-7833-4626-a412-59d3f6826a12" ] } ], "mendeley" : { "formattedCitation" : "[136]", "plainTextFormattedCitation" : "[136]", "previouslyFormattedCitation" : "[136]" }, "properties" : {  }, "schema" : "https://github.com/citation-style-language/schema/raw/master/csl-citation.json" }</w:instrText>
      </w:r>
      <w:r w:rsidRPr="009C608D">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[136]</w:t>
      </w:r>
      <w:r w:rsidRPr="009C608D">
        <w:rPr>
          <w:rFonts w:ascii="Times New Roman" w:eastAsia="DengXian" w:hAnsi="Times New Roman" w:cs="Times New Roman"/>
          <w:sz w:val="24"/>
          <w:szCs w:val="24"/>
        </w:rPr>
        <w:fldChar w:fldCharType="end"/>
      </w:r>
      <w:r w:rsidRPr="009C608D">
        <w:rPr>
          <w:rFonts w:ascii="Times New Roman" w:eastAsia="DengXian" w:hAnsi="Times New Roman" w:cs="Times New Roman"/>
          <w:sz w:val="24"/>
          <w:szCs w:val="24"/>
        </w:rPr>
        <w:t xml:space="preserve">. For example, self-healing supramolecular polymers made from fatty diacid, triacid and diethylene triamine shows 34% recovery of extension after 15 min, and fully recovered after 3 h </w:t>
      </w:r>
      <w:r w:rsidRPr="009C608D">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"10.1038/nature06669", "ISBN" : "1476-4687 (Electronic)\\r0028-0836 (Linking)", "ISSN" : "0028-0836", "PMID" : "18288191", "abstract" : "Rubbers exhibit enormous extensibility up to several hundred per cent, compared with a few per cent for ordinary solids, and have the ability to recover their original shape and dimensions on release of stress. Rubber elasticity is a property of macromolecules that are either covalently cross-linked or connected in a network by physical associations such as small glassy or crystalline domains, ionic aggregates or multiple hydrogen bonds. Covalent cross-links or strong physical associations prevent flow and creep. Here we design and synthesize molecules that associate together to form both chains and cross-links via hydrogen bonds. The system shows recoverable extensibility up to several hundred per cent and little creep under load. In striking contrast to conventional cross-linked or thermoreversible rubbers made of macromolecules, these systems, when broken or cut, can be simply repaired by bringing together fractured surfaces to self-heal at room temperature. Repaired samples recuperate their enormous extensibility. The process of breaking and healing can be repeated many times. These materials can be easily processed, re-used and recycled. Their unique self-repairing properties, the simplicity of their synthesis, their availability from renewable resources and the low cost of raw ingredients (fatty acids and urea) bode well for future applications.", "author" : [ { "dropping-particle" : "", "family" : "Cordier", "given" : "Philippe", "non-dropping-particle" : "", "parse-names" : false, "suffix" : "" }, { "dropping-particle" : "", "family" : "Tournilhac", "given" : "Fran\u00e7ois", "non-dropping-particle" : "", "parse-names" : false, "suffix" : "" }, { "dropping-particle" : "", "family" : "Souli\u00e9-Ziakovic", "given" : "Corinne", "non-dropping-particle" : "", "parse-names" : false, "suffix" : "" }, { "dropping-particle" : "", "family" : "Leibler", "given" : "Ludwik", "non-dropping-particle" : "", "parse-names" : false, "suffix" : "" } ], "container-title" : "Nature", "id" : "ITEM-1", "issue" : "7181", "issued" : { "date-parts" : [ [ "2008" ] ] }, "page" : "977-980", "title" : "Self-healing and thermoreversible rubber from supramolecular assembly", "type" : "article-journal", "volume" : "451" }, "uris" : [ "http://www.mendeley.com/documents/?uuid=43ef4f89-6b75-410c-a873-1419b95175e9" ] } ], "mendeley" : { "formattedCitation" : "[139]", "plainTextFormattedCitation" : "[139]", "previouslyFormattedCitation" : "[139]" }, "properties" : {  }, "schema" : "https://github.com/citation-style-language/schema/raw/master/csl-citation.json" }</w:instrText>
      </w:r>
      <w:r w:rsidRPr="009C608D">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[139]</w:t>
      </w:r>
      <w:r w:rsidRPr="009C608D">
        <w:rPr>
          <w:rFonts w:ascii="Times New Roman" w:eastAsia="DengXian" w:hAnsi="Times New Roman" w:cs="Times New Roman"/>
          <w:sz w:val="24"/>
          <w:szCs w:val="24"/>
        </w:rPr>
        <w:fldChar w:fldCharType="end"/>
      </w:r>
      <w:r w:rsidRPr="009C608D">
        <w:rPr>
          <w:rFonts w:ascii="Times New Roman" w:eastAsia="DengXian" w:hAnsi="Times New Roman" w:cs="Times New Roman"/>
          <w:sz w:val="24"/>
          <w:szCs w:val="24"/>
        </w:rPr>
        <w:t>.  Amine-terminated hyperbranched polymer (HN-NH</w:t>
      </w:r>
      <w:r w:rsidRPr="009C608D">
        <w:rPr>
          <w:rFonts w:ascii="Times New Roman" w:eastAsia="DengXian" w:hAnsi="Times New Roman" w:cs="Times New Roman"/>
          <w:sz w:val="24"/>
          <w:szCs w:val="24"/>
          <w:vertAlign w:val="subscript"/>
        </w:rPr>
        <w:t>2</w:t>
      </w:r>
      <w:r w:rsidRPr="009C608D">
        <w:rPr>
          <w:rFonts w:ascii="Times New Roman" w:eastAsia="DengXian" w:hAnsi="Times New Roman" w:cs="Times New Roman"/>
          <w:sz w:val="24"/>
          <w:szCs w:val="24"/>
        </w:rPr>
        <w:t xml:space="preserve">) GO composite (1 wt.%) exhibited a fast healing speed, in which it can be healed to 60% of its original tensile strength and completed healing after 1 h </w:t>
      </w:r>
      <w:r w:rsidRPr="009C608D">
        <w:rPr>
          <w:rFonts w:ascii="Times New Roman" w:eastAsia="DengXian" w:hAnsi="Times New Roman" w:cs="Times New Roman"/>
          <w:sz w:val="24"/>
          <w:szCs w:val="24"/>
        </w:rPr>
        <w:fldChar w:fldCharType="begin" w:fldLock="1"/>
      </w:r>
      <w:r w:rsidR="00D14688">
        <w:rPr>
          <w:rFonts w:ascii="Times New Roman" w:eastAsia="DengXian" w:hAnsi="Times New Roman" w:cs="Times New Roman"/>
          <w:sz w:val="24"/>
          <w:szCs w:val="24"/>
        </w:rPr>
        <w:instrText>ADDIN CSL_CITATION { "citationItems" : [ { "id" : "ITEM-1", "itemData" : { "DOI" : "10.1002/adma.201302962", "ISBN" : "1521-4095 (Electronic)\\r0935-9648 (Linking)", "ISSN" : "09359648", "PMID" : "23946261", "abstract" : "A self-healing thermo-reversible elastomer is synthesized by cross-linking a hydrogen bonding polymer network with chemically-modified graphene oxide. This nanocomposite allows for both rapid and efficient self-healing (in only several minutes) at room temperature, without the need for any external stimuli (e.g., heating or light exposure), healing agents, plasticizers or solvents.", "author" : [ { "dropping-particle" : "", "family" : "Wang", "given" : "Chao", "non-dropping-particle" : "", "parse-names" : false, "suffix" : "" }, { "dropping-particle" : "", "family" : "Liu", "given" : "Nan", "non-dropping-particle" : "", "parse-names" : false, "suffix" : "" }, { "dropping-particle" : "", "family" : "Allen", "given" : "Ranulfo", "non-dropping-particle" : "", "parse-names" : false, "suffix" : "" }, { "dropping-particle" : "", "family" : "Tok", "given" : "Jeffrey B.H. H", "non-dropping-particle" : "", "parse-names" : false, "suffix" : "" }, { "dropping-particle" : "", "family" : "Wu", "given" : "Yunpeng", "non-dropping-particle" : "", "parse-names" : false, "suffix" : "" }, { "dropping-particle" : "", "family" : "Zhang", "given" : "Fan", "non-dropping-particle" : "", "parse-names" : false, "suffix" : "" }, { "dropping-particle" : "", "family" : "Chen", "given" : "Yongsheng", "non-dropping-particle" : "", "parse-names" : false, "suffix" : "" }, { "dropping-particle" : "", "family" : "Bao", "given" : "Zhenan", "non-dropping-particle" : "", "parse-names" : false, "suffix" : "" } ], "container-title" : "Advanced Materials", "id" : "ITEM-1", "issue" : "40", "issued" : { "date-parts" : [ [ "2013" ] ] }, "page" : "5785-5790", "title" : "A rapid and efficient self-healing thermo-reversible elastomer crosslinked with graphene oxide", "type" : "article-journal", "volume" : "25" }, "uris" : [ "http://www.mendeley.com/documents/?uuid=c6119f47-655c-4db2-9140-d5126b5d384c" ] } ], "mendeley" : { "formattedCitation" : "[135]", "plainTextFormattedCitation" : "[135]", "previouslyFormattedCitation" : "[135]" }, "properties" : {  }, "schema" : "https://github.com/citation-style-language/schema/raw/master/csl-citation.json" }</w:instrText>
      </w:r>
      <w:r w:rsidRPr="009C608D">
        <w:rPr>
          <w:rFonts w:ascii="Times New Roman" w:eastAsia="DengXian" w:hAnsi="Times New Roman" w:cs="Times New Roman"/>
          <w:sz w:val="24"/>
          <w:szCs w:val="24"/>
        </w:rPr>
        <w:fldChar w:fldCharType="separate"/>
      </w:r>
      <w:r w:rsidR="00D973A8" w:rsidRPr="00D973A8">
        <w:rPr>
          <w:rFonts w:ascii="Times New Roman" w:eastAsia="DengXian" w:hAnsi="Times New Roman" w:cs="Times New Roman"/>
          <w:noProof/>
          <w:sz w:val="24"/>
          <w:szCs w:val="24"/>
        </w:rPr>
        <w:t>[135]</w:t>
      </w:r>
      <w:r w:rsidRPr="009C608D">
        <w:rPr>
          <w:rFonts w:ascii="Times New Roman" w:eastAsia="DengXian" w:hAnsi="Times New Roman" w:cs="Times New Roman"/>
          <w:sz w:val="24"/>
          <w:szCs w:val="24"/>
        </w:rPr>
        <w:fldChar w:fldCharType="end"/>
      </w:r>
      <w:r w:rsidRPr="009C608D">
        <w:rPr>
          <w:rFonts w:ascii="Times New Roman" w:eastAsia="DengXian" w:hAnsi="Times New Roman" w:cs="Times New Roman"/>
          <w:sz w:val="24"/>
          <w:szCs w:val="24"/>
        </w:rPr>
        <w:t xml:space="preserve">. In </w:t>
      </w:r>
      <w:r w:rsidR="001E4493">
        <w:rPr>
          <w:rFonts w:ascii="Times New Roman" w:eastAsia="DengXian" w:hAnsi="Times New Roman" w:cs="Times New Roman"/>
          <w:sz w:val="24"/>
          <w:szCs w:val="24"/>
        </w:rPr>
        <w:t>this</w:t>
      </w:r>
      <w:r w:rsidR="001E4493" w:rsidRPr="009C608D">
        <w:rPr>
          <w:rFonts w:ascii="Times New Roman" w:eastAsia="DengXian" w:hAnsi="Times New Roman" w:cs="Times New Roman"/>
          <w:sz w:val="24"/>
          <w:szCs w:val="24"/>
        </w:rPr>
        <w:t xml:space="preserve"> </w:t>
      </w:r>
      <w:r w:rsidRPr="009C608D">
        <w:rPr>
          <w:rFonts w:ascii="Times New Roman" w:eastAsia="DengXian" w:hAnsi="Times New Roman" w:cs="Times New Roman"/>
          <w:sz w:val="24"/>
          <w:szCs w:val="24"/>
        </w:rPr>
        <w:t>work, HBPE and HBPE/P-rGO nanocomposites showed relatively lower self-healing capacity. This presumably because that the hydrogen bonding formed between carbonyl groups and hydroxyl groups are weaker than that formed from carbonyl groups and amine groups.</w:t>
      </w:r>
    </w:p>
    <w:p w14:paraId="66A012DE" w14:textId="77777777" w:rsidR="006F38AE" w:rsidRPr="001A5452" w:rsidRDefault="006F38AE" w:rsidP="006F38AE">
      <w:pPr>
        <w:spacing w:after="0" w:line="480" w:lineRule="auto"/>
        <w:ind w:left="-180" w:firstLine="180"/>
        <w:jc w:val="center"/>
        <w:rPr>
          <w:rFonts w:ascii="Times New Roman" w:eastAsia="DengXian" w:hAnsi="Times New Roman" w:cs="Times New Roman"/>
        </w:rPr>
      </w:pPr>
      <w:r w:rsidRPr="001A5452">
        <w:rPr>
          <w:rFonts w:ascii="Times New Roman" w:eastAsia="DengXian" w:hAnsi="Times New Roman" w:cs="Times New Roman"/>
          <w:noProof/>
          <w:lang w:val="en-GB"/>
        </w:rPr>
        <w:drawing>
          <wp:inline distT="0" distB="0" distL="0" distR="0" wp14:anchorId="5905EC41" wp14:editId="6593E5A7">
            <wp:extent cx="6152659" cy="453368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73209" cy="4548827"/>
                    </a:xfrm>
                    <a:prstGeom prst="rect">
                      <a:avLst/>
                    </a:prstGeom>
                    <a:noFill/>
                  </pic:spPr>
                </pic:pic>
              </a:graphicData>
            </a:graphic>
          </wp:inline>
        </w:drawing>
      </w:r>
    </w:p>
    <w:p w14:paraId="2600C33D" w14:textId="743825E5" w:rsidR="006F38AE" w:rsidRDefault="00617825" w:rsidP="0065721F">
      <w:pPr>
        <w:pStyle w:val="Caption"/>
        <w:ind w:firstLine="0"/>
        <w:rPr>
          <w:rFonts w:eastAsia="DengXian" w:cs="Times New Roman"/>
          <w:szCs w:val="24"/>
        </w:rPr>
      </w:pPr>
      <w:bookmarkStart w:id="306" w:name="_Toc502662574"/>
      <w:bookmarkStart w:id="307" w:name="_Toc502662686"/>
      <w:bookmarkStart w:id="308" w:name="_Toc518823437"/>
      <w:r>
        <w:t>Figure 6</w:t>
      </w:r>
      <w:r w:rsidR="00387E17">
        <w:t>.</w:t>
      </w:r>
      <w:r w:rsidR="0065721F">
        <w:fldChar w:fldCharType="begin"/>
      </w:r>
      <w:r w:rsidR="0065721F">
        <w:instrText xml:space="preserve"> SEQ Figure_6. \* ARABIC </w:instrText>
      </w:r>
      <w:r w:rsidR="0065721F">
        <w:fldChar w:fldCharType="separate"/>
      </w:r>
      <w:r w:rsidR="00551ED9">
        <w:rPr>
          <w:noProof/>
        </w:rPr>
        <w:t>21</w:t>
      </w:r>
      <w:r w:rsidR="0065721F">
        <w:fldChar w:fldCharType="end"/>
      </w:r>
      <w:r w:rsidR="006F38AE" w:rsidRPr="00387E17">
        <w:rPr>
          <w:rFonts w:eastAsia="DengXian" w:cs="Times New Roman"/>
          <w:szCs w:val="24"/>
        </w:rPr>
        <w:t xml:space="preserve">. </w:t>
      </w:r>
      <w:r w:rsidR="006F38AE" w:rsidRPr="001A5452">
        <w:rPr>
          <w:rFonts w:eastAsia="DengXian" w:cs="Times New Roman"/>
          <w:szCs w:val="24"/>
        </w:rPr>
        <w:t>Self-healing properties: Stress–strain properties of HBPE and HBPE/P-rGO nanocomposites.</w:t>
      </w:r>
      <w:bookmarkEnd w:id="306"/>
      <w:bookmarkEnd w:id="307"/>
      <w:bookmarkEnd w:id="308"/>
    </w:p>
    <w:p w14:paraId="064EC6EB" w14:textId="77777777" w:rsidR="00B14E10" w:rsidRDefault="00B14E10" w:rsidP="006F38AE">
      <w:pPr>
        <w:spacing w:after="0" w:line="480" w:lineRule="auto"/>
        <w:ind w:left="180"/>
        <w:rPr>
          <w:rFonts w:ascii="Times New Roman" w:eastAsia="DengXian" w:hAnsi="Times New Roman" w:cs="Times New Roman"/>
          <w:sz w:val="24"/>
          <w:szCs w:val="24"/>
        </w:rPr>
      </w:pPr>
    </w:p>
    <w:p w14:paraId="6C45066D" w14:textId="7B8F9025" w:rsidR="00B14E10" w:rsidRDefault="00B14E10" w:rsidP="0065721F">
      <w:pPr>
        <w:spacing w:after="0" w:line="480" w:lineRule="auto"/>
        <w:rPr>
          <w:rFonts w:ascii="Times New Roman" w:eastAsia="DengXian" w:hAnsi="Times New Roman" w:cs="Times New Roman"/>
          <w:sz w:val="24"/>
          <w:szCs w:val="24"/>
        </w:rPr>
      </w:pPr>
    </w:p>
    <w:p w14:paraId="121DF770" w14:textId="3E7B6869" w:rsidR="006F38AE" w:rsidRPr="001A5452" w:rsidRDefault="00617825" w:rsidP="0065721F">
      <w:pPr>
        <w:pStyle w:val="Caption"/>
        <w:ind w:firstLine="0"/>
        <w:rPr>
          <w:rFonts w:eastAsia="DengXian" w:cs="Times New Roman"/>
          <w:szCs w:val="24"/>
        </w:rPr>
      </w:pPr>
      <w:bookmarkStart w:id="309" w:name="_Toc502660890"/>
      <w:bookmarkStart w:id="310" w:name="_Toc502660961"/>
      <w:bookmarkStart w:id="311" w:name="_Toc502661183"/>
      <w:bookmarkStart w:id="312" w:name="_Toc518823480"/>
      <w:r>
        <w:t>Table 6</w:t>
      </w:r>
      <w:r w:rsidR="00387E17">
        <w:t>.</w:t>
      </w:r>
      <w:r w:rsidR="0065721F">
        <w:fldChar w:fldCharType="begin"/>
      </w:r>
      <w:r w:rsidR="0065721F">
        <w:instrText xml:space="preserve"> SEQ Table_6. \* ARABIC </w:instrText>
      </w:r>
      <w:r w:rsidR="0065721F">
        <w:fldChar w:fldCharType="separate"/>
      </w:r>
      <w:r w:rsidR="00551ED9">
        <w:rPr>
          <w:noProof/>
        </w:rPr>
        <w:t>5</w:t>
      </w:r>
      <w:r w:rsidR="0065721F">
        <w:fldChar w:fldCharType="end"/>
      </w:r>
      <w:r w:rsidR="006F38AE" w:rsidRPr="00387E17">
        <w:rPr>
          <w:rFonts w:eastAsia="DengXian" w:cs="Times New Roman"/>
          <w:szCs w:val="24"/>
        </w:rPr>
        <w:t>.</w:t>
      </w:r>
      <w:r w:rsidR="006F38AE" w:rsidRPr="001A5452">
        <w:rPr>
          <w:rFonts w:eastAsia="DengXian" w:cs="Times New Roman"/>
          <w:b w:val="0"/>
          <w:szCs w:val="24"/>
        </w:rPr>
        <w:t xml:space="preserve"> </w:t>
      </w:r>
      <w:r w:rsidR="006F38AE" w:rsidRPr="009C608D">
        <w:rPr>
          <w:rFonts w:eastAsia="DengXian" w:cs="Times New Roman"/>
          <w:szCs w:val="24"/>
        </w:rPr>
        <w:t>Summary of self-healing properties of HBPE and HBPE/P-rGO nanocomposites</w:t>
      </w:r>
      <w:r w:rsidR="006F38AE" w:rsidRPr="009C608D" w:rsidDel="003366AC">
        <w:rPr>
          <w:rFonts w:eastAsia="DengXian" w:cs="Times New Roman"/>
          <w:szCs w:val="24"/>
        </w:rPr>
        <w:t xml:space="preserve"> </w:t>
      </w:r>
      <w:r w:rsidR="006F38AE" w:rsidRPr="009C608D">
        <w:rPr>
          <w:rFonts w:eastAsia="DengXian" w:cs="Times New Roman"/>
          <w:szCs w:val="24"/>
        </w:rPr>
        <w:t>at different P-rGO loadings</w:t>
      </w:r>
      <w:r w:rsidR="009C608D">
        <w:rPr>
          <w:rFonts w:eastAsia="DengXian" w:cs="Times New Roman"/>
          <w:szCs w:val="24"/>
        </w:rPr>
        <w:t>.</w:t>
      </w:r>
      <w:bookmarkEnd w:id="309"/>
      <w:bookmarkEnd w:id="310"/>
      <w:bookmarkEnd w:id="311"/>
      <w:bookmarkEnd w:id="312"/>
    </w:p>
    <w:tbl>
      <w:tblPr>
        <w:tblStyle w:val="TableGrid2"/>
        <w:tblW w:w="10071" w:type="dxa"/>
        <w:jc w:val="center"/>
        <w:tblBorders>
          <w:top w:val="single" w:sz="8" w:space="0" w:color="000000"/>
          <w:left w:val="single" w:sz="8" w:space="0" w:color="000000"/>
          <w:bottom w:val="single" w:sz="8" w:space="0" w:color="000000"/>
          <w:right w:val="single" w:sz="8" w:space="0" w:color="000000"/>
          <w:insideH w:val="none" w:sz="0" w:space="0" w:color="auto"/>
          <w:insideV w:val="none" w:sz="0" w:space="0" w:color="auto"/>
        </w:tblBorders>
        <w:tblLayout w:type="fixed"/>
        <w:tblLook w:val="04A0" w:firstRow="1" w:lastRow="0" w:firstColumn="1" w:lastColumn="0" w:noHBand="0" w:noVBand="1"/>
      </w:tblPr>
      <w:tblGrid>
        <w:gridCol w:w="1435"/>
        <w:gridCol w:w="881"/>
        <w:gridCol w:w="1006"/>
        <w:gridCol w:w="1244"/>
        <w:gridCol w:w="1021"/>
        <w:gridCol w:w="1121"/>
        <w:gridCol w:w="1217"/>
        <w:gridCol w:w="1025"/>
        <w:gridCol w:w="1121"/>
      </w:tblGrid>
      <w:tr w:rsidR="006F38AE" w:rsidRPr="001A5452" w14:paraId="3653F412" w14:textId="77777777" w:rsidTr="0040138E">
        <w:trPr>
          <w:trHeight w:val="809"/>
          <w:jc w:val="center"/>
        </w:trPr>
        <w:tc>
          <w:tcPr>
            <w:tcW w:w="1435" w:type="dxa"/>
            <w:vMerge w:val="restart"/>
            <w:tcBorders>
              <w:top w:val="single" w:sz="8" w:space="0" w:color="000000"/>
              <w:left w:val="nil"/>
              <w:right w:val="nil"/>
            </w:tcBorders>
          </w:tcPr>
          <w:p w14:paraId="22AA2C4D" w14:textId="77777777" w:rsidR="006F38AE" w:rsidRPr="001A5452" w:rsidRDefault="006F38AE" w:rsidP="006F38AE">
            <w:pPr>
              <w:tabs>
                <w:tab w:val="center" w:pos="4680"/>
                <w:tab w:val="right" w:pos="9360"/>
              </w:tabs>
              <w:spacing w:line="360" w:lineRule="auto"/>
              <w:ind w:left="-110"/>
              <w:contextualSpacing/>
              <w:jc w:val="center"/>
              <w:rPr>
                <w:rFonts w:ascii="Times New Roman" w:eastAsia="DengXian" w:hAnsi="Times New Roman" w:cs="Times New Roman"/>
                <w:sz w:val="20"/>
                <w:szCs w:val="20"/>
              </w:rPr>
            </w:pPr>
          </w:p>
        </w:tc>
        <w:tc>
          <w:tcPr>
            <w:tcW w:w="1887" w:type="dxa"/>
            <w:gridSpan w:val="2"/>
            <w:tcBorders>
              <w:top w:val="single" w:sz="8" w:space="0" w:color="000000"/>
              <w:left w:val="nil"/>
              <w:bottom w:val="single" w:sz="8" w:space="0" w:color="000000"/>
            </w:tcBorders>
            <w:vAlign w:val="center"/>
          </w:tcPr>
          <w:p w14:paraId="75724AAE" w14:textId="77777777" w:rsidR="006F38AE" w:rsidRPr="001A5452" w:rsidRDefault="006F38AE" w:rsidP="006F38AE">
            <w:pPr>
              <w:tabs>
                <w:tab w:val="center" w:pos="4680"/>
                <w:tab w:val="right" w:pos="9360"/>
              </w:tabs>
              <w:spacing w:line="360" w:lineRule="auto"/>
              <w:ind w:firstLine="3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Restoration </w:t>
            </w:r>
          </w:p>
          <w:p w14:paraId="3CA7E4B4" w14:textId="77777777" w:rsidR="006F38AE" w:rsidRPr="001A5452" w:rsidRDefault="006F38AE" w:rsidP="006F38AE">
            <w:pPr>
              <w:tabs>
                <w:tab w:val="center" w:pos="4680"/>
                <w:tab w:val="right" w:pos="9360"/>
              </w:tabs>
              <w:spacing w:line="360" w:lineRule="auto"/>
              <w:ind w:firstLine="3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(Young’s modulus)</w:t>
            </w:r>
          </w:p>
          <w:p w14:paraId="0FFDB206"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b/>
                <w:sz w:val="20"/>
                <w:szCs w:val="20"/>
              </w:rPr>
            </w:pPr>
          </w:p>
        </w:tc>
        <w:tc>
          <w:tcPr>
            <w:tcW w:w="2265" w:type="dxa"/>
            <w:gridSpan w:val="2"/>
            <w:tcBorders>
              <w:top w:val="single" w:sz="8" w:space="0" w:color="000000"/>
              <w:bottom w:val="single" w:sz="8" w:space="0" w:color="000000"/>
            </w:tcBorders>
            <w:vAlign w:val="center"/>
          </w:tcPr>
          <w:p w14:paraId="12A3417C" w14:textId="77777777" w:rsidR="006F38AE" w:rsidRPr="001A5452" w:rsidRDefault="006F38AE" w:rsidP="006F38AE">
            <w:pPr>
              <w:tabs>
                <w:tab w:val="center" w:pos="4680"/>
                <w:tab w:val="right" w:pos="9360"/>
              </w:tabs>
              <w:spacing w:line="360" w:lineRule="auto"/>
              <w:ind w:firstLine="3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Restoration </w:t>
            </w:r>
          </w:p>
          <w:p w14:paraId="1C13F975" w14:textId="77777777" w:rsidR="006F38AE" w:rsidRPr="001A5452" w:rsidRDefault="006F38AE" w:rsidP="006F38AE">
            <w:pPr>
              <w:tabs>
                <w:tab w:val="center" w:pos="4680"/>
                <w:tab w:val="right" w:pos="9360"/>
              </w:tabs>
              <w:spacing w:line="360" w:lineRule="auto"/>
              <w:ind w:firstLine="7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(Tensile strength)</w:t>
            </w:r>
          </w:p>
          <w:p w14:paraId="4555B4F3"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b/>
                <w:sz w:val="20"/>
                <w:szCs w:val="20"/>
              </w:rPr>
            </w:pPr>
          </w:p>
        </w:tc>
        <w:tc>
          <w:tcPr>
            <w:tcW w:w="2338" w:type="dxa"/>
            <w:gridSpan w:val="2"/>
            <w:tcBorders>
              <w:top w:val="single" w:sz="8" w:space="0" w:color="000000"/>
              <w:bottom w:val="single" w:sz="8" w:space="0" w:color="000000"/>
            </w:tcBorders>
            <w:vAlign w:val="center"/>
          </w:tcPr>
          <w:p w14:paraId="040BB801" w14:textId="77777777" w:rsidR="006F38AE" w:rsidRPr="001A5452" w:rsidRDefault="006F38AE" w:rsidP="006F38AE">
            <w:pPr>
              <w:tabs>
                <w:tab w:val="center" w:pos="4680"/>
                <w:tab w:val="right" w:pos="9360"/>
              </w:tabs>
              <w:spacing w:line="360" w:lineRule="auto"/>
              <w:ind w:firstLine="3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Restoration </w:t>
            </w:r>
          </w:p>
          <w:p w14:paraId="509EBD27" w14:textId="77777777" w:rsidR="006F38AE" w:rsidRPr="001A5452" w:rsidRDefault="006F38AE" w:rsidP="006F38AE">
            <w:pPr>
              <w:tabs>
                <w:tab w:val="center" w:pos="4680"/>
                <w:tab w:val="right" w:pos="9360"/>
              </w:tabs>
              <w:spacing w:line="360" w:lineRule="auto"/>
              <w:ind w:firstLine="15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(Elongation at break)</w:t>
            </w:r>
          </w:p>
          <w:p w14:paraId="74CB633F"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b/>
                <w:sz w:val="20"/>
                <w:szCs w:val="20"/>
              </w:rPr>
            </w:pPr>
          </w:p>
        </w:tc>
        <w:tc>
          <w:tcPr>
            <w:tcW w:w="2146" w:type="dxa"/>
            <w:gridSpan w:val="2"/>
            <w:tcBorders>
              <w:top w:val="single" w:sz="8" w:space="0" w:color="000000"/>
              <w:bottom w:val="single" w:sz="8" w:space="0" w:color="000000"/>
              <w:right w:val="nil"/>
            </w:tcBorders>
            <w:vAlign w:val="center"/>
          </w:tcPr>
          <w:p w14:paraId="39AB5F2C" w14:textId="77777777" w:rsidR="006F38AE" w:rsidRPr="001A5452" w:rsidRDefault="006F38AE" w:rsidP="006F38AE">
            <w:pPr>
              <w:tabs>
                <w:tab w:val="center" w:pos="4680"/>
                <w:tab w:val="right" w:pos="9360"/>
              </w:tabs>
              <w:spacing w:line="360" w:lineRule="auto"/>
              <w:ind w:firstLine="7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Efficiency</w:t>
            </w:r>
          </w:p>
          <w:p w14:paraId="7E6EFB6A" w14:textId="77777777" w:rsidR="006F38AE" w:rsidRPr="001A5452" w:rsidRDefault="006F38AE" w:rsidP="006F38AE">
            <w:pPr>
              <w:tabs>
                <w:tab w:val="center" w:pos="4680"/>
                <w:tab w:val="right" w:pos="9360"/>
              </w:tabs>
              <w:spacing w:line="360" w:lineRule="auto"/>
              <w:ind w:firstLine="16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(Energy at break)</w:t>
            </w:r>
          </w:p>
          <w:p w14:paraId="02B008F3" w14:textId="77777777" w:rsidR="006F38AE" w:rsidRPr="001A5452" w:rsidRDefault="006F38AE" w:rsidP="006F38AE">
            <w:pPr>
              <w:tabs>
                <w:tab w:val="center" w:pos="4680"/>
                <w:tab w:val="right" w:pos="9360"/>
              </w:tabs>
              <w:spacing w:line="360" w:lineRule="auto"/>
              <w:contextualSpacing/>
              <w:jc w:val="center"/>
              <w:rPr>
                <w:rFonts w:ascii="Times New Roman" w:eastAsia="DengXian" w:hAnsi="Times New Roman" w:cs="Times New Roman"/>
                <w:b/>
                <w:sz w:val="20"/>
                <w:szCs w:val="20"/>
              </w:rPr>
            </w:pPr>
          </w:p>
        </w:tc>
      </w:tr>
      <w:tr w:rsidR="006F38AE" w:rsidRPr="001A5452" w14:paraId="48E0DABA" w14:textId="77777777" w:rsidTr="0040138E">
        <w:trPr>
          <w:jc w:val="center"/>
        </w:trPr>
        <w:tc>
          <w:tcPr>
            <w:tcW w:w="1435" w:type="dxa"/>
            <w:vMerge/>
            <w:tcBorders>
              <w:left w:val="nil"/>
              <w:bottom w:val="single" w:sz="4" w:space="0" w:color="auto"/>
              <w:right w:val="nil"/>
            </w:tcBorders>
          </w:tcPr>
          <w:p w14:paraId="4DC72D4F" w14:textId="77777777" w:rsidR="006F38AE" w:rsidRPr="001A5452" w:rsidRDefault="006F38AE" w:rsidP="006F38AE">
            <w:pPr>
              <w:tabs>
                <w:tab w:val="center" w:pos="4680"/>
                <w:tab w:val="right" w:pos="9360"/>
              </w:tabs>
              <w:spacing w:line="360" w:lineRule="auto"/>
              <w:ind w:left="-110"/>
              <w:contextualSpacing/>
              <w:jc w:val="center"/>
              <w:rPr>
                <w:rFonts w:ascii="Times New Roman" w:eastAsia="DengXian" w:hAnsi="Times New Roman" w:cs="Times New Roman"/>
                <w:sz w:val="20"/>
                <w:szCs w:val="20"/>
              </w:rPr>
            </w:pPr>
          </w:p>
        </w:tc>
        <w:tc>
          <w:tcPr>
            <w:tcW w:w="881" w:type="dxa"/>
            <w:tcBorders>
              <w:top w:val="single" w:sz="8" w:space="0" w:color="000000"/>
              <w:left w:val="nil"/>
              <w:bottom w:val="single" w:sz="4" w:space="0" w:color="auto"/>
            </w:tcBorders>
          </w:tcPr>
          <w:p w14:paraId="6D220737" w14:textId="77777777" w:rsidR="006F38AE" w:rsidRPr="001A5452" w:rsidRDefault="006F38AE" w:rsidP="006F38AE">
            <w:pPr>
              <w:tabs>
                <w:tab w:val="center" w:pos="4680"/>
                <w:tab w:val="right" w:pos="9360"/>
              </w:tabs>
              <w:spacing w:line="360" w:lineRule="auto"/>
              <w:ind w:hanging="6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10 min</w:t>
            </w:r>
          </w:p>
        </w:tc>
        <w:tc>
          <w:tcPr>
            <w:tcW w:w="1006" w:type="dxa"/>
            <w:tcBorders>
              <w:top w:val="single" w:sz="8" w:space="0" w:color="000000"/>
              <w:bottom w:val="single" w:sz="4" w:space="0" w:color="auto"/>
            </w:tcBorders>
            <w:vAlign w:val="center"/>
          </w:tcPr>
          <w:p w14:paraId="4D7BA8D0" w14:textId="77777777" w:rsidR="006F38AE" w:rsidRPr="001A5452" w:rsidRDefault="006F38AE" w:rsidP="006F38AE">
            <w:pPr>
              <w:tabs>
                <w:tab w:val="center" w:pos="4680"/>
                <w:tab w:val="right" w:pos="9360"/>
              </w:tabs>
              <w:spacing w:line="360" w:lineRule="auto"/>
              <w:ind w:hanging="36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24 h</w:t>
            </w:r>
          </w:p>
        </w:tc>
        <w:tc>
          <w:tcPr>
            <w:tcW w:w="1244" w:type="dxa"/>
            <w:tcBorders>
              <w:top w:val="single" w:sz="8" w:space="0" w:color="000000"/>
              <w:bottom w:val="single" w:sz="4" w:space="0" w:color="auto"/>
            </w:tcBorders>
          </w:tcPr>
          <w:p w14:paraId="1C0819B1" w14:textId="77777777" w:rsidR="006F38AE" w:rsidRPr="001A5452" w:rsidRDefault="006F38AE" w:rsidP="006F38AE">
            <w:pPr>
              <w:tabs>
                <w:tab w:val="center" w:pos="4680"/>
                <w:tab w:val="right" w:pos="9360"/>
              </w:tabs>
              <w:spacing w:line="360" w:lineRule="auto"/>
              <w:ind w:hanging="29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10 min</w:t>
            </w:r>
          </w:p>
        </w:tc>
        <w:tc>
          <w:tcPr>
            <w:tcW w:w="1021" w:type="dxa"/>
            <w:tcBorders>
              <w:top w:val="single" w:sz="8" w:space="0" w:color="000000"/>
              <w:bottom w:val="single" w:sz="4" w:space="0" w:color="auto"/>
            </w:tcBorders>
          </w:tcPr>
          <w:p w14:paraId="7DCE64E0" w14:textId="77777777" w:rsidR="006F38AE" w:rsidRPr="001A5452" w:rsidRDefault="006F38AE" w:rsidP="006F38AE">
            <w:pPr>
              <w:tabs>
                <w:tab w:val="center" w:pos="4680"/>
                <w:tab w:val="right" w:pos="9360"/>
              </w:tabs>
              <w:spacing w:line="360" w:lineRule="auto"/>
              <w:ind w:hanging="43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24 h</w:t>
            </w:r>
          </w:p>
        </w:tc>
        <w:tc>
          <w:tcPr>
            <w:tcW w:w="1121" w:type="dxa"/>
            <w:tcBorders>
              <w:top w:val="single" w:sz="8" w:space="0" w:color="000000"/>
              <w:bottom w:val="single" w:sz="4" w:space="0" w:color="auto"/>
            </w:tcBorders>
          </w:tcPr>
          <w:p w14:paraId="7200F3D0" w14:textId="77777777" w:rsidR="006F38AE" w:rsidRPr="001A5452" w:rsidRDefault="006F38AE" w:rsidP="006F38AE">
            <w:pPr>
              <w:tabs>
                <w:tab w:val="center" w:pos="4680"/>
                <w:tab w:val="right" w:pos="9360"/>
              </w:tabs>
              <w:spacing w:line="360" w:lineRule="auto"/>
              <w:ind w:hanging="21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10 min</w:t>
            </w:r>
          </w:p>
        </w:tc>
        <w:tc>
          <w:tcPr>
            <w:tcW w:w="1217" w:type="dxa"/>
            <w:tcBorders>
              <w:top w:val="single" w:sz="8" w:space="0" w:color="000000"/>
              <w:bottom w:val="single" w:sz="4" w:space="0" w:color="auto"/>
            </w:tcBorders>
          </w:tcPr>
          <w:p w14:paraId="299657F1" w14:textId="77777777" w:rsidR="006F38AE" w:rsidRPr="001A5452" w:rsidRDefault="006F38AE" w:rsidP="006F38AE">
            <w:pPr>
              <w:tabs>
                <w:tab w:val="center" w:pos="4680"/>
                <w:tab w:val="right" w:pos="9360"/>
              </w:tabs>
              <w:spacing w:line="360" w:lineRule="auto"/>
              <w:ind w:hanging="43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24 h</w:t>
            </w:r>
          </w:p>
        </w:tc>
        <w:tc>
          <w:tcPr>
            <w:tcW w:w="1025" w:type="dxa"/>
            <w:tcBorders>
              <w:top w:val="single" w:sz="8" w:space="0" w:color="000000"/>
              <w:bottom w:val="single" w:sz="4" w:space="0" w:color="auto"/>
            </w:tcBorders>
          </w:tcPr>
          <w:p w14:paraId="07B88941" w14:textId="77777777" w:rsidR="006F38AE" w:rsidRPr="001A5452" w:rsidRDefault="006F38AE" w:rsidP="006F38AE">
            <w:pPr>
              <w:tabs>
                <w:tab w:val="center" w:pos="4680"/>
                <w:tab w:val="right" w:pos="9360"/>
              </w:tabs>
              <w:spacing w:line="360" w:lineRule="auto"/>
              <w:ind w:hanging="20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10 min</w:t>
            </w:r>
          </w:p>
        </w:tc>
        <w:tc>
          <w:tcPr>
            <w:tcW w:w="1121" w:type="dxa"/>
            <w:tcBorders>
              <w:top w:val="single" w:sz="8" w:space="0" w:color="000000"/>
              <w:bottom w:val="single" w:sz="4" w:space="0" w:color="auto"/>
              <w:right w:val="nil"/>
            </w:tcBorders>
          </w:tcPr>
          <w:p w14:paraId="4D7627C7" w14:textId="77777777" w:rsidR="006F38AE" w:rsidRPr="001A5452" w:rsidRDefault="006F38AE" w:rsidP="006F38AE">
            <w:pPr>
              <w:tabs>
                <w:tab w:val="center" w:pos="4680"/>
                <w:tab w:val="right" w:pos="9360"/>
              </w:tabs>
              <w:spacing w:line="360" w:lineRule="auto"/>
              <w:ind w:hanging="51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 xml:space="preserve">        24 h</w:t>
            </w:r>
          </w:p>
        </w:tc>
      </w:tr>
      <w:tr w:rsidR="006F38AE" w:rsidRPr="001A5452" w14:paraId="3F1ED627" w14:textId="77777777" w:rsidTr="0040138E">
        <w:trPr>
          <w:jc w:val="center"/>
        </w:trPr>
        <w:tc>
          <w:tcPr>
            <w:tcW w:w="1435" w:type="dxa"/>
            <w:tcBorders>
              <w:top w:val="single" w:sz="4" w:space="0" w:color="auto"/>
              <w:left w:val="nil"/>
              <w:bottom w:val="nil"/>
              <w:right w:val="nil"/>
            </w:tcBorders>
          </w:tcPr>
          <w:p w14:paraId="7533FED0" w14:textId="77777777" w:rsidR="006F38AE" w:rsidRPr="001A5452" w:rsidRDefault="006F38AE" w:rsidP="006F38AE">
            <w:pPr>
              <w:tabs>
                <w:tab w:val="center" w:pos="4680"/>
                <w:tab w:val="right" w:pos="9360"/>
              </w:tabs>
              <w:spacing w:line="360" w:lineRule="auto"/>
              <w:ind w:left="-11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HBPE</w:t>
            </w:r>
          </w:p>
        </w:tc>
        <w:tc>
          <w:tcPr>
            <w:tcW w:w="881" w:type="dxa"/>
            <w:tcBorders>
              <w:top w:val="single" w:sz="4" w:space="0" w:color="auto"/>
              <w:left w:val="nil"/>
            </w:tcBorders>
          </w:tcPr>
          <w:p w14:paraId="66C36B52" w14:textId="77777777" w:rsidR="006F38AE" w:rsidRPr="001A5452" w:rsidRDefault="006F38AE" w:rsidP="006F38AE">
            <w:pPr>
              <w:tabs>
                <w:tab w:val="center" w:pos="4680"/>
                <w:tab w:val="right" w:pos="9360"/>
              </w:tabs>
              <w:spacing w:line="360" w:lineRule="auto"/>
              <w:ind w:hanging="33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95.0%</w:t>
            </w:r>
          </w:p>
        </w:tc>
        <w:tc>
          <w:tcPr>
            <w:tcW w:w="1006" w:type="dxa"/>
            <w:tcBorders>
              <w:top w:val="single" w:sz="4" w:space="0" w:color="auto"/>
            </w:tcBorders>
          </w:tcPr>
          <w:p w14:paraId="71F90912" w14:textId="77777777" w:rsidR="006F38AE" w:rsidRPr="001A5452" w:rsidRDefault="006F38AE" w:rsidP="006F38AE">
            <w:pPr>
              <w:tabs>
                <w:tab w:val="center" w:pos="4680"/>
                <w:tab w:val="right" w:pos="9360"/>
              </w:tabs>
              <w:spacing w:line="360" w:lineRule="auto"/>
              <w:ind w:hanging="27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99.0%</w:t>
            </w:r>
          </w:p>
        </w:tc>
        <w:tc>
          <w:tcPr>
            <w:tcW w:w="1244" w:type="dxa"/>
            <w:tcBorders>
              <w:top w:val="single" w:sz="4" w:space="0" w:color="auto"/>
            </w:tcBorders>
          </w:tcPr>
          <w:p w14:paraId="79DDE109" w14:textId="77777777" w:rsidR="006F38AE" w:rsidRPr="001A5452" w:rsidRDefault="006F38AE" w:rsidP="006F38AE">
            <w:pPr>
              <w:tabs>
                <w:tab w:val="center" w:pos="4680"/>
                <w:tab w:val="right" w:pos="9360"/>
              </w:tabs>
              <w:spacing w:line="360" w:lineRule="auto"/>
              <w:ind w:hanging="38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37.9%</w:t>
            </w:r>
          </w:p>
        </w:tc>
        <w:tc>
          <w:tcPr>
            <w:tcW w:w="1021" w:type="dxa"/>
            <w:tcBorders>
              <w:top w:val="single" w:sz="4" w:space="0" w:color="auto"/>
            </w:tcBorders>
          </w:tcPr>
          <w:p w14:paraId="500F0CE1" w14:textId="77777777" w:rsidR="006F38AE" w:rsidRPr="001A5452" w:rsidRDefault="006F38AE" w:rsidP="006F38AE">
            <w:pPr>
              <w:tabs>
                <w:tab w:val="center" w:pos="4680"/>
                <w:tab w:val="right" w:pos="9360"/>
              </w:tabs>
              <w:spacing w:line="360" w:lineRule="auto"/>
              <w:ind w:hanging="34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43.0%</w:t>
            </w:r>
          </w:p>
        </w:tc>
        <w:tc>
          <w:tcPr>
            <w:tcW w:w="1121" w:type="dxa"/>
            <w:tcBorders>
              <w:top w:val="single" w:sz="4" w:space="0" w:color="auto"/>
            </w:tcBorders>
          </w:tcPr>
          <w:p w14:paraId="6C6E0241" w14:textId="77777777" w:rsidR="006F38AE" w:rsidRPr="001A5452" w:rsidRDefault="006F38AE" w:rsidP="006F38AE">
            <w:pPr>
              <w:tabs>
                <w:tab w:val="center" w:pos="4680"/>
                <w:tab w:val="right" w:pos="9360"/>
              </w:tabs>
              <w:spacing w:line="360" w:lineRule="auto"/>
              <w:ind w:hanging="21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49.1%</w:t>
            </w:r>
          </w:p>
        </w:tc>
        <w:tc>
          <w:tcPr>
            <w:tcW w:w="1217" w:type="dxa"/>
            <w:tcBorders>
              <w:top w:val="single" w:sz="4" w:space="0" w:color="auto"/>
            </w:tcBorders>
          </w:tcPr>
          <w:p w14:paraId="535974BE" w14:textId="77777777" w:rsidR="006F38AE" w:rsidRPr="001A5452" w:rsidRDefault="006F38AE" w:rsidP="006F38AE">
            <w:pPr>
              <w:tabs>
                <w:tab w:val="center" w:pos="4680"/>
                <w:tab w:val="right" w:pos="9360"/>
              </w:tabs>
              <w:spacing w:line="360" w:lineRule="auto"/>
              <w:ind w:hanging="16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64.7%</w:t>
            </w:r>
          </w:p>
        </w:tc>
        <w:tc>
          <w:tcPr>
            <w:tcW w:w="1025" w:type="dxa"/>
            <w:tcBorders>
              <w:top w:val="single" w:sz="4" w:space="0" w:color="auto"/>
            </w:tcBorders>
          </w:tcPr>
          <w:p w14:paraId="29E0840D" w14:textId="77777777" w:rsidR="006F38AE" w:rsidRPr="001A5452" w:rsidRDefault="006F38AE" w:rsidP="006F38AE">
            <w:pPr>
              <w:tabs>
                <w:tab w:val="center" w:pos="4680"/>
                <w:tab w:val="right" w:pos="9360"/>
              </w:tabs>
              <w:spacing w:line="360" w:lineRule="auto"/>
              <w:ind w:hanging="200"/>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5.8%</w:t>
            </w:r>
          </w:p>
        </w:tc>
        <w:tc>
          <w:tcPr>
            <w:tcW w:w="1121" w:type="dxa"/>
            <w:tcBorders>
              <w:top w:val="single" w:sz="4" w:space="0" w:color="auto"/>
              <w:bottom w:val="nil"/>
              <w:right w:val="nil"/>
            </w:tcBorders>
          </w:tcPr>
          <w:p w14:paraId="2536B733" w14:textId="77777777" w:rsidR="006F38AE" w:rsidRPr="001A5452" w:rsidRDefault="006F38AE" w:rsidP="006F38AE">
            <w:pPr>
              <w:tabs>
                <w:tab w:val="center" w:pos="4680"/>
                <w:tab w:val="right" w:pos="9360"/>
              </w:tabs>
              <w:spacing w:line="360" w:lineRule="auto"/>
              <w:ind w:hanging="24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40.5%</w:t>
            </w:r>
          </w:p>
        </w:tc>
      </w:tr>
      <w:tr w:rsidR="006F38AE" w:rsidRPr="001A5452" w14:paraId="62291D99" w14:textId="77777777" w:rsidTr="0040138E">
        <w:trPr>
          <w:jc w:val="center"/>
        </w:trPr>
        <w:tc>
          <w:tcPr>
            <w:tcW w:w="1435" w:type="dxa"/>
            <w:tcBorders>
              <w:top w:val="nil"/>
              <w:left w:val="nil"/>
              <w:bottom w:val="nil"/>
              <w:right w:val="nil"/>
            </w:tcBorders>
          </w:tcPr>
          <w:p w14:paraId="1D0A599B" w14:textId="140D65E3" w:rsidR="006F38AE" w:rsidRPr="001A5452" w:rsidRDefault="002C78C6" w:rsidP="006F38AE">
            <w:pPr>
              <w:tabs>
                <w:tab w:val="center" w:pos="4680"/>
                <w:tab w:val="right" w:pos="9360"/>
              </w:tabs>
              <w:spacing w:line="360" w:lineRule="auto"/>
              <w:ind w:left="-110" w:firstLine="90"/>
              <w:contextualSpacing/>
              <w:jc w:val="center"/>
              <w:rPr>
                <w:rFonts w:ascii="Times New Roman" w:eastAsia="DengXian" w:hAnsi="Times New Roman" w:cs="Times New Roman"/>
                <w:b/>
                <w:sz w:val="20"/>
                <w:szCs w:val="20"/>
              </w:rPr>
            </w:pPr>
            <w:r>
              <w:rPr>
                <w:rFonts w:ascii="Times New Roman" w:eastAsia="DengXian" w:hAnsi="Times New Roman" w:cs="Times New Roman"/>
                <w:b/>
                <w:sz w:val="20"/>
                <w:szCs w:val="20"/>
              </w:rPr>
              <w:t xml:space="preserve">     </w:t>
            </w:r>
            <w:r w:rsidR="006F38AE" w:rsidRPr="001A5452">
              <w:rPr>
                <w:rFonts w:ascii="Times New Roman" w:eastAsia="DengXian" w:hAnsi="Times New Roman" w:cs="Times New Roman"/>
                <w:b/>
                <w:sz w:val="20"/>
                <w:szCs w:val="20"/>
              </w:rPr>
              <w:t>0.01 wt.%</w:t>
            </w:r>
          </w:p>
        </w:tc>
        <w:tc>
          <w:tcPr>
            <w:tcW w:w="881" w:type="dxa"/>
            <w:tcBorders>
              <w:left w:val="nil"/>
            </w:tcBorders>
          </w:tcPr>
          <w:p w14:paraId="311C5511" w14:textId="77777777" w:rsidR="006F38AE" w:rsidRPr="001A5452" w:rsidRDefault="006F38AE" w:rsidP="006F38AE">
            <w:pPr>
              <w:tabs>
                <w:tab w:val="center" w:pos="4680"/>
                <w:tab w:val="right" w:pos="9360"/>
              </w:tabs>
              <w:spacing w:line="360" w:lineRule="auto"/>
              <w:ind w:hanging="24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84.9%</w:t>
            </w:r>
          </w:p>
        </w:tc>
        <w:tc>
          <w:tcPr>
            <w:tcW w:w="1006" w:type="dxa"/>
          </w:tcPr>
          <w:p w14:paraId="26F84B23" w14:textId="77777777" w:rsidR="006F38AE" w:rsidRPr="001A5452" w:rsidRDefault="006F38AE" w:rsidP="006F38AE">
            <w:pPr>
              <w:tabs>
                <w:tab w:val="center" w:pos="4680"/>
                <w:tab w:val="right" w:pos="9360"/>
              </w:tabs>
              <w:spacing w:line="360" w:lineRule="auto"/>
              <w:ind w:hanging="9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93.9%</w:t>
            </w:r>
          </w:p>
        </w:tc>
        <w:tc>
          <w:tcPr>
            <w:tcW w:w="1244" w:type="dxa"/>
          </w:tcPr>
          <w:p w14:paraId="1E674F04" w14:textId="77777777" w:rsidR="006F38AE" w:rsidRPr="001A5452" w:rsidRDefault="006F38AE" w:rsidP="006F38AE">
            <w:pPr>
              <w:tabs>
                <w:tab w:val="center" w:pos="4680"/>
                <w:tab w:val="right" w:pos="9360"/>
              </w:tabs>
              <w:spacing w:line="360" w:lineRule="auto"/>
              <w:ind w:hanging="20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25.7%</w:t>
            </w:r>
          </w:p>
        </w:tc>
        <w:tc>
          <w:tcPr>
            <w:tcW w:w="1021" w:type="dxa"/>
          </w:tcPr>
          <w:p w14:paraId="7C4F02FF" w14:textId="77777777" w:rsidR="006F38AE" w:rsidRPr="001A5452" w:rsidRDefault="006F38AE" w:rsidP="006F38AE">
            <w:pPr>
              <w:tabs>
                <w:tab w:val="center" w:pos="4680"/>
                <w:tab w:val="right" w:pos="9360"/>
              </w:tabs>
              <w:spacing w:line="360" w:lineRule="auto"/>
              <w:ind w:hanging="16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27.7%</w:t>
            </w:r>
          </w:p>
        </w:tc>
        <w:tc>
          <w:tcPr>
            <w:tcW w:w="1121" w:type="dxa"/>
          </w:tcPr>
          <w:p w14:paraId="7E32F9D4" w14:textId="77777777" w:rsidR="006F38AE" w:rsidRPr="001A5452" w:rsidRDefault="006F38AE" w:rsidP="006F38AE">
            <w:pPr>
              <w:tabs>
                <w:tab w:val="center" w:pos="4680"/>
                <w:tab w:val="right" w:pos="9360"/>
              </w:tabs>
              <w:spacing w:line="360" w:lineRule="auto"/>
              <w:ind w:hanging="12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41.5%</w:t>
            </w:r>
          </w:p>
        </w:tc>
        <w:tc>
          <w:tcPr>
            <w:tcW w:w="1217" w:type="dxa"/>
          </w:tcPr>
          <w:p w14:paraId="04A72A56" w14:textId="77777777" w:rsidR="006F38AE" w:rsidRPr="001A5452" w:rsidRDefault="006F38AE" w:rsidP="006F38AE">
            <w:pPr>
              <w:tabs>
                <w:tab w:val="center" w:pos="4680"/>
                <w:tab w:val="right" w:pos="9360"/>
              </w:tabs>
              <w:spacing w:line="360" w:lineRule="auto"/>
              <w:ind w:hanging="25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43.6%</w:t>
            </w:r>
          </w:p>
        </w:tc>
        <w:tc>
          <w:tcPr>
            <w:tcW w:w="1025" w:type="dxa"/>
          </w:tcPr>
          <w:p w14:paraId="1C0FE383" w14:textId="77777777" w:rsidR="006F38AE" w:rsidRPr="001A5452" w:rsidRDefault="006F38AE" w:rsidP="006F38AE">
            <w:pPr>
              <w:tabs>
                <w:tab w:val="center" w:pos="4680"/>
                <w:tab w:val="right" w:pos="9360"/>
              </w:tabs>
              <w:spacing w:line="360" w:lineRule="auto"/>
              <w:ind w:hanging="11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20.9%</w:t>
            </w:r>
          </w:p>
        </w:tc>
        <w:tc>
          <w:tcPr>
            <w:tcW w:w="1121" w:type="dxa"/>
            <w:tcBorders>
              <w:top w:val="nil"/>
              <w:bottom w:val="nil"/>
              <w:right w:val="nil"/>
            </w:tcBorders>
          </w:tcPr>
          <w:p w14:paraId="2897C9E5" w14:textId="77777777" w:rsidR="006F38AE" w:rsidRPr="001A5452" w:rsidRDefault="006F38AE" w:rsidP="006F38AE">
            <w:pPr>
              <w:tabs>
                <w:tab w:val="center" w:pos="4680"/>
                <w:tab w:val="right" w:pos="9360"/>
              </w:tabs>
              <w:spacing w:line="360" w:lineRule="auto"/>
              <w:ind w:hanging="24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23.3%</w:t>
            </w:r>
          </w:p>
        </w:tc>
      </w:tr>
      <w:tr w:rsidR="006F38AE" w:rsidRPr="001A5452" w14:paraId="49880E9B" w14:textId="77777777" w:rsidTr="0040138E">
        <w:trPr>
          <w:jc w:val="center"/>
        </w:trPr>
        <w:tc>
          <w:tcPr>
            <w:tcW w:w="1435" w:type="dxa"/>
            <w:tcBorders>
              <w:top w:val="nil"/>
              <w:left w:val="nil"/>
              <w:bottom w:val="nil"/>
              <w:right w:val="nil"/>
            </w:tcBorders>
          </w:tcPr>
          <w:p w14:paraId="5E615464" w14:textId="77777777" w:rsidR="006F38AE" w:rsidRPr="001A5452" w:rsidRDefault="006F38AE" w:rsidP="002C78C6">
            <w:pPr>
              <w:tabs>
                <w:tab w:val="center" w:pos="4680"/>
                <w:tab w:val="right" w:pos="9360"/>
              </w:tabs>
              <w:spacing w:line="360" w:lineRule="auto"/>
              <w:jc w:val="left"/>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0.1 wt.%</w:t>
            </w:r>
          </w:p>
        </w:tc>
        <w:tc>
          <w:tcPr>
            <w:tcW w:w="881" w:type="dxa"/>
            <w:tcBorders>
              <w:left w:val="nil"/>
            </w:tcBorders>
          </w:tcPr>
          <w:p w14:paraId="56EF6A0D" w14:textId="77777777" w:rsidR="006F38AE" w:rsidRPr="001A5452" w:rsidRDefault="0040138E" w:rsidP="0040138E">
            <w:pPr>
              <w:tabs>
                <w:tab w:val="center" w:pos="4680"/>
                <w:tab w:val="right" w:pos="9360"/>
              </w:tabs>
              <w:spacing w:line="360" w:lineRule="auto"/>
              <w:ind w:firstLine="0"/>
              <w:contextualSpacing/>
              <w:rPr>
                <w:rFonts w:ascii="Times New Roman" w:eastAsia="DengXian" w:hAnsi="Times New Roman" w:cs="Times New Roman"/>
                <w:sz w:val="20"/>
                <w:szCs w:val="20"/>
              </w:rPr>
            </w:pPr>
            <w:r>
              <w:rPr>
                <w:rFonts w:ascii="Times New Roman" w:eastAsia="DengXian" w:hAnsi="Times New Roman" w:cs="Times New Roman"/>
                <w:sz w:val="20"/>
                <w:szCs w:val="20"/>
              </w:rPr>
              <w:t xml:space="preserve">  75.9%</w:t>
            </w:r>
            <w:r w:rsidR="006F38AE" w:rsidRPr="001A5452">
              <w:rPr>
                <w:rFonts w:ascii="Times New Roman" w:eastAsia="DengXian" w:hAnsi="Times New Roman" w:cs="Times New Roman"/>
                <w:sz w:val="20"/>
                <w:szCs w:val="20"/>
              </w:rPr>
              <w:t xml:space="preserve">  </w:t>
            </w:r>
          </w:p>
        </w:tc>
        <w:tc>
          <w:tcPr>
            <w:tcW w:w="1006" w:type="dxa"/>
          </w:tcPr>
          <w:p w14:paraId="39C459E0" w14:textId="77777777" w:rsidR="006F38AE" w:rsidRPr="001A5452" w:rsidRDefault="006F38AE" w:rsidP="006F38AE">
            <w:pPr>
              <w:tabs>
                <w:tab w:val="center" w:pos="4680"/>
                <w:tab w:val="right" w:pos="9360"/>
              </w:tabs>
              <w:spacing w:line="360" w:lineRule="auto"/>
              <w:ind w:hanging="18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89.9%</w:t>
            </w:r>
          </w:p>
        </w:tc>
        <w:tc>
          <w:tcPr>
            <w:tcW w:w="1244" w:type="dxa"/>
          </w:tcPr>
          <w:p w14:paraId="3CB8C875" w14:textId="77777777" w:rsidR="006F38AE" w:rsidRPr="001A5452" w:rsidRDefault="006F38AE" w:rsidP="006F38AE">
            <w:pPr>
              <w:tabs>
                <w:tab w:val="center" w:pos="4680"/>
                <w:tab w:val="right" w:pos="9360"/>
              </w:tabs>
              <w:spacing w:line="360" w:lineRule="auto"/>
              <w:ind w:hanging="20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15.9%</w:t>
            </w:r>
          </w:p>
        </w:tc>
        <w:tc>
          <w:tcPr>
            <w:tcW w:w="1021" w:type="dxa"/>
          </w:tcPr>
          <w:p w14:paraId="17EF016E" w14:textId="77777777" w:rsidR="006F38AE" w:rsidRPr="001A5452" w:rsidRDefault="006F38AE" w:rsidP="006F38AE">
            <w:pPr>
              <w:tabs>
                <w:tab w:val="center" w:pos="4680"/>
                <w:tab w:val="right" w:pos="9360"/>
              </w:tabs>
              <w:spacing w:line="360" w:lineRule="auto"/>
              <w:ind w:hanging="7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22.9%</w:t>
            </w:r>
          </w:p>
        </w:tc>
        <w:tc>
          <w:tcPr>
            <w:tcW w:w="1121" w:type="dxa"/>
          </w:tcPr>
          <w:p w14:paraId="47169308" w14:textId="77777777" w:rsidR="006F38AE" w:rsidRPr="001A5452" w:rsidRDefault="006F38AE" w:rsidP="006F38AE">
            <w:pPr>
              <w:tabs>
                <w:tab w:val="center" w:pos="4680"/>
                <w:tab w:val="right" w:pos="9360"/>
              </w:tabs>
              <w:spacing w:line="360" w:lineRule="auto"/>
              <w:ind w:hanging="12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31.6%</w:t>
            </w:r>
          </w:p>
        </w:tc>
        <w:tc>
          <w:tcPr>
            <w:tcW w:w="1217" w:type="dxa"/>
          </w:tcPr>
          <w:p w14:paraId="48136AFA" w14:textId="77777777" w:rsidR="006F38AE" w:rsidRPr="001A5452" w:rsidRDefault="006F38AE" w:rsidP="006F38AE">
            <w:pPr>
              <w:tabs>
                <w:tab w:val="center" w:pos="4680"/>
                <w:tab w:val="right" w:pos="9360"/>
              </w:tabs>
              <w:spacing w:line="360" w:lineRule="auto"/>
              <w:ind w:hanging="7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41.8%</w:t>
            </w:r>
          </w:p>
        </w:tc>
        <w:tc>
          <w:tcPr>
            <w:tcW w:w="1025" w:type="dxa"/>
          </w:tcPr>
          <w:p w14:paraId="2BFBE731" w14:textId="77777777" w:rsidR="006F38AE" w:rsidRPr="001A5452" w:rsidRDefault="006F38AE" w:rsidP="006F38AE">
            <w:pPr>
              <w:tabs>
                <w:tab w:val="center" w:pos="4680"/>
                <w:tab w:val="right" w:pos="9360"/>
              </w:tabs>
              <w:spacing w:line="360" w:lineRule="auto"/>
              <w:ind w:hanging="11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10.2%</w:t>
            </w:r>
          </w:p>
        </w:tc>
        <w:tc>
          <w:tcPr>
            <w:tcW w:w="1121" w:type="dxa"/>
            <w:tcBorders>
              <w:top w:val="nil"/>
              <w:bottom w:val="nil"/>
              <w:right w:val="nil"/>
            </w:tcBorders>
          </w:tcPr>
          <w:p w14:paraId="79E10BA1" w14:textId="77777777" w:rsidR="006F38AE" w:rsidRPr="001A5452" w:rsidRDefault="006F38AE" w:rsidP="006F38AE">
            <w:pPr>
              <w:tabs>
                <w:tab w:val="center" w:pos="4680"/>
                <w:tab w:val="right" w:pos="9360"/>
              </w:tabs>
              <w:spacing w:line="360" w:lineRule="auto"/>
              <w:ind w:hanging="24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18.4%</w:t>
            </w:r>
          </w:p>
        </w:tc>
      </w:tr>
      <w:tr w:rsidR="006F38AE" w:rsidRPr="001A5452" w14:paraId="4C26E4DE" w14:textId="77777777" w:rsidTr="0040138E">
        <w:trPr>
          <w:jc w:val="center"/>
        </w:trPr>
        <w:tc>
          <w:tcPr>
            <w:tcW w:w="1435" w:type="dxa"/>
            <w:tcBorders>
              <w:top w:val="nil"/>
              <w:left w:val="nil"/>
              <w:bottom w:val="single" w:sz="8" w:space="0" w:color="000000"/>
              <w:right w:val="nil"/>
            </w:tcBorders>
          </w:tcPr>
          <w:p w14:paraId="03A5388A" w14:textId="77777777" w:rsidR="006F38AE" w:rsidRPr="001A5452" w:rsidRDefault="006F38AE" w:rsidP="006F38AE">
            <w:pPr>
              <w:tabs>
                <w:tab w:val="center" w:pos="4680"/>
                <w:tab w:val="right" w:pos="9360"/>
              </w:tabs>
              <w:spacing w:line="360" w:lineRule="auto"/>
              <w:ind w:left="-110"/>
              <w:contextualSpacing/>
              <w:jc w:val="center"/>
              <w:rPr>
                <w:rFonts w:ascii="Times New Roman" w:eastAsia="DengXian" w:hAnsi="Times New Roman" w:cs="Times New Roman"/>
                <w:b/>
                <w:sz w:val="20"/>
                <w:szCs w:val="20"/>
              </w:rPr>
            </w:pPr>
            <w:r w:rsidRPr="001A5452">
              <w:rPr>
                <w:rFonts w:ascii="Times New Roman" w:eastAsia="DengXian" w:hAnsi="Times New Roman" w:cs="Times New Roman"/>
                <w:b/>
                <w:sz w:val="20"/>
                <w:szCs w:val="20"/>
              </w:rPr>
              <w:t>0.5 wt.%</w:t>
            </w:r>
          </w:p>
        </w:tc>
        <w:tc>
          <w:tcPr>
            <w:tcW w:w="881" w:type="dxa"/>
            <w:tcBorders>
              <w:left w:val="nil"/>
            </w:tcBorders>
          </w:tcPr>
          <w:p w14:paraId="7476ACA5" w14:textId="77777777" w:rsidR="006F38AE" w:rsidRPr="001A5452" w:rsidRDefault="0040138E" w:rsidP="0040138E">
            <w:pPr>
              <w:tabs>
                <w:tab w:val="center" w:pos="4680"/>
                <w:tab w:val="right" w:pos="9360"/>
              </w:tabs>
              <w:spacing w:line="360" w:lineRule="auto"/>
              <w:ind w:firstLine="0"/>
              <w:contextualSpacing/>
              <w:jc w:val="left"/>
              <w:rPr>
                <w:rFonts w:ascii="Times New Roman" w:eastAsia="DengXian" w:hAnsi="Times New Roman" w:cs="Times New Roman"/>
                <w:sz w:val="20"/>
                <w:szCs w:val="20"/>
              </w:rPr>
            </w:pPr>
            <w:r>
              <w:rPr>
                <w:rFonts w:ascii="Times New Roman" w:eastAsia="DengXian" w:hAnsi="Times New Roman" w:cs="Times New Roman"/>
                <w:sz w:val="20"/>
                <w:szCs w:val="20"/>
              </w:rPr>
              <w:t xml:space="preserve">  </w:t>
            </w:r>
            <w:r w:rsidRPr="001A5452">
              <w:rPr>
                <w:rFonts w:ascii="Times New Roman" w:eastAsia="DengXian" w:hAnsi="Times New Roman" w:cs="Times New Roman"/>
                <w:sz w:val="20"/>
                <w:szCs w:val="20"/>
              </w:rPr>
              <w:t>74.2%</w:t>
            </w:r>
            <w:r w:rsidR="006F38AE" w:rsidRPr="001A5452">
              <w:rPr>
                <w:rFonts w:ascii="Times New Roman" w:eastAsia="DengXian" w:hAnsi="Times New Roman" w:cs="Times New Roman"/>
                <w:sz w:val="20"/>
                <w:szCs w:val="20"/>
              </w:rPr>
              <w:t xml:space="preserve"> </w:t>
            </w:r>
          </w:p>
        </w:tc>
        <w:tc>
          <w:tcPr>
            <w:tcW w:w="1006" w:type="dxa"/>
          </w:tcPr>
          <w:p w14:paraId="07CA1DB9" w14:textId="77777777" w:rsidR="006F38AE" w:rsidRPr="001A5452" w:rsidRDefault="006F38AE" w:rsidP="006F38AE">
            <w:pPr>
              <w:tabs>
                <w:tab w:val="center" w:pos="4680"/>
                <w:tab w:val="right" w:pos="9360"/>
              </w:tabs>
              <w:spacing w:line="360" w:lineRule="auto"/>
              <w:ind w:hanging="9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82.3%</w:t>
            </w:r>
          </w:p>
        </w:tc>
        <w:tc>
          <w:tcPr>
            <w:tcW w:w="1244" w:type="dxa"/>
          </w:tcPr>
          <w:p w14:paraId="6FE2E559" w14:textId="77777777" w:rsidR="006F38AE" w:rsidRPr="001A5452" w:rsidRDefault="006F38AE" w:rsidP="006F38AE">
            <w:pPr>
              <w:tabs>
                <w:tab w:val="center" w:pos="4680"/>
                <w:tab w:val="right" w:pos="9360"/>
              </w:tabs>
              <w:spacing w:line="360" w:lineRule="auto"/>
              <w:ind w:hanging="11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12.8%</w:t>
            </w:r>
          </w:p>
        </w:tc>
        <w:tc>
          <w:tcPr>
            <w:tcW w:w="1021" w:type="dxa"/>
          </w:tcPr>
          <w:p w14:paraId="6E856870" w14:textId="77777777" w:rsidR="006F38AE" w:rsidRPr="001A5452" w:rsidRDefault="0040138E" w:rsidP="0040138E">
            <w:pPr>
              <w:tabs>
                <w:tab w:val="center" w:pos="4680"/>
                <w:tab w:val="right" w:pos="9360"/>
              </w:tabs>
              <w:spacing w:line="360" w:lineRule="auto"/>
              <w:ind w:firstLine="0"/>
              <w:contextualSpacing/>
              <w:jc w:val="left"/>
              <w:rPr>
                <w:rFonts w:ascii="Times New Roman" w:eastAsia="DengXian" w:hAnsi="Times New Roman" w:cs="Times New Roman"/>
                <w:sz w:val="20"/>
                <w:szCs w:val="20"/>
              </w:rPr>
            </w:pPr>
            <w:r>
              <w:rPr>
                <w:rFonts w:ascii="Times New Roman" w:eastAsia="DengXian" w:hAnsi="Times New Roman" w:cs="Times New Roman"/>
                <w:sz w:val="20"/>
                <w:szCs w:val="20"/>
              </w:rPr>
              <w:t xml:space="preserve">    </w:t>
            </w:r>
            <w:r w:rsidRPr="001A5452">
              <w:rPr>
                <w:rFonts w:ascii="Times New Roman" w:eastAsia="DengXian" w:hAnsi="Times New Roman" w:cs="Times New Roman"/>
                <w:sz w:val="20"/>
                <w:szCs w:val="20"/>
              </w:rPr>
              <w:t>17.3%</w:t>
            </w:r>
            <w:r w:rsidR="006F38AE" w:rsidRPr="001A5452">
              <w:rPr>
                <w:rFonts w:ascii="Times New Roman" w:eastAsia="DengXian" w:hAnsi="Times New Roman" w:cs="Times New Roman"/>
                <w:sz w:val="20"/>
                <w:szCs w:val="20"/>
              </w:rPr>
              <w:t xml:space="preserve">  </w:t>
            </w:r>
          </w:p>
        </w:tc>
        <w:tc>
          <w:tcPr>
            <w:tcW w:w="1121" w:type="dxa"/>
          </w:tcPr>
          <w:p w14:paraId="0F047A1D" w14:textId="77777777" w:rsidR="006F38AE" w:rsidRPr="001A5452" w:rsidRDefault="006F38AE" w:rsidP="006F38AE">
            <w:pPr>
              <w:tabs>
                <w:tab w:val="center" w:pos="4680"/>
                <w:tab w:val="right" w:pos="9360"/>
              </w:tabs>
              <w:spacing w:line="360" w:lineRule="auto"/>
              <w:ind w:hanging="12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27.3%</w:t>
            </w:r>
          </w:p>
        </w:tc>
        <w:tc>
          <w:tcPr>
            <w:tcW w:w="1217" w:type="dxa"/>
          </w:tcPr>
          <w:p w14:paraId="39CD73E4" w14:textId="77777777" w:rsidR="006F38AE" w:rsidRPr="001A5452" w:rsidRDefault="006F38AE" w:rsidP="006F38AE">
            <w:pPr>
              <w:tabs>
                <w:tab w:val="center" w:pos="4680"/>
                <w:tab w:val="right" w:pos="9360"/>
              </w:tabs>
              <w:spacing w:line="360" w:lineRule="auto"/>
              <w:ind w:hanging="7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32.7%</w:t>
            </w:r>
          </w:p>
        </w:tc>
        <w:tc>
          <w:tcPr>
            <w:tcW w:w="1025" w:type="dxa"/>
          </w:tcPr>
          <w:p w14:paraId="19E3C500" w14:textId="77777777" w:rsidR="006F38AE" w:rsidRPr="001A5452" w:rsidRDefault="006F38AE" w:rsidP="006F38AE">
            <w:pPr>
              <w:tabs>
                <w:tab w:val="center" w:pos="4680"/>
                <w:tab w:val="right" w:pos="9360"/>
              </w:tabs>
              <w:spacing w:line="360" w:lineRule="auto"/>
              <w:ind w:hanging="20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3.2%</w:t>
            </w:r>
          </w:p>
        </w:tc>
        <w:tc>
          <w:tcPr>
            <w:tcW w:w="1121" w:type="dxa"/>
            <w:tcBorders>
              <w:top w:val="nil"/>
              <w:bottom w:val="single" w:sz="8" w:space="0" w:color="000000"/>
              <w:right w:val="nil"/>
            </w:tcBorders>
          </w:tcPr>
          <w:p w14:paraId="52095C4D" w14:textId="77777777" w:rsidR="006F38AE" w:rsidRPr="001A5452" w:rsidRDefault="006F38AE" w:rsidP="006F38AE">
            <w:pPr>
              <w:tabs>
                <w:tab w:val="center" w:pos="4680"/>
                <w:tab w:val="right" w:pos="9360"/>
              </w:tabs>
              <w:spacing w:line="360" w:lineRule="auto"/>
              <w:ind w:hanging="240"/>
              <w:contextualSpacing/>
              <w:jc w:val="center"/>
              <w:rPr>
                <w:rFonts w:ascii="Times New Roman" w:eastAsia="DengXian" w:hAnsi="Times New Roman" w:cs="Times New Roman"/>
                <w:sz w:val="20"/>
                <w:szCs w:val="20"/>
              </w:rPr>
            </w:pPr>
            <w:r w:rsidRPr="001A5452">
              <w:rPr>
                <w:rFonts w:ascii="Times New Roman" w:eastAsia="DengXian" w:hAnsi="Times New Roman" w:cs="Times New Roman"/>
                <w:sz w:val="20"/>
                <w:szCs w:val="20"/>
              </w:rPr>
              <w:t xml:space="preserve">      7.7%</w:t>
            </w:r>
          </w:p>
        </w:tc>
      </w:tr>
    </w:tbl>
    <w:p w14:paraId="0B26EBE6" w14:textId="15C24D8D" w:rsidR="006F38AE" w:rsidRDefault="006F38AE" w:rsidP="006F38AE">
      <w:pPr>
        <w:spacing w:after="0" w:line="480" w:lineRule="auto"/>
        <w:ind w:hanging="270"/>
        <w:jc w:val="both"/>
        <w:rPr>
          <w:rFonts w:ascii="Times New Roman" w:eastAsia="DengXian" w:hAnsi="Times New Roman" w:cs="Times New Roman"/>
          <w:sz w:val="24"/>
          <w:szCs w:val="24"/>
        </w:rPr>
      </w:pPr>
      <w:r w:rsidRPr="001A5452">
        <w:rPr>
          <w:rFonts w:ascii="Times New Roman" w:eastAsia="DengXian" w:hAnsi="Times New Roman" w:cs="Times New Roman"/>
          <w:b/>
          <w:sz w:val="24"/>
          <w:szCs w:val="24"/>
        </w:rPr>
        <w:t>*</w:t>
      </w:r>
      <w:r w:rsidRPr="001A5452">
        <w:rPr>
          <w:rFonts w:ascii="Times New Roman" w:eastAsia="DengXian" w:hAnsi="Times New Roman" w:cs="Times New Roman"/>
          <w:sz w:val="24"/>
          <w:szCs w:val="24"/>
        </w:rPr>
        <w:t>The average values were obtained with 6 measurements for each sample.</w:t>
      </w:r>
    </w:p>
    <w:p w14:paraId="5A25DEB5" w14:textId="77777777" w:rsidR="001E4493" w:rsidRPr="001A5452" w:rsidRDefault="001E4493" w:rsidP="006F38AE">
      <w:pPr>
        <w:spacing w:after="0" w:line="480" w:lineRule="auto"/>
        <w:ind w:hanging="270"/>
        <w:jc w:val="both"/>
        <w:rPr>
          <w:rFonts w:ascii="Times New Roman" w:eastAsia="DengXian" w:hAnsi="Times New Roman" w:cs="Times New Roman"/>
          <w:sz w:val="24"/>
          <w:szCs w:val="24"/>
        </w:rPr>
      </w:pPr>
    </w:p>
    <w:p w14:paraId="6F348276" w14:textId="6DF1817B" w:rsidR="006F38AE" w:rsidRPr="001A5452" w:rsidRDefault="00617825" w:rsidP="00A22DC4">
      <w:pPr>
        <w:pStyle w:val="Heading1"/>
      </w:pPr>
      <w:bookmarkStart w:id="313" w:name="_Toc518823366"/>
      <w:r>
        <w:t>6</w:t>
      </w:r>
      <w:r w:rsidR="00BD1DD2">
        <w:t>.</w:t>
      </w:r>
      <w:r w:rsidR="006F38AE" w:rsidRPr="001A5452">
        <w:t>4. Conclusions</w:t>
      </w:r>
      <w:bookmarkEnd w:id="313"/>
    </w:p>
    <w:p w14:paraId="678D9BB8" w14:textId="33B5DD8D" w:rsidR="001E4493" w:rsidRDefault="006F38AE" w:rsidP="006F38AE">
      <w:pPr>
        <w:spacing w:after="0" w:line="480" w:lineRule="auto"/>
        <w:contextualSpacing/>
        <w:jc w:val="both"/>
        <w:rPr>
          <w:rFonts w:ascii="Times New Roman" w:eastAsia="DengXian" w:hAnsi="Times New Roman" w:cs="Times New Roman"/>
          <w:sz w:val="24"/>
          <w:szCs w:val="24"/>
        </w:rPr>
      </w:pPr>
      <w:r w:rsidRPr="001A5452">
        <w:rPr>
          <w:rFonts w:ascii="Times New Roman" w:eastAsia="DengXian" w:hAnsi="Times New Roman" w:cs="Times New Roman"/>
          <w:sz w:val="24"/>
          <w:szCs w:val="24"/>
        </w:rPr>
        <w:t xml:space="preserve">Graphene oxide was functionalized by poly-PPD, which exhibited excellent stability in ethanol, resulting in a </w:t>
      </w:r>
      <w:r w:rsidRPr="0049188E">
        <w:rPr>
          <w:rFonts w:ascii="Times New Roman" w:eastAsia="DengXian" w:hAnsi="Times New Roman" w:cs="Times New Roman"/>
          <w:sz w:val="24"/>
          <w:szCs w:val="24"/>
        </w:rPr>
        <w:t>great incorporation</w:t>
      </w:r>
      <w:r w:rsidRPr="001A5452">
        <w:rPr>
          <w:rFonts w:ascii="Times New Roman" w:eastAsia="DengXian" w:hAnsi="Times New Roman" w:cs="Times New Roman"/>
          <w:sz w:val="24"/>
          <w:szCs w:val="24"/>
        </w:rPr>
        <w:t xml:space="preserve"> with polymer matrix with significant improvement on the mechanical and thermal properties of HBPE elastomers. Bio-based HBPE and HBPE/P-rGO nanocomposites prepared by simply </w:t>
      </w:r>
      <w:r w:rsidRPr="001A5452">
        <w:rPr>
          <w:rFonts w:ascii="Times New Roman" w:eastAsia="DengXian" w:hAnsi="Times New Roman" w:cs="Times New Roman"/>
          <w:i/>
          <w:sz w:val="24"/>
          <w:szCs w:val="24"/>
        </w:rPr>
        <w:t>in-situ</w:t>
      </w:r>
      <w:r w:rsidRPr="001A5452">
        <w:rPr>
          <w:rFonts w:ascii="Times New Roman" w:eastAsia="DengXian" w:hAnsi="Times New Roman" w:cs="Times New Roman"/>
          <w:sz w:val="24"/>
          <w:szCs w:val="24"/>
        </w:rPr>
        <w:t xml:space="preserve"> polymerization method present excellent stretching ability and resilience, which could be restore back to their original state when they are stretched into 200% extension, and they could be stretched up to 477% extension before fracture. However, the hysteresis properties of HBPE increased with GO loading due to the interruption of P-rGO in the polymer matrix, which would prevent the recovery of polymer. HBPE shows partially self-healing behavior at room temperature without any plasticizer, solvent, healing agents or external stimuli. HBPE exhibited a healing efficiency of 5.8% after 10 min and 40.5% after 24 h. The self-healing efficiency after 10 min was enhanced by addition of P-rGO, in which the maximum efficiency happened at 0.01 wt.% HBPE/P-rGO with 20.9%, but decreased at 0.5 wt.% with 3.2% due to the lower  crosslinking degree caused by higher amount of P-rGO particles. However, the longtime self-healing efficiency was reduced by addition of P-rGO content due to the lower density of hydrogen bonding. </w:t>
      </w:r>
    </w:p>
    <w:p w14:paraId="6301329A" w14:textId="25F934FE" w:rsidR="00D606C6" w:rsidRDefault="00D606C6" w:rsidP="006F38AE">
      <w:pPr>
        <w:spacing w:after="0" w:line="480" w:lineRule="auto"/>
        <w:contextualSpacing/>
        <w:jc w:val="both"/>
        <w:rPr>
          <w:rFonts w:ascii="Times New Roman" w:eastAsia="DengXian" w:hAnsi="Times New Roman" w:cs="Times New Roman"/>
          <w:sz w:val="24"/>
          <w:szCs w:val="24"/>
        </w:rPr>
      </w:pPr>
    </w:p>
    <w:p w14:paraId="6472B742" w14:textId="72890582" w:rsidR="00D606C6" w:rsidRDefault="00D606C6" w:rsidP="006F38AE">
      <w:pPr>
        <w:spacing w:after="0" w:line="480" w:lineRule="auto"/>
        <w:contextualSpacing/>
        <w:jc w:val="both"/>
        <w:rPr>
          <w:rFonts w:ascii="Times New Roman" w:eastAsia="DengXian" w:hAnsi="Times New Roman" w:cs="Times New Roman"/>
          <w:sz w:val="24"/>
          <w:szCs w:val="24"/>
        </w:rPr>
      </w:pPr>
    </w:p>
    <w:p w14:paraId="0DA547A3" w14:textId="508F2DF3" w:rsidR="00D606C6" w:rsidRDefault="00D606C6" w:rsidP="006F38AE">
      <w:pPr>
        <w:spacing w:after="0" w:line="480" w:lineRule="auto"/>
        <w:contextualSpacing/>
        <w:jc w:val="both"/>
        <w:rPr>
          <w:rFonts w:ascii="Times New Roman" w:eastAsia="DengXian" w:hAnsi="Times New Roman" w:cs="Times New Roman"/>
          <w:sz w:val="24"/>
          <w:szCs w:val="24"/>
        </w:rPr>
      </w:pPr>
    </w:p>
    <w:p w14:paraId="1FE2A596" w14:textId="65DE1E0B" w:rsidR="00D606C6" w:rsidRDefault="00D606C6" w:rsidP="006F38AE">
      <w:pPr>
        <w:spacing w:after="0" w:line="480" w:lineRule="auto"/>
        <w:contextualSpacing/>
        <w:jc w:val="both"/>
        <w:rPr>
          <w:rFonts w:ascii="Times New Roman" w:eastAsia="DengXian" w:hAnsi="Times New Roman" w:cs="Times New Roman"/>
          <w:sz w:val="24"/>
          <w:szCs w:val="24"/>
        </w:rPr>
      </w:pPr>
    </w:p>
    <w:p w14:paraId="15337FD7" w14:textId="0E4E4724" w:rsidR="00D606C6" w:rsidRDefault="00D606C6" w:rsidP="006F38AE">
      <w:pPr>
        <w:spacing w:after="0" w:line="480" w:lineRule="auto"/>
        <w:contextualSpacing/>
        <w:jc w:val="both"/>
        <w:rPr>
          <w:rFonts w:ascii="Times New Roman" w:eastAsia="DengXian" w:hAnsi="Times New Roman" w:cs="Times New Roman"/>
          <w:sz w:val="24"/>
          <w:szCs w:val="24"/>
        </w:rPr>
      </w:pPr>
    </w:p>
    <w:p w14:paraId="6C0BD6D0" w14:textId="3EACF831" w:rsidR="00D606C6" w:rsidRDefault="00D606C6" w:rsidP="006F38AE">
      <w:pPr>
        <w:spacing w:after="0" w:line="480" w:lineRule="auto"/>
        <w:contextualSpacing/>
        <w:jc w:val="both"/>
        <w:rPr>
          <w:rFonts w:ascii="Times New Roman" w:eastAsia="DengXian" w:hAnsi="Times New Roman" w:cs="Times New Roman"/>
          <w:sz w:val="24"/>
          <w:szCs w:val="24"/>
        </w:rPr>
      </w:pPr>
    </w:p>
    <w:p w14:paraId="0CBA4F0A" w14:textId="09BE7BA8" w:rsidR="00D606C6" w:rsidRDefault="00D606C6" w:rsidP="006F38AE">
      <w:pPr>
        <w:spacing w:after="0" w:line="480" w:lineRule="auto"/>
        <w:contextualSpacing/>
        <w:jc w:val="both"/>
        <w:rPr>
          <w:rFonts w:ascii="Times New Roman" w:eastAsia="DengXian" w:hAnsi="Times New Roman" w:cs="Times New Roman"/>
          <w:sz w:val="24"/>
          <w:szCs w:val="24"/>
        </w:rPr>
      </w:pPr>
    </w:p>
    <w:p w14:paraId="6B9A89F6" w14:textId="5E587BF8" w:rsidR="00D606C6" w:rsidRDefault="00D606C6" w:rsidP="006F38AE">
      <w:pPr>
        <w:spacing w:after="0" w:line="480" w:lineRule="auto"/>
        <w:contextualSpacing/>
        <w:jc w:val="both"/>
        <w:rPr>
          <w:rFonts w:ascii="Times New Roman" w:eastAsia="DengXian" w:hAnsi="Times New Roman" w:cs="Times New Roman"/>
          <w:sz w:val="24"/>
          <w:szCs w:val="24"/>
        </w:rPr>
      </w:pPr>
    </w:p>
    <w:p w14:paraId="0398D2B5" w14:textId="48E1F0D6" w:rsidR="00D606C6" w:rsidRDefault="00D606C6" w:rsidP="006F38AE">
      <w:pPr>
        <w:spacing w:after="0" w:line="480" w:lineRule="auto"/>
        <w:contextualSpacing/>
        <w:jc w:val="both"/>
        <w:rPr>
          <w:rFonts w:ascii="Times New Roman" w:eastAsia="DengXian" w:hAnsi="Times New Roman" w:cs="Times New Roman"/>
          <w:sz w:val="24"/>
          <w:szCs w:val="24"/>
        </w:rPr>
      </w:pPr>
    </w:p>
    <w:p w14:paraId="1EE11FC8" w14:textId="4968143B" w:rsidR="00D606C6" w:rsidRDefault="00D606C6" w:rsidP="006F38AE">
      <w:pPr>
        <w:spacing w:after="0" w:line="480" w:lineRule="auto"/>
        <w:contextualSpacing/>
        <w:jc w:val="both"/>
        <w:rPr>
          <w:rFonts w:ascii="Times New Roman" w:eastAsia="DengXian" w:hAnsi="Times New Roman" w:cs="Times New Roman"/>
          <w:sz w:val="24"/>
          <w:szCs w:val="24"/>
        </w:rPr>
      </w:pPr>
    </w:p>
    <w:p w14:paraId="38DD0096" w14:textId="63C5DA1F" w:rsidR="00D606C6" w:rsidRDefault="00D606C6" w:rsidP="006F38AE">
      <w:pPr>
        <w:spacing w:after="0" w:line="480" w:lineRule="auto"/>
        <w:contextualSpacing/>
        <w:jc w:val="both"/>
        <w:rPr>
          <w:rFonts w:ascii="Times New Roman" w:eastAsia="DengXian" w:hAnsi="Times New Roman" w:cs="Times New Roman"/>
          <w:sz w:val="24"/>
          <w:szCs w:val="24"/>
        </w:rPr>
      </w:pPr>
    </w:p>
    <w:p w14:paraId="384DC794" w14:textId="5CC80AAA" w:rsidR="00D606C6" w:rsidRDefault="00D606C6" w:rsidP="006F38AE">
      <w:pPr>
        <w:spacing w:after="0" w:line="480" w:lineRule="auto"/>
        <w:contextualSpacing/>
        <w:jc w:val="both"/>
        <w:rPr>
          <w:rFonts w:ascii="Times New Roman" w:eastAsia="DengXian" w:hAnsi="Times New Roman" w:cs="Times New Roman"/>
          <w:sz w:val="24"/>
          <w:szCs w:val="24"/>
        </w:rPr>
      </w:pPr>
    </w:p>
    <w:p w14:paraId="014E0AA8" w14:textId="2BA7B7A0" w:rsidR="00D606C6" w:rsidRDefault="00D606C6" w:rsidP="006F38AE">
      <w:pPr>
        <w:spacing w:after="0" w:line="480" w:lineRule="auto"/>
        <w:contextualSpacing/>
        <w:jc w:val="both"/>
        <w:rPr>
          <w:rFonts w:ascii="Times New Roman" w:eastAsia="DengXian" w:hAnsi="Times New Roman" w:cs="Times New Roman"/>
          <w:sz w:val="24"/>
          <w:szCs w:val="24"/>
        </w:rPr>
      </w:pPr>
    </w:p>
    <w:p w14:paraId="5C3C375C" w14:textId="47A8DCB0" w:rsidR="00D606C6" w:rsidRDefault="00D606C6" w:rsidP="006F38AE">
      <w:pPr>
        <w:spacing w:after="0" w:line="480" w:lineRule="auto"/>
        <w:contextualSpacing/>
        <w:jc w:val="both"/>
        <w:rPr>
          <w:rFonts w:ascii="Times New Roman" w:eastAsia="DengXian" w:hAnsi="Times New Roman" w:cs="Times New Roman"/>
          <w:sz w:val="24"/>
          <w:szCs w:val="24"/>
        </w:rPr>
      </w:pPr>
    </w:p>
    <w:p w14:paraId="342719CA" w14:textId="3BDCAF9C" w:rsidR="00D606C6" w:rsidRDefault="00D606C6" w:rsidP="006F38AE">
      <w:pPr>
        <w:spacing w:after="0" w:line="480" w:lineRule="auto"/>
        <w:contextualSpacing/>
        <w:jc w:val="both"/>
        <w:rPr>
          <w:rFonts w:ascii="Times New Roman" w:eastAsia="DengXian" w:hAnsi="Times New Roman" w:cs="Times New Roman"/>
          <w:sz w:val="24"/>
          <w:szCs w:val="24"/>
        </w:rPr>
      </w:pPr>
    </w:p>
    <w:p w14:paraId="1C49CD24" w14:textId="26CEB0C1" w:rsidR="00D606C6" w:rsidRDefault="00D606C6" w:rsidP="006F38AE">
      <w:pPr>
        <w:spacing w:after="0" w:line="480" w:lineRule="auto"/>
        <w:contextualSpacing/>
        <w:jc w:val="both"/>
        <w:rPr>
          <w:rFonts w:ascii="Times New Roman" w:eastAsia="DengXian" w:hAnsi="Times New Roman" w:cs="Times New Roman"/>
          <w:sz w:val="24"/>
          <w:szCs w:val="24"/>
        </w:rPr>
      </w:pPr>
    </w:p>
    <w:p w14:paraId="625FAA90" w14:textId="61438D56" w:rsidR="00D606C6" w:rsidRDefault="00D606C6" w:rsidP="006F38AE">
      <w:pPr>
        <w:spacing w:after="0" w:line="480" w:lineRule="auto"/>
        <w:contextualSpacing/>
        <w:jc w:val="both"/>
        <w:rPr>
          <w:rFonts w:ascii="Times New Roman" w:eastAsia="DengXian" w:hAnsi="Times New Roman" w:cs="Times New Roman"/>
          <w:sz w:val="24"/>
          <w:szCs w:val="24"/>
        </w:rPr>
      </w:pPr>
    </w:p>
    <w:p w14:paraId="7791F867" w14:textId="55284079" w:rsidR="00D606C6" w:rsidRDefault="00D606C6" w:rsidP="006F38AE">
      <w:pPr>
        <w:spacing w:after="0" w:line="480" w:lineRule="auto"/>
        <w:contextualSpacing/>
        <w:jc w:val="both"/>
        <w:rPr>
          <w:rFonts w:ascii="Times New Roman" w:eastAsia="DengXian" w:hAnsi="Times New Roman" w:cs="Times New Roman"/>
          <w:sz w:val="24"/>
          <w:szCs w:val="24"/>
        </w:rPr>
      </w:pPr>
    </w:p>
    <w:p w14:paraId="043E4FCE" w14:textId="6CE1C4B9" w:rsidR="00D606C6" w:rsidRDefault="00D606C6" w:rsidP="006F38AE">
      <w:pPr>
        <w:spacing w:after="0" w:line="480" w:lineRule="auto"/>
        <w:contextualSpacing/>
        <w:jc w:val="both"/>
        <w:rPr>
          <w:rFonts w:ascii="Times New Roman" w:eastAsia="DengXian" w:hAnsi="Times New Roman" w:cs="Times New Roman"/>
          <w:sz w:val="24"/>
          <w:szCs w:val="24"/>
        </w:rPr>
      </w:pPr>
    </w:p>
    <w:p w14:paraId="2C44D090" w14:textId="1F2DC162" w:rsidR="00D606C6" w:rsidRDefault="00D606C6" w:rsidP="006F38AE">
      <w:pPr>
        <w:spacing w:after="0" w:line="480" w:lineRule="auto"/>
        <w:contextualSpacing/>
        <w:jc w:val="both"/>
        <w:rPr>
          <w:rFonts w:ascii="Times New Roman" w:eastAsia="DengXian" w:hAnsi="Times New Roman" w:cs="Times New Roman"/>
          <w:sz w:val="24"/>
          <w:szCs w:val="24"/>
        </w:rPr>
      </w:pPr>
    </w:p>
    <w:p w14:paraId="39607D61" w14:textId="2C435557" w:rsidR="00D606C6" w:rsidRDefault="00D606C6" w:rsidP="006F38AE">
      <w:pPr>
        <w:spacing w:after="0" w:line="480" w:lineRule="auto"/>
        <w:contextualSpacing/>
        <w:jc w:val="both"/>
        <w:rPr>
          <w:rFonts w:ascii="Times New Roman" w:eastAsia="DengXian" w:hAnsi="Times New Roman" w:cs="Times New Roman"/>
          <w:sz w:val="24"/>
          <w:szCs w:val="24"/>
        </w:rPr>
      </w:pPr>
    </w:p>
    <w:p w14:paraId="00226C37" w14:textId="0903B8DE" w:rsidR="00D606C6" w:rsidRDefault="00617825" w:rsidP="00E709EE">
      <w:pPr>
        <w:pStyle w:val="Heading1"/>
        <w:rPr>
          <w:sz w:val="40"/>
          <w:szCs w:val="40"/>
        </w:rPr>
      </w:pPr>
      <w:bookmarkStart w:id="314" w:name="_Toc518823367"/>
      <w:r>
        <w:rPr>
          <w:sz w:val="40"/>
          <w:szCs w:val="40"/>
        </w:rPr>
        <w:t>Chapter 7</w:t>
      </w:r>
      <w:r w:rsidR="00D606C6" w:rsidRPr="00E709EE">
        <w:rPr>
          <w:sz w:val="40"/>
          <w:szCs w:val="40"/>
        </w:rPr>
        <w:t>: Conclusions</w:t>
      </w:r>
      <w:bookmarkEnd w:id="314"/>
      <w:r w:rsidR="00D606C6" w:rsidRPr="00E709EE">
        <w:rPr>
          <w:sz w:val="40"/>
          <w:szCs w:val="40"/>
        </w:rPr>
        <w:t xml:space="preserve"> </w:t>
      </w:r>
    </w:p>
    <w:p w14:paraId="341752F4" w14:textId="77777777" w:rsidR="00E709EE" w:rsidRPr="00E709EE" w:rsidRDefault="00E709EE" w:rsidP="00E709EE"/>
    <w:p w14:paraId="014AC91E" w14:textId="77777777" w:rsidR="00D606C6" w:rsidRDefault="00D606C6" w:rsidP="00D606C6">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In this thesis, GO was prepared by Hummers method. UPR/GO composites with different GO loadings were prepared by crosslinking of UPR at the presence of GO. The effect of addition of GO on the crosslinking density of UPR, GO-MEKP, and GO-cobalt hybrid were prepared in the same method as composite. FTIR and TGA analysis confirmed that styrene and cobalt may adsorbed on GO surface by π-π interaction and chemical bonding. Therefore, crosslinking density is reduced, which in turn also contribute to the final properties of UPR composites. As for Chapter 3, Young’s modulus, tensile strength were enhanced for both cured and non-cured polymers. However, compared to other graphene-based polymers, the improvements are not significant. Moreover, </w:t>
      </w:r>
      <w:r w:rsidRPr="00B260C8">
        <w:rPr>
          <w:rFonts w:ascii="Times New Roman" w:hAnsi="Times New Roman" w:cs="Times New Roman"/>
          <w:i/>
          <w:sz w:val="24"/>
          <w:szCs w:val="24"/>
        </w:rPr>
        <w:t>T</w:t>
      </w:r>
      <w:r w:rsidRPr="00B260C8">
        <w:rPr>
          <w:rFonts w:ascii="Times New Roman" w:hAnsi="Times New Roman" w:cs="Times New Roman"/>
          <w:i/>
          <w:sz w:val="24"/>
          <w:szCs w:val="24"/>
          <w:vertAlign w:val="subscript"/>
        </w:rPr>
        <w:t>g</w:t>
      </w:r>
      <w:r>
        <w:rPr>
          <w:rFonts w:ascii="Times New Roman" w:hAnsi="Times New Roman" w:cs="Times New Roman"/>
          <w:sz w:val="24"/>
          <w:szCs w:val="24"/>
        </w:rPr>
        <w:t xml:space="preserve"> and thermal stability is not significant influenced as well. For UPR/GO system, the final properties of composites are contributed to both crosslinking density and the interfacial interaction (hydrogen bonding). Therefore, the reduced crosslinking density may lower the enhancement capacity of GO. </w:t>
      </w:r>
    </w:p>
    <w:p w14:paraId="2D122E29" w14:textId="77777777" w:rsidR="00D606C6" w:rsidRDefault="00D606C6" w:rsidP="00D606C6">
      <w:pPr>
        <w:spacing w:line="480" w:lineRule="auto"/>
        <w:ind w:firstLine="284"/>
        <w:jc w:val="both"/>
        <w:rPr>
          <w:rFonts w:ascii="Times New Roman" w:hAnsi="Times New Roman" w:cs="Times New Roman"/>
          <w:sz w:val="24"/>
          <w:szCs w:val="24"/>
        </w:rPr>
      </w:pPr>
      <w:r>
        <w:rPr>
          <w:rFonts w:ascii="Times New Roman" w:hAnsi="Times New Roman" w:cs="Times New Roman"/>
          <w:sz w:val="24"/>
          <w:szCs w:val="24"/>
        </w:rPr>
        <w:t>The electrical conductivity of UPR cannot be achieved by addition of GO. However, the addition of rGO which is reduced by vitamin C would enable insulating UPR to be electrically conductive. As for Chapter 4, UPR/rGO exhibit electrical conductivity of 1.3 x 10</w:t>
      </w:r>
      <w:r w:rsidRPr="003471D6">
        <w:rPr>
          <w:rFonts w:ascii="Times New Roman" w:hAnsi="Times New Roman" w:cs="Times New Roman"/>
          <w:sz w:val="24"/>
          <w:szCs w:val="24"/>
          <w:vertAlign w:val="superscript"/>
        </w:rPr>
        <w:t>-4</w:t>
      </w:r>
      <w:r>
        <w:rPr>
          <w:rFonts w:ascii="Times New Roman" w:hAnsi="Times New Roman" w:cs="Times New Roman"/>
          <w:sz w:val="24"/>
          <w:szCs w:val="24"/>
        </w:rPr>
        <w:t xml:space="preserve"> S m</w:t>
      </w:r>
      <w:r w:rsidRPr="003471D6">
        <w:rPr>
          <w:rFonts w:ascii="Times New Roman" w:hAnsi="Times New Roman" w:cs="Times New Roman"/>
          <w:sz w:val="24"/>
          <w:szCs w:val="24"/>
          <w:vertAlign w:val="superscript"/>
        </w:rPr>
        <w:t>-1</w:t>
      </w:r>
      <w:r>
        <w:rPr>
          <w:rFonts w:ascii="Times New Roman" w:hAnsi="Times New Roman" w:cs="Times New Roman"/>
          <w:sz w:val="24"/>
          <w:szCs w:val="24"/>
        </w:rPr>
        <w:t xml:space="preserve"> at 1.0 wt.%, and 3.08 S m</w:t>
      </w:r>
      <w:r w:rsidRPr="003471D6">
        <w:rPr>
          <w:rFonts w:ascii="Times New Roman" w:hAnsi="Times New Roman" w:cs="Times New Roman"/>
          <w:sz w:val="24"/>
          <w:szCs w:val="24"/>
          <w:vertAlign w:val="superscript"/>
        </w:rPr>
        <w:t>-1</w:t>
      </w:r>
      <w:r>
        <w:rPr>
          <w:rFonts w:ascii="Times New Roman" w:hAnsi="Times New Roman" w:cs="Times New Roman"/>
          <w:sz w:val="24"/>
          <w:szCs w:val="24"/>
        </w:rPr>
        <w:t xml:space="preserve"> at 2.0 wt.%, respectively. However, both strength and modulus reduced with increasing rGO content. Compared to the tensile properties of UPR/GO, UPR/rGO shows a opposite tendency. This is because rgo has less oxygen functional groups for forming hydrogen bonding with UPR. Therefore, this method is good for electrical properties. However, other properties including mechanical properties, stability and </w:t>
      </w:r>
      <w:r w:rsidRPr="001929DA">
        <w:rPr>
          <w:rFonts w:ascii="Times New Roman" w:hAnsi="Times New Roman" w:cs="Times New Roman"/>
          <w:i/>
          <w:sz w:val="24"/>
          <w:szCs w:val="24"/>
        </w:rPr>
        <w:t>T</w:t>
      </w:r>
      <w:r w:rsidRPr="001929DA">
        <w:rPr>
          <w:rFonts w:ascii="Times New Roman" w:hAnsi="Times New Roman" w:cs="Times New Roman"/>
          <w:i/>
          <w:sz w:val="24"/>
          <w:szCs w:val="24"/>
          <w:vertAlign w:val="subscript"/>
        </w:rPr>
        <w:t>g</w:t>
      </w:r>
      <w:r w:rsidRPr="001929DA">
        <w:rPr>
          <w:rFonts w:ascii="Times New Roman" w:hAnsi="Times New Roman" w:cs="Times New Roman"/>
          <w:i/>
          <w:sz w:val="24"/>
          <w:szCs w:val="24"/>
        </w:rPr>
        <w:t xml:space="preserve"> </w:t>
      </w:r>
      <w:r>
        <w:rPr>
          <w:rFonts w:ascii="Times New Roman" w:hAnsi="Times New Roman" w:cs="Times New Roman"/>
          <w:sz w:val="24"/>
          <w:szCs w:val="24"/>
        </w:rPr>
        <w:t xml:space="preserve">cannot be achieved at the same time. In order to improve mechanical properties, thermal stability, and </w:t>
      </w:r>
      <w:r w:rsidRPr="003F028B">
        <w:rPr>
          <w:rFonts w:ascii="Times New Roman" w:hAnsi="Times New Roman" w:cs="Times New Roman"/>
          <w:i/>
          <w:sz w:val="24"/>
          <w:szCs w:val="24"/>
        </w:rPr>
        <w:t>T</w:t>
      </w:r>
      <w:r w:rsidRPr="003F028B">
        <w:rPr>
          <w:rFonts w:ascii="Times New Roman" w:hAnsi="Times New Roman" w:cs="Times New Roman"/>
          <w:i/>
          <w:sz w:val="24"/>
          <w:szCs w:val="24"/>
          <w:vertAlign w:val="subscript"/>
        </w:rPr>
        <w:t>g</w:t>
      </w:r>
      <w:r>
        <w:rPr>
          <w:rFonts w:ascii="Times New Roman" w:hAnsi="Times New Roman" w:cs="Times New Roman"/>
          <w:sz w:val="24"/>
          <w:szCs w:val="24"/>
        </w:rPr>
        <w:t xml:space="preserve">, one pot method was employed to synthesis UPR/rGO composites. In this method, more functional groups on GO sheets to form hydrogen bonding with UPR before and during reduction process. The electrical conductivity shows 2.4 x 10 -4 S m-1 at 0.96 wt.%, which is roughly double of the value of 1.0 wt.% UPR/rGO from Chapter 4. Moreover, the thermal stability is enhanced significantly, which is 18 ºC for </w:t>
      </w:r>
      <m:oMath>
        <m:sSubSup>
          <m:sSubSupPr>
            <m:ctrlPr>
              <w:rPr>
                <w:rFonts w:ascii="Cambria Math" w:hAnsi="Cambria Math" w:cs="Times New Roman"/>
                <w:i/>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peak</m:t>
            </m:r>
          </m:sup>
        </m:sSubSup>
      </m:oMath>
      <w:r>
        <w:rPr>
          <w:rFonts w:ascii="Times New Roman" w:hAnsi="Times New Roman" w:cs="Times New Roman"/>
          <w:sz w:val="24"/>
          <w:szCs w:val="24"/>
        </w:rPr>
        <w:t xml:space="preserve"> and 2 C for </w:t>
      </w:r>
      <m:oMath>
        <m:sSubSup>
          <m:sSubSupPr>
            <m:ctrlPr>
              <w:rPr>
                <w:rFonts w:ascii="Cambria Math" w:hAnsi="Cambria Math" w:cs="Times New Roman"/>
                <w:sz w:val="24"/>
                <w:szCs w:val="24"/>
              </w:rPr>
            </m:ctrlPr>
          </m:sSubSupPr>
          <m:e>
            <m:r>
              <w:rPr>
                <w:rFonts w:ascii="Cambria Math" w:hAnsi="Cambria Math" w:cs="Times New Roman"/>
                <w:sz w:val="24"/>
                <w:szCs w:val="24"/>
              </w:rPr>
              <m:t>T</m:t>
            </m:r>
          </m:e>
          <m:sub>
            <m:r>
              <w:rPr>
                <w:rFonts w:ascii="Cambria Math" w:hAnsi="Cambria Math" w:cs="Times New Roman"/>
                <w:sz w:val="24"/>
                <w:szCs w:val="24"/>
              </w:rPr>
              <m:t>d</m:t>
            </m:r>
          </m:sub>
          <m:sup>
            <m:r>
              <w:rPr>
                <w:rFonts w:ascii="Cambria Math" w:hAnsi="Cambria Math" w:cs="Times New Roman"/>
                <w:sz w:val="24"/>
                <w:szCs w:val="24"/>
              </w:rPr>
              <m:t>1/2</m:t>
            </m:r>
          </m:sup>
        </m:sSubSup>
      </m:oMath>
      <w:r>
        <w:rPr>
          <w:rFonts w:ascii="Times New Roman" w:hAnsi="Times New Roman" w:cs="Times New Roman"/>
          <w:sz w:val="24"/>
          <w:szCs w:val="24"/>
        </w:rPr>
        <w:t xml:space="preserve"> at 0.96 wt.%. All this confirmed a stronger interfacial interaction between rGO and UPR is formed by in one pot method. However, this method has two main drawbacks: First, the unreacted vitamin C still remains in the final product which cannot be removed due to the process limit. These unreacted vitamin C may bring some defects on the structure of composite that has been confirmed in SEM images. Therefore, Tg of UPR/rGO composites are reduced compared to neat UPR. Second, the removal of DMF is a big challenge for UPR composites. It is very hard to be removed which needs high temperature, vacuum, and longer evaporation time. However, styrene would also evaporate under this condition, which would significant reduce the crosslinking density. Thus, it is quite difficult to prepare a good sample with designed shape.</w:t>
      </w:r>
    </w:p>
    <w:p w14:paraId="2D819F75" w14:textId="77777777" w:rsidR="00D606C6" w:rsidRDefault="00D606C6" w:rsidP="00D606C6">
      <w:pPr>
        <w:spacing w:line="480" w:lineRule="auto"/>
        <w:ind w:firstLine="284"/>
        <w:jc w:val="both"/>
        <w:rPr>
          <w:rFonts w:ascii="Times New Roman" w:eastAsia="DengXian" w:hAnsi="Times New Roman" w:cs="Times New Roman"/>
          <w:sz w:val="24"/>
          <w:szCs w:val="24"/>
        </w:rPr>
      </w:pPr>
      <w:r>
        <w:rPr>
          <w:rFonts w:ascii="Times New Roman" w:hAnsi="Times New Roman" w:cs="Times New Roman"/>
          <w:sz w:val="24"/>
          <w:szCs w:val="24"/>
        </w:rPr>
        <w:t xml:space="preserve">HBPE synthesized from bio-based diol and trimer acid </w:t>
      </w:r>
      <w:r w:rsidRPr="001A5452">
        <w:rPr>
          <w:rFonts w:ascii="Times New Roman" w:eastAsia="DengXian" w:hAnsi="Times New Roman" w:cs="Times New Roman"/>
          <w:sz w:val="24"/>
          <w:szCs w:val="24"/>
        </w:rPr>
        <w:t>present excellent stretching ability and resilience, which could be restore back to their original state</w:t>
      </w:r>
      <w:r>
        <w:rPr>
          <w:rFonts w:ascii="Times New Roman" w:eastAsia="DengXian" w:hAnsi="Times New Roman" w:cs="Times New Roman"/>
          <w:sz w:val="24"/>
          <w:szCs w:val="24"/>
        </w:rPr>
        <w:t xml:space="preserve">. It is a typical elastomer, which exhibits low modulus, low strength and hysteresis behaviour. As discussed in Chapter 6, the mechanical properties were largely enhanced by addition of P-rGO at very low GO content. However, the hysteresis increased as P-rGO increased. Moreover, HBPE also shows partially self-healing capacity due to the formation of hydrogen bonding formed between carboxyl groups and hydroxyl groups without </w:t>
      </w:r>
      <w:r w:rsidRPr="001A5452">
        <w:rPr>
          <w:rFonts w:ascii="Times New Roman" w:eastAsia="DengXian" w:hAnsi="Times New Roman" w:cs="Times New Roman"/>
          <w:sz w:val="24"/>
          <w:szCs w:val="24"/>
        </w:rPr>
        <w:t>any plasticizer, solvent, hea</w:t>
      </w:r>
      <w:r>
        <w:rPr>
          <w:rFonts w:ascii="Times New Roman" w:eastAsia="DengXian" w:hAnsi="Times New Roman" w:cs="Times New Roman"/>
          <w:sz w:val="24"/>
          <w:szCs w:val="24"/>
        </w:rPr>
        <w:t xml:space="preserve">ling agents or external stimuli. Compared to other self-healing elastomers, the self-healing efficiency is quite low. This is presumably due to the hydrogen bonding formed between carboxyl groups and hydroxyl groups is weaker than hydrogen bonding formed between hydroxyl groups and amine groups.  Unlike other hyperbranched polymer, the branching degree (BD) of this HBPE couldn’t be obtained by NMR. This is because the starting monomers are large and complex, the terminal unit, linear unit and dendritic unit can’t be determined by NMR. </w:t>
      </w:r>
    </w:p>
    <w:p w14:paraId="60CF1232" w14:textId="593992A5" w:rsidR="00D606C6" w:rsidRDefault="00D606C6" w:rsidP="00D606C6">
      <w:pPr>
        <w:spacing w:line="480" w:lineRule="auto"/>
        <w:ind w:firstLine="284"/>
        <w:jc w:val="both"/>
        <w:rPr>
          <w:rFonts w:ascii="Times New Roman" w:eastAsia="DengXian" w:hAnsi="Times New Roman" w:cs="Times New Roman"/>
          <w:sz w:val="24"/>
          <w:szCs w:val="24"/>
        </w:rPr>
      </w:pPr>
    </w:p>
    <w:p w14:paraId="10BB9CD0" w14:textId="37BDA085" w:rsidR="00D606C6" w:rsidRDefault="00D606C6" w:rsidP="00D606C6">
      <w:pPr>
        <w:spacing w:line="480" w:lineRule="auto"/>
        <w:ind w:firstLine="284"/>
        <w:jc w:val="both"/>
        <w:rPr>
          <w:rFonts w:ascii="Times New Roman" w:eastAsia="DengXian" w:hAnsi="Times New Roman" w:cs="Times New Roman"/>
          <w:sz w:val="24"/>
          <w:szCs w:val="24"/>
        </w:rPr>
      </w:pPr>
    </w:p>
    <w:p w14:paraId="00C3D2A8" w14:textId="5D5ADBED" w:rsidR="00D606C6" w:rsidRDefault="00D606C6" w:rsidP="00D606C6">
      <w:pPr>
        <w:spacing w:line="480" w:lineRule="auto"/>
        <w:ind w:firstLine="284"/>
        <w:jc w:val="both"/>
        <w:rPr>
          <w:rFonts w:ascii="Times New Roman" w:eastAsia="DengXian" w:hAnsi="Times New Roman" w:cs="Times New Roman"/>
          <w:sz w:val="24"/>
          <w:szCs w:val="24"/>
        </w:rPr>
      </w:pPr>
    </w:p>
    <w:p w14:paraId="01B3EA65" w14:textId="1E697964" w:rsidR="00D606C6" w:rsidRDefault="00D606C6" w:rsidP="00D606C6">
      <w:pPr>
        <w:spacing w:line="480" w:lineRule="auto"/>
        <w:ind w:firstLine="284"/>
        <w:jc w:val="both"/>
        <w:rPr>
          <w:rFonts w:ascii="Times New Roman" w:eastAsia="DengXian" w:hAnsi="Times New Roman" w:cs="Times New Roman"/>
          <w:sz w:val="24"/>
          <w:szCs w:val="24"/>
        </w:rPr>
      </w:pPr>
    </w:p>
    <w:p w14:paraId="4F62B536" w14:textId="3D725F9B" w:rsidR="00D606C6" w:rsidRDefault="00D606C6" w:rsidP="00D606C6">
      <w:pPr>
        <w:spacing w:line="480" w:lineRule="auto"/>
        <w:ind w:firstLine="284"/>
        <w:jc w:val="both"/>
        <w:rPr>
          <w:rFonts w:ascii="Times New Roman" w:eastAsia="DengXian" w:hAnsi="Times New Roman" w:cs="Times New Roman"/>
          <w:sz w:val="24"/>
          <w:szCs w:val="24"/>
        </w:rPr>
      </w:pPr>
    </w:p>
    <w:p w14:paraId="67CA9B44" w14:textId="0F8E564C" w:rsidR="00D606C6" w:rsidRDefault="00D606C6" w:rsidP="00D606C6">
      <w:pPr>
        <w:spacing w:line="480" w:lineRule="auto"/>
        <w:ind w:firstLine="284"/>
        <w:jc w:val="both"/>
        <w:rPr>
          <w:rFonts w:ascii="Times New Roman" w:eastAsia="DengXian" w:hAnsi="Times New Roman" w:cs="Times New Roman"/>
          <w:sz w:val="24"/>
          <w:szCs w:val="24"/>
        </w:rPr>
      </w:pPr>
    </w:p>
    <w:p w14:paraId="629151B6" w14:textId="102131F6" w:rsidR="00D606C6" w:rsidRDefault="00D606C6" w:rsidP="00D606C6">
      <w:pPr>
        <w:spacing w:line="480" w:lineRule="auto"/>
        <w:ind w:firstLine="284"/>
        <w:jc w:val="both"/>
        <w:rPr>
          <w:rFonts w:ascii="Times New Roman" w:eastAsia="DengXian" w:hAnsi="Times New Roman" w:cs="Times New Roman"/>
          <w:sz w:val="24"/>
          <w:szCs w:val="24"/>
        </w:rPr>
      </w:pPr>
    </w:p>
    <w:p w14:paraId="648662E6" w14:textId="479F224D" w:rsidR="00D606C6" w:rsidRDefault="00D606C6" w:rsidP="00D606C6">
      <w:pPr>
        <w:spacing w:line="480" w:lineRule="auto"/>
        <w:ind w:firstLine="284"/>
        <w:jc w:val="both"/>
        <w:rPr>
          <w:rFonts w:ascii="Times New Roman" w:eastAsia="DengXian" w:hAnsi="Times New Roman" w:cs="Times New Roman"/>
          <w:sz w:val="24"/>
          <w:szCs w:val="24"/>
        </w:rPr>
      </w:pPr>
    </w:p>
    <w:p w14:paraId="3EF3AE87" w14:textId="6DFF1C5A" w:rsidR="00D606C6" w:rsidRDefault="00D606C6" w:rsidP="00D606C6">
      <w:pPr>
        <w:spacing w:line="480" w:lineRule="auto"/>
        <w:ind w:firstLine="284"/>
        <w:jc w:val="both"/>
        <w:rPr>
          <w:rFonts w:ascii="Times New Roman" w:eastAsia="DengXian" w:hAnsi="Times New Roman" w:cs="Times New Roman"/>
          <w:sz w:val="24"/>
          <w:szCs w:val="24"/>
        </w:rPr>
      </w:pPr>
    </w:p>
    <w:p w14:paraId="6EEFA599" w14:textId="7EFF17B5" w:rsidR="00D606C6" w:rsidRDefault="00D606C6" w:rsidP="00D606C6">
      <w:pPr>
        <w:spacing w:line="480" w:lineRule="auto"/>
        <w:ind w:firstLine="284"/>
        <w:jc w:val="both"/>
        <w:rPr>
          <w:rFonts w:ascii="Times New Roman" w:eastAsia="DengXian" w:hAnsi="Times New Roman" w:cs="Times New Roman"/>
          <w:sz w:val="24"/>
          <w:szCs w:val="24"/>
        </w:rPr>
      </w:pPr>
    </w:p>
    <w:p w14:paraId="1B3D6E5F" w14:textId="1078EAEF" w:rsidR="00D606C6" w:rsidRDefault="00D606C6" w:rsidP="00D606C6">
      <w:pPr>
        <w:spacing w:line="480" w:lineRule="auto"/>
        <w:ind w:firstLine="284"/>
        <w:jc w:val="both"/>
        <w:rPr>
          <w:rFonts w:ascii="Times New Roman" w:eastAsia="DengXian" w:hAnsi="Times New Roman" w:cs="Times New Roman"/>
          <w:sz w:val="24"/>
          <w:szCs w:val="24"/>
        </w:rPr>
      </w:pPr>
    </w:p>
    <w:p w14:paraId="09D99AE9" w14:textId="570EF9B1" w:rsidR="00D606C6" w:rsidRDefault="00D606C6" w:rsidP="00D606C6">
      <w:pPr>
        <w:spacing w:line="480" w:lineRule="auto"/>
        <w:ind w:firstLine="284"/>
        <w:jc w:val="both"/>
        <w:rPr>
          <w:rFonts w:ascii="Times New Roman" w:eastAsia="DengXian" w:hAnsi="Times New Roman" w:cs="Times New Roman"/>
          <w:sz w:val="24"/>
          <w:szCs w:val="24"/>
        </w:rPr>
      </w:pPr>
    </w:p>
    <w:p w14:paraId="748DE1A6" w14:textId="0DC5FB61" w:rsidR="00D606C6" w:rsidRDefault="00D606C6" w:rsidP="00D606C6">
      <w:pPr>
        <w:spacing w:line="480" w:lineRule="auto"/>
        <w:ind w:firstLine="284"/>
        <w:jc w:val="both"/>
        <w:rPr>
          <w:rFonts w:ascii="Times New Roman" w:eastAsia="DengXian" w:hAnsi="Times New Roman" w:cs="Times New Roman"/>
          <w:sz w:val="24"/>
          <w:szCs w:val="24"/>
        </w:rPr>
      </w:pPr>
    </w:p>
    <w:p w14:paraId="7F497EAB" w14:textId="76721BD1" w:rsidR="00D606C6" w:rsidRDefault="00D606C6" w:rsidP="00D606C6">
      <w:pPr>
        <w:spacing w:line="480" w:lineRule="auto"/>
        <w:ind w:firstLine="284"/>
        <w:jc w:val="both"/>
        <w:rPr>
          <w:rFonts w:ascii="Times New Roman" w:eastAsia="DengXian" w:hAnsi="Times New Roman" w:cs="Times New Roman"/>
          <w:sz w:val="24"/>
          <w:szCs w:val="24"/>
        </w:rPr>
      </w:pPr>
    </w:p>
    <w:p w14:paraId="12A20E40" w14:textId="77777777" w:rsidR="00D606C6" w:rsidRDefault="00D606C6" w:rsidP="00D606C6">
      <w:pPr>
        <w:spacing w:line="480" w:lineRule="auto"/>
        <w:ind w:firstLine="284"/>
        <w:jc w:val="both"/>
        <w:rPr>
          <w:rFonts w:ascii="Times New Roman" w:eastAsia="DengXian" w:hAnsi="Times New Roman" w:cs="Times New Roman"/>
          <w:sz w:val="24"/>
          <w:szCs w:val="24"/>
        </w:rPr>
      </w:pPr>
    </w:p>
    <w:p w14:paraId="02FA03B0" w14:textId="68092D90" w:rsidR="00D606C6" w:rsidRPr="00E709EE" w:rsidRDefault="00E7278B" w:rsidP="00E709EE">
      <w:pPr>
        <w:pStyle w:val="Heading1"/>
        <w:rPr>
          <w:sz w:val="40"/>
          <w:szCs w:val="40"/>
        </w:rPr>
      </w:pPr>
      <w:bookmarkStart w:id="315" w:name="_Toc518823368"/>
      <w:r>
        <w:rPr>
          <w:sz w:val="40"/>
          <w:szCs w:val="40"/>
        </w:rPr>
        <w:t>Chapter 8</w:t>
      </w:r>
      <w:r w:rsidR="00D606C6" w:rsidRPr="00E709EE">
        <w:rPr>
          <w:sz w:val="40"/>
          <w:szCs w:val="40"/>
        </w:rPr>
        <w:t>: Future work</w:t>
      </w:r>
      <w:bookmarkEnd w:id="315"/>
    </w:p>
    <w:p w14:paraId="5787C2C5" w14:textId="77777777" w:rsidR="00D606C6" w:rsidRPr="00EB262C" w:rsidRDefault="00D606C6" w:rsidP="00D606C6">
      <w:pPr>
        <w:pStyle w:val="NoSpacing"/>
      </w:pPr>
    </w:p>
    <w:p w14:paraId="394646C3" w14:textId="278F513F" w:rsidR="00E7278B" w:rsidRDefault="00E7278B" w:rsidP="00D606C6">
      <w:pPr>
        <w:spacing w:line="480" w:lineRule="auto"/>
        <w:jc w:val="both"/>
        <w:rPr>
          <w:rFonts w:ascii="Times New Roman" w:hAnsi="Times New Roman" w:cs="Times New Roman" w:hint="eastAsia"/>
          <w:sz w:val="24"/>
          <w:szCs w:val="24"/>
        </w:rPr>
      </w:pPr>
      <w:r>
        <w:rPr>
          <w:rFonts w:ascii="Times New Roman" w:hAnsi="Times New Roman" w:cs="Times New Roman"/>
          <w:sz w:val="24"/>
          <w:szCs w:val="24"/>
        </w:rPr>
        <w:t xml:space="preserve">The dispersion and interaction of GO in polymer matrix (UPR) is the key parameter for the properties of UPR composites. For the preparation of UPR/GO composites via simple blending method, the evaporation of  styrene in UPR cannot be avoid during the sonication/degass process. Moreover, the adsorption of </w:t>
      </w:r>
      <w:r w:rsidR="002B61AB">
        <w:rPr>
          <w:rFonts w:ascii="Times New Roman" w:hAnsi="Times New Roman" w:cs="Times New Roman"/>
          <w:sz w:val="24"/>
          <w:szCs w:val="24"/>
        </w:rPr>
        <w:t>styrene</w:t>
      </w:r>
      <w:r>
        <w:rPr>
          <w:rFonts w:ascii="Times New Roman" w:hAnsi="Times New Roman" w:cs="Times New Roman"/>
          <w:sz w:val="24"/>
          <w:szCs w:val="24"/>
        </w:rPr>
        <w:t xml:space="preserve"> on graphene and GO sheets </w:t>
      </w:r>
      <w:r w:rsidR="002B61AB">
        <w:rPr>
          <w:rFonts w:ascii="Times New Roman" w:hAnsi="Times New Roman" w:cs="Times New Roman"/>
          <w:sz w:val="24"/>
          <w:szCs w:val="24"/>
        </w:rPr>
        <w:t xml:space="preserve">would negatively impact the crosslinking density and final properties of composites. In order to </w:t>
      </w:r>
      <w:r w:rsidR="005565F0">
        <w:rPr>
          <w:rFonts w:ascii="Times New Roman" w:hAnsi="Times New Roman" w:cs="Times New Roman"/>
          <w:sz w:val="24"/>
          <w:szCs w:val="24"/>
        </w:rPr>
        <w:t>compensate</w:t>
      </w:r>
      <w:r w:rsidR="002B61AB">
        <w:rPr>
          <w:rFonts w:ascii="Times New Roman" w:hAnsi="Times New Roman" w:cs="Times New Roman"/>
          <w:sz w:val="24"/>
          <w:szCs w:val="24"/>
        </w:rPr>
        <w:t xml:space="preserve"> the negative effects from the preparation method, </w:t>
      </w:r>
      <w:r w:rsidR="005565F0">
        <w:rPr>
          <w:rFonts w:ascii="Times New Roman" w:hAnsi="Times New Roman" w:cs="Times New Roman"/>
          <w:sz w:val="24"/>
          <w:szCs w:val="24"/>
        </w:rPr>
        <w:t>there are two</w:t>
      </w:r>
      <w:r w:rsidR="005E689D">
        <w:rPr>
          <w:rFonts w:ascii="Times New Roman" w:hAnsi="Times New Roman" w:cs="Times New Roman"/>
          <w:sz w:val="24"/>
          <w:szCs w:val="24"/>
        </w:rPr>
        <w:t xml:space="preserve"> methods would be used in the future. 1). GO is modified by introducing some functional groups, resulting in strong interaction between GO and UPR via the formation of covalent bonding. This may compensate the negative effect from evaporation and surface absorption of styrene.</w:t>
      </w:r>
      <w:r w:rsidR="00832463">
        <w:rPr>
          <w:rFonts w:ascii="Times New Roman" w:hAnsi="Times New Roman" w:cs="Times New Roman"/>
          <w:sz w:val="24"/>
          <w:szCs w:val="24"/>
        </w:rPr>
        <w:t xml:space="preserve"> 2) </w:t>
      </w:r>
      <w:r w:rsidR="00D9257D">
        <w:rPr>
          <w:rFonts w:ascii="Times New Roman" w:hAnsi="Times New Roman" w:cs="Times New Roman"/>
          <w:sz w:val="24"/>
          <w:szCs w:val="24"/>
        </w:rPr>
        <w:t>Mix GO with UPR by strong mechanical agitation without solvents like THF. Figure out how much styrene would evaporate during the degass</w:t>
      </w:r>
      <w:r w:rsidR="005565F0">
        <w:rPr>
          <w:rFonts w:ascii="Times New Roman" w:hAnsi="Times New Roman" w:cs="Times New Roman"/>
          <w:sz w:val="24"/>
          <w:szCs w:val="24"/>
        </w:rPr>
        <w:t xml:space="preserve"> process. A</w:t>
      </w:r>
      <w:r w:rsidR="00D9257D">
        <w:rPr>
          <w:rFonts w:ascii="Times New Roman" w:hAnsi="Times New Roman" w:cs="Times New Roman"/>
          <w:sz w:val="24"/>
          <w:szCs w:val="24"/>
        </w:rPr>
        <w:t xml:space="preserve">dd same amount of styrene to compensate the loss of styrene during the process. </w:t>
      </w:r>
      <w:r w:rsidR="005565F0">
        <w:rPr>
          <w:rFonts w:ascii="Times New Roman" w:hAnsi="Times New Roman" w:cs="Times New Roman"/>
          <w:sz w:val="24"/>
          <w:szCs w:val="24"/>
        </w:rPr>
        <w:t xml:space="preserve">To avoid </w:t>
      </w:r>
      <w:r w:rsidR="00D9257D">
        <w:rPr>
          <w:rFonts w:ascii="Times New Roman" w:hAnsi="Times New Roman" w:cs="Times New Roman"/>
          <w:sz w:val="24"/>
          <w:szCs w:val="24"/>
        </w:rPr>
        <w:t xml:space="preserve">evaporate the styrene during the mixing process by </w:t>
      </w:r>
      <w:r w:rsidR="001A74AE">
        <w:rPr>
          <w:rFonts w:ascii="Times New Roman" w:hAnsi="Times New Roman" w:cs="Times New Roman" w:hint="eastAsia"/>
          <w:sz w:val="24"/>
          <w:szCs w:val="24"/>
        </w:rPr>
        <w:t>dis</w:t>
      </w:r>
      <w:r w:rsidR="001A74AE">
        <w:rPr>
          <w:rFonts w:ascii="Times New Roman" w:hAnsi="Times New Roman" w:cs="Times New Roman"/>
          <w:sz w:val="24"/>
          <w:szCs w:val="24"/>
        </w:rPr>
        <w:t xml:space="preserve">tillation. However, this method is only suitable for low concentration of composites. </w:t>
      </w:r>
    </w:p>
    <w:p w14:paraId="34270D7C" w14:textId="77777777" w:rsidR="00E7278B" w:rsidRDefault="00E7278B" w:rsidP="00D606C6">
      <w:pPr>
        <w:spacing w:line="480" w:lineRule="auto"/>
        <w:jc w:val="both"/>
        <w:rPr>
          <w:rFonts w:ascii="Times New Roman" w:hAnsi="Times New Roman" w:cs="Times New Roman"/>
          <w:sz w:val="24"/>
          <w:szCs w:val="24"/>
        </w:rPr>
      </w:pPr>
    </w:p>
    <w:p w14:paraId="23F536A1" w14:textId="77777777" w:rsidR="00E7278B" w:rsidRDefault="00E7278B" w:rsidP="00D606C6">
      <w:pPr>
        <w:spacing w:line="480" w:lineRule="auto"/>
        <w:jc w:val="both"/>
        <w:rPr>
          <w:rFonts w:ascii="Times New Roman" w:hAnsi="Times New Roman" w:cs="Times New Roman"/>
          <w:sz w:val="24"/>
          <w:szCs w:val="24"/>
        </w:rPr>
      </w:pPr>
    </w:p>
    <w:p w14:paraId="716E48CC" w14:textId="77777777" w:rsidR="00E7278B" w:rsidRDefault="00E7278B" w:rsidP="00D606C6">
      <w:pPr>
        <w:spacing w:line="480" w:lineRule="auto"/>
        <w:jc w:val="both"/>
        <w:rPr>
          <w:rFonts w:ascii="Times New Roman" w:hAnsi="Times New Roman" w:cs="Times New Roman"/>
          <w:sz w:val="24"/>
          <w:szCs w:val="24"/>
        </w:rPr>
      </w:pPr>
    </w:p>
    <w:p w14:paraId="2E2DA859" w14:textId="5B296B72" w:rsidR="00D606C6" w:rsidRDefault="00D606C6" w:rsidP="006F38AE">
      <w:pPr>
        <w:spacing w:after="0" w:line="480" w:lineRule="auto"/>
        <w:contextualSpacing/>
        <w:jc w:val="both"/>
        <w:rPr>
          <w:rFonts w:ascii="Times New Roman" w:eastAsia="DengXian" w:hAnsi="Times New Roman" w:cs="Times New Roman"/>
          <w:sz w:val="24"/>
          <w:szCs w:val="24"/>
        </w:rPr>
      </w:pPr>
    </w:p>
    <w:p w14:paraId="5F0BDDFD" w14:textId="3599998D" w:rsidR="00D973A8" w:rsidRDefault="00D973A8" w:rsidP="006F38AE">
      <w:pPr>
        <w:spacing w:after="0" w:line="480" w:lineRule="auto"/>
        <w:contextualSpacing/>
        <w:jc w:val="both"/>
        <w:rPr>
          <w:rFonts w:ascii="Times New Roman" w:eastAsia="DengXian" w:hAnsi="Times New Roman" w:cs="Times New Roman"/>
          <w:sz w:val="24"/>
          <w:szCs w:val="24"/>
        </w:rPr>
      </w:pPr>
    </w:p>
    <w:p w14:paraId="60A4784F" w14:textId="4C367F90" w:rsidR="00D973A8" w:rsidRDefault="00D973A8" w:rsidP="006F38AE">
      <w:pPr>
        <w:spacing w:after="0" w:line="480" w:lineRule="auto"/>
        <w:contextualSpacing/>
        <w:jc w:val="both"/>
        <w:rPr>
          <w:rFonts w:ascii="Times New Roman" w:eastAsia="DengXian" w:hAnsi="Times New Roman" w:cs="Times New Roman"/>
          <w:sz w:val="24"/>
          <w:szCs w:val="24"/>
        </w:rPr>
      </w:pPr>
    </w:p>
    <w:p w14:paraId="1024E970" w14:textId="35A90187" w:rsidR="00D973A8" w:rsidRDefault="00D973A8" w:rsidP="00D973A8">
      <w:pPr>
        <w:pStyle w:val="Heading1"/>
      </w:pPr>
      <w:bookmarkStart w:id="316" w:name="_Toc518823369"/>
      <w:r>
        <w:t>References</w:t>
      </w:r>
      <w:bookmarkEnd w:id="316"/>
    </w:p>
    <w:p w14:paraId="56FCA75D" w14:textId="69E76823" w:rsidR="007D10CD" w:rsidRPr="007D10CD" w:rsidRDefault="00D973A8"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D973A8">
        <w:rPr>
          <w:rFonts w:ascii="Times New Roman" w:hAnsi="Times New Roman" w:cs="Times New Roman"/>
          <w:sz w:val="24"/>
          <w:szCs w:val="24"/>
        </w:rPr>
        <w:fldChar w:fldCharType="begin" w:fldLock="1"/>
      </w:r>
      <w:r w:rsidRPr="00D973A8">
        <w:rPr>
          <w:rFonts w:ascii="Times New Roman" w:hAnsi="Times New Roman" w:cs="Times New Roman"/>
          <w:sz w:val="24"/>
          <w:szCs w:val="24"/>
        </w:rPr>
        <w:instrText xml:space="preserve">ADDIN Mendeley Bibliography CSL_BIBLIOGRAPHY </w:instrText>
      </w:r>
      <w:r w:rsidRPr="00D973A8">
        <w:rPr>
          <w:rFonts w:ascii="Times New Roman" w:hAnsi="Times New Roman" w:cs="Times New Roman"/>
          <w:sz w:val="24"/>
          <w:szCs w:val="24"/>
        </w:rPr>
        <w:fldChar w:fldCharType="separate"/>
      </w:r>
      <w:r w:rsidR="007D10CD" w:rsidRPr="007D10CD">
        <w:rPr>
          <w:rFonts w:ascii="Times New Roman" w:hAnsi="Times New Roman" w:cs="Times New Roman"/>
          <w:noProof/>
          <w:sz w:val="24"/>
          <w:szCs w:val="24"/>
        </w:rPr>
        <w:t>[1]</w:t>
      </w:r>
      <w:r w:rsidR="007D10CD" w:rsidRPr="007D10CD">
        <w:rPr>
          <w:rFonts w:ascii="Times New Roman" w:hAnsi="Times New Roman" w:cs="Times New Roman"/>
          <w:noProof/>
          <w:sz w:val="24"/>
          <w:szCs w:val="24"/>
        </w:rPr>
        <w:tab/>
        <w:t xml:space="preserve">Z.-M. Huang, Y.-Z. Zhang, M. Kotaki, and S. Ramakrishna, “A review on polymer nanofibers by electrospinning and their applications in nanocomposites,” </w:t>
      </w:r>
      <w:r w:rsidR="007D10CD" w:rsidRPr="007D10CD">
        <w:rPr>
          <w:rFonts w:ascii="Times New Roman" w:hAnsi="Times New Roman" w:cs="Times New Roman"/>
          <w:i/>
          <w:iCs/>
          <w:noProof/>
          <w:sz w:val="24"/>
          <w:szCs w:val="24"/>
        </w:rPr>
        <w:t>Compos. Sci. Technol.</w:t>
      </w:r>
      <w:r w:rsidR="007D10CD" w:rsidRPr="007D10CD">
        <w:rPr>
          <w:rFonts w:ascii="Times New Roman" w:hAnsi="Times New Roman" w:cs="Times New Roman"/>
          <w:noProof/>
          <w:sz w:val="24"/>
          <w:szCs w:val="24"/>
        </w:rPr>
        <w:t>, vol. 63, pp. 2223–2253, Nov. 2003.</w:t>
      </w:r>
    </w:p>
    <w:p w14:paraId="35AD7AE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w:t>
      </w:r>
      <w:r w:rsidRPr="007D10CD">
        <w:rPr>
          <w:rFonts w:ascii="Times New Roman" w:hAnsi="Times New Roman" w:cs="Times New Roman"/>
          <w:noProof/>
          <w:sz w:val="24"/>
          <w:szCs w:val="24"/>
        </w:rPr>
        <w:tab/>
        <w:t xml:space="preserve">K. O. Okada A, KawasumiM, Usuki A, Kojima Y, Kurauchi T, “Synthesis and properties of nylon-6/clay hybrids,” in </w:t>
      </w:r>
      <w:r w:rsidRPr="007D10CD">
        <w:rPr>
          <w:rFonts w:ascii="Times New Roman" w:hAnsi="Times New Roman" w:cs="Times New Roman"/>
          <w:i/>
          <w:iCs/>
          <w:noProof/>
          <w:sz w:val="24"/>
          <w:szCs w:val="24"/>
        </w:rPr>
        <w:t>Polymer based molecular composites</w:t>
      </w:r>
      <w:r w:rsidRPr="007D10CD">
        <w:rPr>
          <w:rFonts w:ascii="Times New Roman" w:hAnsi="Times New Roman" w:cs="Times New Roman"/>
          <w:noProof/>
          <w:sz w:val="24"/>
          <w:szCs w:val="24"/>
        </w:rPr>
        <w:t>, S. DW and M. JE, Eds. Materials Research Society, 1990, pp. 45–50.</w:t>
      </w:r>
    </w:p>
    <w:p w14:paraId="5B5164E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w:t>
      </w:r>
      <w:r w:rsidRPr="007D10CD">
        <w:rPr>
          <w:rFonts w:ascii="Times New Roman" w:hAnsi="Times New Roman" w:cs="Times New Roman"/>
          <w:noProof/>
          <w:sz w:val="24"/>
          <w:szCs w:val="24"/>
        </w:rPr>
        <w:tab/>
        <w:t xml:space="preserve">K. S. Novoselov, A. K. Geim, S. V. V. Morozov, D. Jiang, Y. Zhang, S. V. Dubonos, I. V. Grigorieva, and A. A. Firsov, “Electric Field Effect in Atomically Thin Carbon Films,” </w:t>
      </w:r>
      <w:r w:rsidRPr="007D10CD">
        <w:rPr>
          <w:rFonts w:ascii="Times New Roman" w:hAnsi="Times New Roman" w:cs="Times New Roman"/>
          <w:i/>
          <w:iCs/>
          <w:noProof/>
          <w:sz w:val="24"/>
          <w:szCs w:val="24"/>
        </w:rPr>
        <w:t>Science (80-. ).</w:t>
      </w:r>
      <w:r w:rsidRPr="007D10CD">
        <w:rPr>
          <w:rFonts w:ascii="Times New Roman" w:hAnsi="Times New Roman" w:cs="Times New Roman"/>
          <w:noProof/>
          <w:sz w:val="24"/>
          <w:szCs w:val="24"/>
        </w:rPr>
        <w:t>, vol. 306, no. 5696, pp. 666–669, 2004.</w:t>
      </w:r>
    </w:p>
    <w:p w14:paraId="5C99FD5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w:t>
      </w:r>
      <w:r w:rsidRPr="007D10CD">
        <w:rPr>
          <w:rFonts w:ascii="Times New Roman" w:hAnsi="Times New Roman" w:cs="Times New Roman"/>
          <w:noProof/>
          <w:sz w:val="24"/>
          <w:szCs w:val="24"/>
        </w:rPr>
        <w:tab/>
        <w:t xml:space="preserve">H. Cao, Y. Zheng, J. Zhou, W. Wang, and A. Pandit, “A novel hyperbranched polyester made from aconitic acid (B3) and di(ethylene glycol) (A2),” </w:t>
      </w:r>
      <w:r w:rsidRPr="007D10CD">
        <w:rPr>
          <w:rFonts w:ascii="Times New Roman" w:hAnsi="Times New Roman" w:cs="Times New Roman"/>
          <w:i/>
          <w:iCs/>
          <w:noProof/>
          <w:sz w:val="24"/>
          <w:szCs w:val="24"/>
        </w:rPr>
        <w:t>Polym. Int.</w:t>
      </w:r>
      <w:r w:rsidRPr="007D10CD">
        <w:rPr>
          <w:rFonts w:ascii="Times New Roman" w:hAnsi="Times New Roman" w:cs="Times New Roman"/>
          <w:noProof/>
          <w:sz w:val="24"/>
          <w:szCs w:val="24"/>
        </w:rPr>
        <w:t>, vol. 60, pp. 630–634, 2011.</w:t>
      </w:r>
    </w:p>
    <w:p w14:paraId="1A97D3C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w:t>
      </w:r>
      <w:r w:rsidRPr="007D10CD">
        <w:rPr>
          <w:rFonts w:ascii="Times New Roman" w:hAnsi="Times New Roman" w:cs="Times New Roman"/>
          <w:noProof/>
          <w:sz w:val="24"/>
          <w:szCs w:val="24"/>
        </w:rPr>
        <w:tab/>
        <w:t xml:space="preserve">M. Jikei and M. Kakimoto, “Hyperbranched aromatic polyamides prepared by direct polycondensation,” </w:t>
      </w:r>
      <w:r w:rsidRPr="007D10CD">
        <w:rPr>
          <w:rFonts w:ascii="Times New Roman" w:hAnsi="Times New Roman" w:cs="Times New Roman"/>
          <w:i/>
          <w:iCs/>
          <w:noProof/>
          <w:sz w:val="24"/>
          <w:szCs w:val="24"/>
        </w:rPr>
        <w:t>High Perform. Polym.</w:t>
      </w:r>
      <w:r w:rsidRPr="007D10CD">
        <w:rPr>
          <w:rFonts w:ascii="Times New Roman" w:hAnsi="Times New Roman" w:cs="Times New Roman"/>
          <w:noProof/>
          <w:sz w:val="24"/>
          <w:szCs w:val="24"/>
        </w:rPr>
        <w:t>, vol. 13, pp. 33–43, 2001.</w:t>
      </w:r>
    </w:p>
    <w:p w14:paraId="4DA3905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w:t>
      </w:r>
      <w:r w:rsidRPr="007D10CD">
        <w:rPr>
          <w:rFonts w:ascii="Times New Roman" w:hAnsi="Times New Roman" w:cs="Times New Roman"/>
          <w:noProof/>
          <w:sz w:val="24"/>
          <w:szCs w:val="24"/>
        </w:rPr>
        <w:tab/>
        <w:t xml:space="preserve">R. M. Jones, </w:t>
      </w:r>
      <w:r w:rsidRPr="007D10CD">
        <w:rPr>
          <w:rFonts w:ascii="Times New Roman" w:hAnsi="Times New Roman" w:cs="Times New Roman"/>
          <w:i/>
          <w:iCs/>
          <w:noProof/>
          <w:sz w:val="24"/>
          <w:szCs w:val="24"/>
        </w:rPr>
        <w:t>Mechanics of composite materials</w:t>
      </w:r>
      <w:r w:rsidRPr="007D10CD">
        <w:rPr>
          <w:rFonts w:ascii="Times New Roman" w:hAnsi="Times New Roman" w:cs="Times New Roman"/>
          <w:noProof/>
          <w:sz w:val="24"/>
          <w:szCs w:val="24"/>
        </w:rPr>
        <w:t>, Second. Taylor &amp; Francis, 1975.</w:t>
      </w:r>
    </w:p>
    <w:p w14:paraId="16E4614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w:t>
      </w:r>
      <w:r w:rsidRPr="007D10CD">
        <w:rPr>
          <w:rFonts w:ascii="Times New Roman" w:hAnsi="Times New Roman" w:cs="Times New Roman"/>
          <w:noProof/>
          <w:sz w:val="24"/>
          <w:szCs w:val="24"/>
        </w:rPr>
        <w:tab/>
        <w:t xml:space="preserve">K. K. Chawla, </w:t>
      </w:r>
      <w:r w:rsidRPr="007D10CD">
        <w:rPr>
          <w:rFonts w:ascii="Times New Roman" w:hAnsi="Times New Roman" w:cs="Times New Roman"/>
          <w:i/>
          <w:iCs/>
          <w:noProof/>
          <w:sz w:val="24"/>
          <w:szCs w:val="24"/>
        </w:rPr>
        <w:t>Composite materials: Science and Engineering</w:t>
      </w:r>
      <w:r w:rsidRPr="007D10CD">
        <w:rPr>
          <w:rFonts w:ascii="Times New Roman" w:hAnsi="Times New Roman" w:cs="Times New Roman"/>
          <w:noProof/>
          <w:sz w:val="24"/>
          <w:szCs w:val="24"/>
        </w:rPr>
        <w:t>, Third. Springer, 1987.</w:t>
      </w:r>
    </w:p>
    <w:p w14:paraId="527478D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w:t>
      </w:r>
      <w:r w:rsidRPr="007D10CD">
        <w:rPr>
          <w:rFonts w:ascii="Times New Roman" w:hAnsi="Times New Roman" w:cs="Times New Roman"/>
          <w:noProof/>
          <w:sz w:val="24"/>
          <w:szCs w:val="24"/>
        </w:rPr>
        <w:tab/>
        <w:t xml:space="preserve">N. Saheb and J. Jog, “Natural Fiber Polymer Composites : A Review,” </w:t>
      </w:r>
      <w:r w:rsidRPr="007D10CD">
        <w:rPr>
          <w:rFonts w:ascii="Times New Roman" w:hAnsi="Times New Roman" w:cs="Times New Roman"/>
          <w:i/>
          <w:iCs/>
          <w:noProof/>
          <w:sz w:val="24"/>
          <w:szCs w:val="24"/>
        </w:rPr>
        <w:t>Adv. Polym. Technol.</w:t>
      </w:r>
      <w:r w:rsidRPr="007D10CD">
        <w:rPr>
          <w:rFonts w:ascii="Times New Roman" w:hAnsi="Times New Roman" w:cs="Times New Roman"/>
          <w:noProof/>
          <w:sz w:val="24"/>
          <w:szCs w:val="24"/>
        </w:rPr>
        <w:t>, vol. 18, pp. 351–363, 1999.</w:t>
      </w:r>
    </w:p>
    <w:p w14:paraId="594CDC1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w:t>
      </w:r>
      <w:r w:rsidRPr="007D10CD">
        <w:rPr>
          <w:rFonts w:ascii="Times New Roman" w:hAnsi="Times New Roman" w:cs="Times New Roman"/>
          <w:noProof/>
          <w:sz w:val="24"/>
          <w:szCs w:val="24"/>
        </w:rPr>
        <w:tab/>
        <w:t xml:space="preserve">K. P. Matabola, A. R. De Vries, F. S. Moolman, and A. S. Luyt, “Single polymer composites: a review,” </w:t>
      </w:r>
      <w:r w:rsidRPr="007D10CD">
        <w:rPr>
          <w:rFonts w:ascii="Times New Roman" w:hAnsi="Times New Roman" w:cs="Times New Roman"/>
          <w:i/>
          <w:iCs/>
          <w:noProof/>
          <w:sz w:val="24"/>
          <w:szCs w:val="24"/>
        </w:rPr>
        <w:t>J. Mater. Sci.</w:t>
      </w:r>
      <w:r w:rsidRPr="007D10CD">
        <w:rPr>
          <w:rFonts w:ascii="Times New Roman" w:hAnsi="Times New Roman" w:cs="Times New Roman"/>
          <w:noProof/>
          <w:sz w:val="24"/>
          <w:szCs w:val="24"/>
        </w:rPr>
        <w:t>, vol. 44, pp. 6213–6222, 2009.</w:t>
      </w:r>
    </w:p>
    <w:p w14:paraId="74A3841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w:t>
      </w:r>
      <w:r w:rsidRPr="007D10CD">
        <w:rPr>
          <w:rFonts w:ascii="Times New Roman" w:hAnsi="Times New Roman" w:cs="Times New Roman"/>
          <w:noProof/>
          <w:sz w:val="24"/>
          <w:szCs w:val="24"/>
        </w:rPr>
        <w:tab/>
        <w:t xml:space="preserve">N. J. Capiati and R. S. Porter, “The concept of one polymer composites modelled with high density polyethylene,” </w:t>
      </w:r>
      <w:r w:rsidRPr="007D10CD">
        <w:rPr>
          <w:rFonts w:ascii="Times New Roman" w:hAnsi="Times New Roman" w:cs="Times New Roman"/>
          <w:i/>
          <w:iCs/>
          <w:noProof/>
          <w:sz w:val="24"/>
          <w:szCs w:val="24"/>
        </w:rPr>
        <w:t>J. Mater. Sci.</w:t>
      </w:r>
      <w:r w:rsidRPr="007D10CD">
        <w:rPr>
          <w:rFonts w:ascii="Times New Roman" w:hAnsi="Times New Roman" w:cs="Times New Roman"/>
          <w:noProof/>
          <w:sz w:val="24"/>
          <w:szCs w:val="24"/>
        </w:rPr>
        <w:t>, vol. 10, no. 10, pp. 1671–1677, 1975.</w:t>
      </w:r>
    </w:p>
    <w:p w14:paraId="400E5EB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w:t>
      </w:r>
      <w:r w:rsidRPr="007D10CD">
        <w:rPr>
          <w:rFonts w:ascii="Times New Roman" w:hAnsi="Times New Roman" w:cs="Times New Roman"/>
          <w:noProof/>
          <w:sz w:val="24"/>
          <w:szCs w:val="24"/>
        </w:rPr>
        <w:tab/>
        <w:t xml:space="preserve">J. Jordan, K. I. Jacob, R. Tannenbaum, M. A. Sharaf, and I. Jasiuk, “Experimental trends in polymer nanocomposites—a review,” </w:t>
      </w:r>
      <w:r w:rsidRPr="007D10CD">
        <w:rPr>
          <w:rFonts w:ascii="Times New Roman" w:hAnsi="Times New Roman" w:cs="Times New Roman"/>
          <w:i/>
          <w:iCs/>
          <w:noProof/>
          <w:sz w:val="24"/>
          <w:szCs w:val="24"/>
        </w:rPr>
        <w:t>Mater. Sci. Eng. A</w:t>
      </w:r>
      <w:r w:rsidRPr="007D10CD">
        <w:rPr>
          <w:rFonts w:ascii="Times New Roman" w:hAnsi="Times New Roman" w:cs="Times New Roman"/>
          <w:noProof/>
          <w:sz w:val="24"/>
          <w:szCs w:val="24"/>
        </w:rPr>
        <w:t>, vol. 393, pp. 1–11, Feb. 2005.</w:t>
      </w:r>
    </w:p>
    <w:p w14:paraId="0255352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w:t>
      </w:r>
      <w:r w:rsidRPr="007D10CD">
        <w:rPr>
          <w:rFonts w:ascii="Times New Roman" w:hAnsi="Times New Roman" w:cs="Times New Roman"/>
          <w:noProof/>
          <w:sz w:val="24"/>
          <w:szCs w:val="24"/>
        </w:rPr>
        <w:tab/>
        <w:t xml:space="preserve">E. P. Giannelis, “Polymer-layered silicate nanocomposites: Synthesis, properties and applications,” </w:t>
      </w:r>
      <w:r w:rsidRPr="007D10CD">
        <w:rPr>
          <w:rFonts w:ascii="Times New Roman" w:hAnsi="Times New Roman" w:cs="Times New Roman"/>
          <w:i/>
          <w:iCs/>
          <w:noProof/>
          <w:sz w:val="24"/>
          <w:szCs w:val="24"/>
        </w:rPr>
        <w:t>Appl. Organomet. Chem.</w:t>
      </w:r>
      <w:r w:rsidRPr="007D10CD">
        <w:rPr>
          <w:rFonts w:ascii="Times New Roman" w:hAnsi="Times New Roman" w:cs="Times New Roman"/>
          <w:noProof/>
          <w:sz w:val="24"/>
          <w:szCs w:val="24"/>
        </w:rPr>
        <w:t>, vol. 12, pp. 675–680, 1998.</w:t>
      </w:r>
    </w:p>
    <w:p w14:paraId="19E3FCD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w:t>
      </w:r>
      <w:r w:rsidRPr="007D10CD">
        <w:rPr>
          <w:rFonts w:ascii="Times New Roman" w:hAnsi="Times New Roman" w:cs="Times New Roman"/>
          <w:noProof/>
          <w:sz w:val="24"/>
          <w:szCs w:val="24"/>
        </w:rPr>
        <w:tab/>
        <w:t xml:space="preserve">C.-M. Chan, J. Wu, J.-X. Li, and Y.-K. Cheung, “Polypropylene/calcium carbonate nanocomposites,”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43, no. 10, pp. 2981–2992, 2002.</w:t>
      </w:r>
    </w:p>
    <w:p w14:paraId="5A68AE3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w:t>
      </w:r>
      <w:r w:rsidRPr="007D10CD">
        <w:rPr>
          <w:rFonts w:ascii="Times New Roman" w:hAnsi="Times New Roman" w:cs="Times New Roman"/>
          <w:noProof/>
          <w:sz w:val="24"/>
          <w:szCs w:val="24"/>
        </w:rPr>
        <w:tab/>
        <w:t xml:space="preserve">T. Liu, K. P. Lim, W. C. Tjiu, K. P. Pramoda, and Z. K. Chen, “Preparation and characterization of nylon 11/organoclay nanocomposites,”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44, no. 12, pp. 3529–3535, 2003.</w:t>
      </w:r>
    </w:p>
    <w:p w14:paraId="7CF11F9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w:t>
      </w:r>
      <w:r w:rsidRPr="007D10CD">
        <w:rPr>
          <w:rFonts w:ascii="Times New Roman" w:hAnsi="Times New Roman" w:cs="Times New Roman"/>
          <w:noProof/>
          <w:sz w:val="24"/>
          <w:szCs w:val="24"/>
        </w:rPr>
        <w:tab/>
        <w:t xml:space="preserve">Emmanuel P. Giannelis, “Polymer layered silicate nanocomposites,” </w:t>
      </w:r>
      <w:r w:rsidRPr="007D10CD">
        <w:rPr>
          <w:rFonts w:ascii="Times New Roman" w:hAnsi="Times New Roman" w:cs="Times New Roman"/>
          <w:i/>
          <w:iCs/>
          <w:noProof/>
          <w:sz w:val="24"/>
          <w:szCs w:val="24"/>
        </w:rPr>
        <w:t>Macromol. Mater. Eng.</w:t>
      </w:r>
      <w:r w:rsidRPr="007D10CD">
        <w:rPr>
          <w:rFonts w:ascii="Times New Roman" w:hAnsi="Times New Roman" w:cs="Times New Roman"/>
          <w:noProof/>
          <w:sz w:val="24"/>
          <w:szCs w:val="24"/>
        </w:rPr>
        <w:t>, vol. 8, pp. 29–35, 1996.</w:t>
      </w:r>
    </w:p>
    <w:p w14:paraId="4956D8D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w:t>
      </w:r>
      <w:r w:rsidRPr="007D10CD">
        <w:rPr>
          <w:rFonts w:ascii="Times New Roman" w:hAnsi="Times New Roman" w:cs="Times New Roman"/>
          <w:noProof/>
          <w:sz w:val="24"/>
          <w:szCs w:val="24"/>
        </w:rPr>
        <w:tab/>
        <w:t xml:space="preserve">N. Bitinis, M. Hernandez, R. Verdejo, J. M. Kenny, and M. A. Lopez-Manchado, “Recent advances in clay/polymer nanocomposites,” </w:t>
      </w:r>
      <w:r w:rsidRPr="007D10CD">
        <w:rPr>
          <w:rFonts w:ascii="Times New Roman" w:hAnsi="Times New Roman" w:cs="Times New Roman"/>
          <w:i/>
          <w:iCs/>
          <w:noProof/>
          <w:sz w:val="24"/>
          <w:szCs w:val="24"/>
        </w:rPr>
        <w:t>Adv. Mater.</w:t>
      </w:r>
      <w:r w:rsidRPr="007D10CD">
        <w:rPr>
          <w:rFonts w:ascii="Times New Roman" w:hAnsi="Times New Roman" w:cs="Times New Roman"/>
          <w:noProof/>
          <w:sz w:val="24"/>
          <w:szCs w:val="24"/>
        </w:rPr>
        <w:t>, vol. 23, no. 44, pp. 5229–5236, 2011.</w:t>
      </w:r>
    </w:p>
    <w:p w14:paraId="23C9DEC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w:t>
      </w:r>
      <w:r w:rsidRPr="007D10CD">
        <w:rPr>
          <w:rFonts w:ascii="Times New Roman" w:hAnsi="Times New Roman" w:cs="Times New Roman"/>
          <w:noProof/>
          <w:sz w:val="24"/>
          <w:szCs w:val="24"/>
        </w:rPr>
        <w:tab/>
        <w:t xml:space="preserve">L. Dai and J. Sun, “Mechanical properties of carbon nanotubes-polymer composites,” in </w:t>
      </w:r>
      <w:r w:rsidRPr="007D10CD">
        <w:rPr>
          <w:rFonts w:ascii="Times New Roman" w:hAnsi="Times New Roman" w:cs="Times New Roman"/>
          <w:i/>
          <w:iCs/>
          <w:noProof/>
          <w:sz w:val="24"/>
          <w:szCs w:val="24"/>
        </w:rPr>
        <w:t>Carbon nanotubes-current progress of their polymer composites</w:t>
      </w:r>
      <w:r w:rsidRPr="007D10CD">
        <w:rPr>
          <w:rFonts w:ascii="Times New Roman" w:hAnsi="Times New Roman" w:cs="Times New Roman"/>
          <w:noProof/>
          <w:sz w:val="24"/>
          <w:szCs w:val="24"/>
        </w:rPr>
        <w:t>, M. R. B. and I. H. Hafez, Ed. Intech, 2013, pp. 155–194.</w:t>
      </w:r>
    </w:p>
    <w:p w14:paraId="1273C83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w:t>
      </w:r>
      <w:r w:rsidRPr="007D10CD">
        <w:rPr>
          <w:rFonts w:ascii="Times New Roman" w:hAnsi="Times New Roman" w:cs="Times New Roman"/>
          <w:noProof/>
          <w:sz w:val="24"/>
          <w:szCs w:val="24"/>
        </w:rPr>
        <w:tab/>
        <w:t xml:space="preserve">Z. Spitalsky, D. Tasis, K. Papagelis, and C. Galiotis, “Carbon nanotube-polymer composites: Chemistry, processing, mechanical and electrical properties,” </w:t>
      </w:r>
      <w:r w:rsidRPr="007D10CD">
        <w:rPr>
          <w:rFonts w:ascii="Times New Roman" w:hAnsi="Times New Roman" w:cs="Times New Roman"/>
          <w:i/>
          <w:iCs/>
          <w:noProof/>
          <w:sz w:val="24"/>
          <w:szCs w:val="24"/>
        </w:rPr>
        <w:t>Prog. Polym. Sci.</w:t>
      </w:r>
      <w:r w:rsidRPr="007D10CD">
        <w:rPr>
          <w:rFonts w:ascii="Times New Roman" w:hAnsi="Times New Roman" w:cs="Times New Roman"/>
          <w:noProof/>
          <w:sz w:val="24"/>
          <w:szCs w:val="24"/>
        </w:rPr>
        <w:t>, vol. 35, no. 3, pp. 357–401, 2010.</w:t>
      </w:r>
    </w:p>
    <w:p w14:paraId="7ED3C21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w:t>
      </w:r>
      <w:r w:rsidRPr="007D10CD">
        <w:rPr>
          <w:rFonts w:ascii="Times New Roman" w:hAnsi="Times New Roman" w:cs="Times New Roman"/>
          <w:noProof/>
          <w:sz w:val="24"/>
          <w:szCs w:val="24"/>
        </w:rPr>
        <w:tab/>
        <w:t xml:space="preserve">T. Kuilla, S. Bhadra, D. H. Yao, N. H. Kim, S. Bose, and J. H. Lee, “Recent advances in graphene based polymer composites,” </w:t>
      </w:r>
      <w:r w:rsidRPr="007D10CD">
        <w:rPr>
          <w:rFonts w:ascii="Times New Roman" w:hAnsi="Times New Roman" w:cs="Times New Roman"/>
          <w:i/>
          <w:iCs/>
          <w:noProof/>
          <w:sz w:val="24"/>
          <w:szCs w:val="24"/>
        </w:rPr>
        <w:t>Prog. Polym. Sci.</w:t>
      </w:r>
      <w:r w:rsidRPr="007D10CD">
        <w:rPr>
          <w:rFonts w:ascii="Times New Roman" w:hAnsi="Times New Roman" w:cs="Times New Roman"/>
          <w:noProof/>
          <w:sz w:val="24"/>
          <w:szCs w:val="24"/>
        </w:rPr>
        <w:t>, vol. 35, no. 11, pp. 1350–1375, 2010.</w:t>
      </w:r>
    </w:p>
    <w:p w14:paraId="1CCAA2D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w:t>
      </w:r>
      <w:r w:rsidRPr="007D10CD">
        <w:rPr>
          <w:rFonts w:ascii="Times New Roman" w:hAnsi="Times New Roman" w:cs="Times New Roman"/>
          <w:noProof/>
          <w:sz w:val="24"/>
          <w:szCs w:val="24"/>
        </w:rPr>
        <w:tab/>
        <w:t xml:space="preserve">R. Rohini, P. Katti, and S. Bose, “Tailoring the interface in graphene/thermoset polymer composites: A critical review,”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70, pp. A17–A34, 2015.</w:t>
      </w:r>
    </w:p>
    <w:p w14:paraId="24D6A0F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w:t>
      </w:r>
      <w:r w:rsidRPr="007D10CD">
        <w:rPr>
          <w:rFonts w:ascii="Times New Roman" w:hAnsi="Times New Roman" w:cs="Times New Roman"/>
          <w:noProof/>
          <w:sz w:val="24"/>
          <w:szCs w:val="24"/>
        </w:rPr>
        <w:tab/>
        <w:t xml:space="preserve">R. Sengupta, M. Bhattacharya, S. Bandyopadhyay, and A. K. Bhowmick, “A review on the mechanical and electrical properties of graphite and modified graphite reinforced polymer composites,” </w:t>
      </w:r>
      <w:r w:rsidRPr="007D10CD">
        <w:rPr>
          <w:rFonts w:ascii="Times New Roman" w:hAnsi="Times New Roman" w:cs="Times New Roman"/>
          <w:i/>
          <w:iCs/>
          <w:noProof/>
          <w:sz w:val="24"/>
          <w:szCs w:val="24"/>
        </w:rPr>
        <w:t>Prog. Polym. Sci.</w:t>
      </w:r>
      <w:r w:rsidRPr="007D10CD">
        <w:rPr>
          <w:rFonts w:ascii="Times New Roman" w:hAnsi="Times New Roman" w:cs="Times New Roman"/>
          <w:noProof/>
          <w:sz w:val="24"/>
          <w:szCs w:val="24"/>
        </w:rPr>
        <w:t>, vol. 36, no. 5, pp. 638–670, May 2011.</w:t>
      </w:r>
    </w:p>
    <w:p w14:paraId="58EA3C2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w:t>
      </w:r>
      <w:r w:rsidRPr="007D10CD">
        <w:rPr>
          <w:rFonts w:ascii="Times New Roman" w:hAnsi="Times New Roman" w:cs="Times New Roman"/>
          <w:noProof/>
          <w:sz w:val="24"/>
          <w:szCs w:val="24"/>
        </w:rPr>
        <w:tab/>
        <w:t xml:space="preserve">O. C. Compton and S. T. Nguyen, “Graphene oxide, highly reduced graphene oxide, and graphene: Versatile building blocks for carbon-based materials,” </w:t>
      </w:r>
      <w:r w:rsidRPr="007D10CD">
        <w:rPr>
          <w:rFonts w:ascii="Times New Roman" w:hAnsi="Times New Roman" w:cs="Times New Roman"/>
          <w:i/>
          <w:iCs/>
          <w:noProof/>
          <w:sz w:val="24"/>
          <w:szCs w:val="24"/>
        </w:rPr>
        <w:t>Small</w:t>
      </w:r>
      <w:r w:rsidRPr="007D10CD">
        <w:rPr>
          <w:rFonts w:ascii="Times New Roman" w:hAnsi="Times New Roman" w:cs="Times New Roman"/>
          <w:noProof/>
          <w:sz w:val="24"/>
          <w:szCs w:val="24"/>
        </w:rPr>
        <w:t>, vol. 6, no. 6, pp. 711–723, 2010.</w:t>
      </w:r>
    </w:p>
    <w:p w14:paraId="2D11CFB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w:t>
      </w:r>
      <w:r w:rsidRPr="007D10CD">
        <w:rPr>
          <w:rFonts w:ascii="Times New Roman" w:hAnsi="Times New Roman" w:cs="Times New Roman"/>
          <w:noProof/>
          <w:sz w:val="24"/>
          <w:szCs w:val="24"/>
        </w:rPr>
        <w:tab/>
        <w:t xml:space="preserve">Y. Zhu, S. Murali, W. Cai, X. Li, J. W. Suk, J. R. Potts, and R. S. Ruoff, “Graphene and graphene oxide: Synthesis, properties, and applications,” </w:t>
      </w:r>
      <w:r w:rsidRPr="007D10CD">
        <w:rPr>
          <w:rFonts w:ascii="Times New Roman" w:hAnsi="Times New Roman" w:cs="Times New Roman"/>
          <w:i/>
          <w:iCs/>
          <w:noProof/>
          <w:sz w:val="24"/>
          <w:szCs w:val="24"/>
        </w:rPr>
        <w:t>Adv. Mater.</w:t>
      </w:r>
      <w:r w:rsidRPr="007D10CD">
        <w:rPr>
          <w:rFonts w:ascii="Times New Roman" w:hAnsi="Times New Roman" w:cs="Times New Roman"/>
          <w:noProof/>
          <w:sz w:val="24"/>
          <w:szCs w:val="24"/>
        </w:rPr>
        <w:t>, vol. 22, no. 35, pp. 3906–3924, 2010.</w:t>
      </w:r>
    </w:p>
    <w:p w14:paraId="1F5AD13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w:t>
      </w:r>
      <w:r w:rsidRPr="007D10CD">
        <w:rPr>
          <w:rFonts w:ascii="Times New Roman" w:hAnsi="Times New Roman" w:cs="Times New Roman"/>
          <w:noProof/>
          <w:sz w:val="24"/>
          <w:szCs w:val="24"/>
        </w:rPr>
        <w:tab/>
        <w:t xml:space="preserve">M. Eizenberg and J. M. Blakely, “Carbon monolayer phase condensation on Ni(111),” </w:t>
      </w:r>
      <w:r w:rsidRPr="007D10CD">
        <w:rPr>
          <w:rFonts w:ascii="Times New Roman" w:hAnsi="Times New Roman" w:cs="Times New Roman"/>
          <w:i/>
          <w:iCs/>
          <w:noProof/>
          <w:sz w:val="24"/>
          <w:szCs w:val="24"/>
        </w:rPr>
        <w:t>Surf. Sci.</w:t>
      </w:r>
      <w:r w:rsidRPr="007D10CD">
        <w:rPr>
          <w:rFonts w:ascii="Times New Roman" w:hAnsi="Times New Roman" w:cs="Times New Roman"/>
          <w:noProof/>
          <w:sz w:val="24"/>
          <w:szCs w:val="24"/>
        </w:rPr>
        <w:t>, vol. 82, no. 1, pp. 228–236, 1979.</w:t>
      </w:r>
    </w:p>
    <w:p w14:paraId="7A18D8C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w:t>
      </w:r>
      <w:r w:rsidRPr="007D10CD">
        <w:rPr>
          <w:rFonts w:ascii="Times New Roman" w:hAnsi="Times New Roman" w:cs="Times New Roman"/>
          <w:noProof/>
          <w:sz w:val="24"/>
          <w:szCs w:val="24"/>
        </w:rPr>
        <w:tab/>
        <w:t xml:space="preserve">Z. Luo, S. Lim, Z. Tian, J. Shang, L. Lai, B. MacDonald, C. Fu, Z. Shen, T. Yu, and J. Lin, “Pyridinic N doped graphene: synthesis, electronic structure, and electrocatalytic property,”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21, pp. 8038–8044, 2011.</w:t>
      </w:r>
    </w:p>
    <w:p w14:paraId="26408A0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[26]</w:t>
      </w:r>
      <w:r w:rsidRPr="007D10CD">
        <w:rPr>
          <w:rFonts w:ascii="Times New Roman" w:hAnsi="Times New Roman" w:cs="Times New Roman"/>
          <w:noProof/>
          <w:sz w:val="24"/>
          <w:szCs w:val="24"/>
        </w:rPr>
        <w:tab/>
        <w:t xml:space="preserve">C. Berger, Z. Song, and X. Li, “Electronic Confinement and Coherence in patterned epitaxial graphene,” </w:t>
      </w:r>
      <w:r w:rsidRPr="007D10CD">
        <w:rPr>
          <w:rFonts w:ascii="Times New Roman" w:hAnsi="Times New Roman" w:cs="Times New Roman"/>
          <w:i/>
          <w:iCs/>
          <w:noProof/>
          <w:sz w:val="24"/>
          <w:szCs w:val="24"/>
        </w:rPr>
        <w:t>Science (80-. ).</w:t>
      </w:r>
      <w:r w:rsidRPr="007D10CD">
        <w:rPr>
          <w:rFonts w:ascii="Times New Roman" w:hAnsi="Times New Roman" w:cs="Times New Roman"/>
          <w:noProof/>
          <w:sz w:val="24"/>
          <w:szCs w:val="24"/>
        </w:rPr>
        <w:t>, vol. 312, pp. 1191–1196, 2006.</w:t>
      </w:r>
    </w:p>
    <w:p w14:paraId="14FB283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[27]</w:t>
      </w:r>
      <w:r w:rsidRPr="007D10CD">
        <w:rPr>
          <w:rFonts w:ascii="Times New Roman" w:hAnsi="Times New Roman" w:cs="Times New Roman"/>
          <w:noProof/>
          <w:sz w:val="24"/>
          <w:szCs w:val="24"/>
        </w:rPr>
        <w:tab/>
        <w:t xml:space="preserve">M. J. McAllister, J. L. Li, D. H. Adamson, H. C. Schniepp, A. A. Abdala, J. Liu, M. Herrera-Alonso, D. L. Milius, R. Car, R. K. Prud’homme, and I. A. Aksay, “Single sheet functionalized graphene by oxidation and thermal expansion of graphite,” </w:t>
      </w:r>
      <w:r w:rsidRPr="007D10CD">
        <w:rPr>
          <w:rFonts w:ascii="Times New Roman" w:hAnsi="Times New Roman" w:cs="Times New Roman"/>
          <w:i/>
          <w:iCs/>
          <w:noProof/>
          <w:sz w:val="24"/>
          <w:szCs w:val="24"/>
        </w:rPr>
        <w:t>Chem. Mater.</w:t>
      </w:r>
      <w:r w:rsidRPr="007D10CD">
        <w:rPr>
          <w:rFonts w:ascii="Times New Roman" w:hAnsi="Times New Roman" w:cs="Times New Roman"/>
          <w:noProof/>
          <w:sz w:val="24"/>
          <w:szCs w:val="24"/>
        </w:rPr>
        <w:t>, vol. 19, no. 18, pp. 4396–4404, 2007.</w:t>
      </w:r>
    </w:p>
    <w:p w14:paraId="0241EC3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[28]</w:t>
      </w:r>
      <w:r w:rsidRPr="007D10CD">
        <w:rPr>
          <w:rFonts w:ascii="Times New Roman" w:hAnsi="Times New Roman" w:cs="Times New Roman"/>
          <w:noProof/>
          <w:sz w:val="24"/>
          <w:szCs w:val="24"/>
        </w:rPr>
        <w:tab/>
        <w:t xml:space="preserve">H. C. Schniepp, J. L. Li, M. J. McAllister, H. Sai, M. Herrera-Alonson, D. H. Adamson, R. K. Prud’homme, R. Car, D. A. Seville, and I. A. Aksay, “Functionalized single graphene sheets derived from splitting graphite oxide,” </w:t>
      </w:r>
      <w:r w:rsidRPr="007D10CD">
        <w:rPr>
          <w:rFonts w:ascii="Times New Roman" w:hAnsi="Times New Roman" w:cs="Times New Roman"/>
          <w:i/>
          <w:iCs/>
          <w:noProof/>
          <w:sz w:val="24"/>
          <w:szCs w:val="24"/>
        </w:rPr>
        <w:t>J. Phys. Chem. B</w:t>
      </w:r>
      <w:r w:rsidRPr="007D10CD">
        <w:rPr>
          <w:rFonts w:ascii="Times New Roman" w:hAnsi="Times New Roman" w:cs="Times New Roman"/>
          <w:noProof/>
          <w:sz w:val="24"/>
          <w:szCs w:val="24"/>
        </w:rPr>
        <w:t>, vol. 110, pp. 8535–8539, 2006.</w:t>
      </w:r>
    </w:p>
    <w:p w14:paraId="360FE2F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[29]</w:t>
      </w:r>
      <w:r w:rsidRPr="007D10CD">
        <w:rPr>
          <w:rFonts w:ascii="Times New Roman" w:hAnsi="Times New Roman" w:cs="Times New Roman"/>
          <w:noProof/>
          <w:sz w:val="24"/>
          <w:szCs w:val="24"/>
        </w:rPr>
        <w:tab/>
        <w:t xml:space="preserve"> and N. K. Mohammad A. Rafiee, Javad Rafiee, Zhou Wang, Huaihe Song, Zhong Zhen Yu, “Enhanced mechanical properties of nanocomposites at low graphene content,” </w:t>
      </w:r>
      <w:r w:rsidRPr="007D10CD">
        <w:rPr>
          <w:rFonts w:ascii="Times New Roman" w:hAnsi="Times New Roman" w:cs="Times New Roman"/>
          <w:i/>
          <w:iCs/>
          <w:noProof/>
          <w:sz w:val="24"/>
          <w:szCs w:val="24"/>
        </w:rPr>
        <w:t>ACS Nano</w:t>
      </w:r>
      <w:r w:rsidRPr="007D10CD">
        <w:rPr>
          <w:rFonts w:ascii="Times New Roman" w:hAnsi="Times New Roman" w:cs="Times New Roman"/>
          <w:noProof/>
          <w:sz w:val="24"/>
          <w:szCs w:val="24"/>
        </w:rPr>
        <w:t>, vol. 3, no. 12, pp. 3884–3890, 2009.</w:t>
      </w:r>
    </w:p>
    <w:p w14:paraId="1A8296D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[30]</w:t>
      </w:r>
      <w:r w:rsidRPr="007D10CD">
        <w:rPr>
          <w:rFonts w:ascii="Times New Roman" w:hAnsi="Times New Roman" w:cs="Times New Roman"/>
          <w:noProof/>
          <w:sz w:val="24"/>
          <w:szCs w:val="24"/>
        </w:rPr>
        <w:tab/>
        <w:t xml:space="preserve">P. Steurer, R. Wissert, R. Thomann, and R. M??lhaupt, “Functionalized graphenes and thermoplastic nanocomposites based upon expanded graphite oxide,” </w:t>
      </w:r>
      <w:r w:rsidRPr="007D10CD">
        <w:rPr>
          <w:rFonts w:ascii="Times New Roman" w:hAnsi="Times New Roman" w:cs="Times New Roman"/>
          <w:i/>
          <w:iCs/>
          <w:noProof/>
          <w:sz w:val="24"/>
          <w:szCs w:val="24"/>
        </w:rPr>
        <w:t>Macromol. Rapid Commun.</w:t>
      </w:r>
      <w:r w:rsidRPr="007D10CD">
        <w:rPr>
          <w:rFonts w:ascii="Times New Roman" w:hAnsi="Times New Roman" w:cs="Times New Roman"/>
          <w:noProof/>
          <w:sz w:val="24"/>
          <w:szCs w:val="24"/>
        </w:rPr>
        <w:t>, vol. 30, pp. 316–327, 2009.</w:t>
      </w:r>
    </w:p>
    <w:p w14:paraId="1EE18BA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[31]</w:t>
      </w:r>
      <w:r w:rsidRPr="007D10CD">
        <w:rPr>
          <w:rFonts w:ascii="Times New Roman" w:hAnsi="Times New Roman" w:cs="Times New Roman"/>
          <w:noProof/>
          <w:sz w:val="24"/>
          <w:szCs w:val="24"/>
        </w:rPr>
        <w:tab/>
        <w:t xml:space="preserve">Y. Guo, X. Sun, Y. Liu, W. Wang, H. Qiu, and J. Gao, “One pot preparation of reduced graphene oxide (RGO) or Au (Ag) nanoparticle-RGO hybrids using chitosan as a reducing and stabilizing agent and their use in methanol electrooxidation,”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50, no. 7, pp. 2513–2523, 2012.</w:t>
      </w:r>
    </w:p>
    <w:p w14:paraId="4DB82FF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[32]</w:t>
      </w:r>
      <w:r w:rsidRPr="007D10CD">
        <w:rPr>
          <w:rFonts w:ascii="Times New Roman" w:hAnsi="Times New Roman" w:cs="Times New Roman"/>
          <w:noProof/>
          <w:sz w:val="24"/>
          <w:szCs w:val="24"/>
        </w:rPr>
        <w:tab/>
        <w:t xml:space="preserve">S. Park, J. An, J. R. Potts, A. Velamakanni, S. Murali, and R. S. Ruoff, “Hydrazine-reduction of graphite and graphene oxide,”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49, no. 9, pp. 3019–3023, 2011.</w:t>
      </w:r>
    </w:p>
    <w:p w14:paraId="2E14A81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[33]</w:t>
      </w:r>
      <w:r w:rsidRPr="007D10CD">
        <w:rPr>
          <w:rFonts w:ascii="Times New Roman" w:hAnsi="Times New Roman" w:cs="Times New Roman"/>
          <w:noProof/>
          <w:sz w:val="24"/>
          <w:szCs w:val="24"/>
        </w:rPr>
        <w:tab/>
        <w:t xml:space="preserve">S. Stankovich, R. D. Piner, X. Chen, N. Wu, S. T. Nguyen, and R. S. Ruoff, “Stable aqueous dispersions of graphitic nanoplatelets via the reduction of exfoliated graphite oxide in the presence of poly(sodium 4-styrenesulfonate),”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16, pp. 155–158, 2006.</w:t>
      </w:r>
    </w:p>
    <w:p w14:paraId="69823FC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[34]</w:t>
      </w:r>
      <w:r w:rsidRPr="007D10CD">
        <w:rPr>
          <w:rFonts w:ascii="Times New Roman" w:hAnsi="Times New Roman" w:cs="Times New Roman"/>
          <w:noProof/>
          <w:sz w:val="24"/>
          <w:szCs w:val="24"/>
        </w:rPr>
        <w:tab/>
        <w:t xml:space="preserve">S. Stankovich, D. A. Dikin, R. D. Piner, K. A. Kohlhaas, A. Kleinhammes, Y. Jia, Y. Wu, S. B. T. Nguyen, and R. S. Ruoff, “Synthesis of graphene-based nanosheets via chemical reduction of exfoliated graphite oxide,”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45, no. 7, pp. 1558–1565, 2007.</w:t>
      </w:r>
    </w:p>
    <w:p w14:paraId="44D53D3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[35]</w:t>
      </w:r>
      <w:r w:rsidRPr="007D10CD">
        <w:rPr>
          <w:rFonts w:ascii="Times New Roman" w:hAnsi="Times New Roman" w:cs="Times New Roman"/>
          <w:noProof/>
          <w:sz w:val="24"/>
          <w:szCs w:val="24"/>
        </w:rPr>
        <w:tab/>
        <w:t xml:space="preserve">H. J. Shin, K. K. Kim, A. Benayad, S. M. Yoon, H. K. Park, I. S. Jung, M. H. Jin, H. K. Jeong, J. M. Kim, J. Y. Choi, and Y. H. Lee, “Efficient reduction of graphite oxide by sodium borohydride and its effect on electrical conductance,” </w:t>
      </w:r>
      <w:r w:rsidRPr="007D10CD">
        <w:rPr>
          <w:rFonts w:ascii="Times New Roman" w:hAnsi="Times New Roman" w:cs="Times New Roman"/>
          <w:i/>
          <w:iCs/>
          <w:noProof/>
          <w:sz w:val="24"/>
          <w:szCs w:val="24"/>
        </w:rPr>
        <w:t>Adv. Funct. Mater.</w:t>
      </w:r>
      <w:r w:rsidRPr="007D10CD">
        <w:rPr>
          <w:rFonts w:ascii="Times New Roman" w:hAnsi="Times New Roman" w:cs="Times New Roman"/>
          <w:noProof/>
          <w:sz w:val="24"/>
          <w:szCs w:val="24"/>
        </w:rPr>
        <w:t>, vol. 19, pp. 1987–1992, 2009.</w:t>
      </w:r>
    </w:p>
    <w:p w14:paraId="439B0A6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[36]</w:t>
      </w:r>
      <w:r w:rsidRPr="007D10CD">
        <w:rPr>
          <w:rFonts w:ascii="Times New Roman" w:hAnsi="Times New Roman" w:cs="Times New Roman"/>
          <w:noProof/>
          <w:sz w:val="24"/>
          <w:szCs w:val="24"/>
        </w:rPr>
        <w:tab/>
        <w:t xml:space="preserve">M. Periasamy and M. Thirumalaikumar, “Methods of enhancement of reactivity and selectivity of sodium borohydride for applications in organic synthesis,” </w:t>
      </w:r>
      <w:r w:rsidRPr="007D10CD">
        <w:rPr>
          <w:rFonts w:ascii="Times New Roman" w:hAnsi="Times New Roman" w:cs="Times New Roman"/>
          <w:i/>
          <w:iCs/>
          <w:noProof/>
          <w:sz w:val="24"/>
          <w:szCs w:val="24"/>
        </w:rPr>
        <w:t>J. Organomet. Chem.</w:t>
      </w:r>
      <w:r w:rsidRPr="007D10CD">
        <w:rPr>
          <w:rFonts w:ascii="Times New Roman" w:hAnsi="Times New Roman" w:cs="Times New Roman"/>
          <w:noProof/>
          <w:sz w:val="24"/>
          <w:szCs w:val="24"/>
        </w:rPr>
        <w:t>, vol. 609, pp. 137–151, 2000.</w:t>
      </w:r>
    </w:p>
    <w:p w14:paraId="2DE9EE1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[37]</w:t>
      </w:r>
      <w:r w:rsidRPr="007D10CD">
        <w:rPr>
          <w:rFonts w:ascii="Times New Roman" w:hAnsi="Times New Roman" w:cs="Times New Roman"/>
          <w:noProof/>
          <w:sz w:val="24"/>
          <w:szCs w:val="24"/>
        </w:rPr>
        <w:tab/>
        <w:t xml:space="preserve">G. Wang, J. Yang, J. Park, X. Gou, B. Wang, H. Liu, and J. Yao, “Facile synthesis and characterization of graphene nanosheets,” </w:t>
      </w:r>
      <w:r w:rsidRPr="007D10CD">
        <w:rPr>
          <w:rFonts w:ascii="Times New Roman" w:hAnsi="Times New Roman" w:cs="Times New Roman"/>
          <w:i/>
          <w:iCs/>
          <w:noProof/>
          <w:sz w:val="24"/>
          <w:szCs w:val="24"/>
        </w:rPr>
        <w:t>J. Phys. Chem. C</w:t>
      </w:r>
      <w:r w:rsidRPr="007D10CD">
        <w:rPr>
          <w:rFonts w:ascii="Times New Roman" w:hAnsi="Times New Roman" w:cs="Times New Roman"/>
          <w:noProof/>
          <w:sz w:val="24"/>
          <w:szCs w:val="24"/>
        </w:rPr>
        <w:t>, vol. 112, pp. 8192–8195, 2008.</w:t>
      </w:r>
    </w:p>
    <w:p w14:paraId="025F29A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[38]</w:t>
      </w:r>
      <w:r w:rsidRPr="007D10CD">
        <w:rPr>
          <w:rFonts w:ascii="Times New Roman" w:hAnsi="Times New Roman" w:cs="Times New Roman"/>
          <w:noProof/>
          <w:sz w:val="24"/>
          <w:szCs w:val="24"/>
        </w:rPr>
        <w:tab/>
        <w:t xml:space="preserve"> and J. M. D. T. M. J. Fernandez-Merino, J.Guardia, J.I.Paredes, S.Villar-Rodil, P.Solis-Fernandez, A.Martinez-Alonso, “Vitamin C is an ideal substitute for hydrazine in the reduction of graphene oxide suspensions,” </w:t>
      </w:r>
      <w:r w:rsidRPr="007D10CD">
        <w:rPr>
          <w:rFonts w:ascii="Times New Roman" w:hAnsi="Times New Roman" w:cs="Times New Roman"/>
          <w:i/>
          <w:iCs/>
          <w:noProof/>
          <w:sz w:val="24"/>
          <w:szCs w:val="24"/>
        </w:rPr>
        <w:t>J. Phys. Chem. C</w:t>
      </w:r>
      <w:r w:rsidRPr="007D10CD">
        <w:rPr>
          <w:rFonts w:ascii="Times New Roman" w:hAnsi="Times New Roman" w:cs="Times New Roman"/>
          <w:noProof/>
          <w:sz w:val="24"/>
          <w:szCs w:val="24"/>
        </w:rPr>
        <w:t>, vol. 114, pp. 6426–6432, 2010.</w:t>
      </w:r>
    </w:p>
    <w:p w14:paraId="17CD512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[39]</w:t>
      </w:r>
      <w:r w:rsidRPr="007D10CD">
        <w:rPr>
          <w:rFonts w:ascii="Times New Roman" w:hAnsi="Times New Roman" w:cs="Times New Roman"/>
          <w:noProof/>
          <w:sz w:val="24"/>
          <w:szCs w:val="24"/>
        </w:rPr>
        <w:tab/>
        <w:t xml:space="preserve">H. Ding, S. Zhang, J.-T. Chen, X.-P. Hu, Z.-F. Du, Y.-X. Qiu, and D.-L. Zhao, “Reduction of graphene oxide at room temperature with vitamin C for RGO–TiO2 photoanodes in dye-sensitized solar cell,” </w:t>
      </w:r>
      <w:r w:rsidRPr="007D10CD">
        <w:rPr>
          <w:rFonts w:ascii="Times New Roman" w:hAnsi="Times New Roman" w:cs="Times New Roman"/>
          <w:i/>
          <w:iCs/>
          <w:noProof/>
          <w:sz w:val="24"/>
          <w:szCs w:val="24"/>
        </w:rPr>
        <w:t>Thin Solid Films</w:t>
      </w:r>
      <w:r w:rsidRPr="007D10CD">
        <w:rPr>
          <w:rFonts w:ascii="Times New Roman" w:hAnsi="Times New Roman" w:cs="Times New Roman"/>
          <w:noProof/>
          <w:sz w:val="24"/>
          <w:szCs w:val="24"/>
        </w:rPr>
        <w:t>, vol. 584, pp. 29–36, 2015.</w:t>
      </w:r>
    </w:p>
    <w:p w14:paraId="3AAEC6B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[40]</w:t>
      </w:r>
      <w:r w:rsidRPr="007D10CD">
        <w:rPr>
          <w:rFonts w:ascii="Times New Roman" w:hAnsi="Times New Roman" w:cs="Times New Roman"/>
          <w:noProof/>
          <w:sz w:val="24"/>
          <w:szCs w:val="24"/>
        </w:rPr>
        <w:tab/>
        <w:t xml:space="preserve">B. C. Brodie, “The chemistry of graphite oxide,” </w:t>
      </w:r>
      <w:r w:rsidRPr="007D10CD">
        <w:rPr>
          <w:rFonts w:ascii="Times New Roman" w:hAnsi="Times New Roman" w:cs="Times New Roman"/>
          <w:i/>
          <w:iCs/>
          <w:noProof/>
          <w:sz w:val="24"/>
          <w:szCs w:val="24"/>
        </w:rPr>
        <w:t>Chem. Soc. Rev.</w:t>
      </w:r>
      <w:r w:rsidRPr="007D10CD">
        <w:rPr>
          <w:rFonts w:ascii="Times New Roman" w:hAnsi="Times New Roman" w:cs="Times New Roman"/>
          <w:noProof/>
          <w:sz w:val="24"/>
          <w:szCs w:val="24"/>
        </w:rPr>
        <w:t>, vol. 39, pp. 228–240, 2010.</w:t>
      </w:r>
    </w:p>
    <w:p w14:paraId="5E0B50B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[41]</w:t>
      </w:r>
      <w:r w:rsidRPr="007D10CD">
        <w:rPr>
          <w:rFonts w:ascii="Times New Roman" w:hAnsi="Times New Roman" w:cs="Times New Roman"/>
          <w:noProof/>
          <w:sz w:val="24"/>
          <w:szCs w:val="24"/>
        </w:rPr>
        <w:tab/>
        <w:t xml:space="preserve">A. Lerf, H. He, M. Forster, and J. Klinowski, “Structure of Graphite Oxide Revisited </w:t>
      </w:r>
      <w:r w:rsidRPr="007D10CD">
        <w:rPr>
          <w:rFonts w:ascii="Times New Roman" w:hAnsi="Times New Roman" w:cs="Times New Roman"/>
          <w:noProof/>
          <w:sz w:val="24"/>
          <w:szCs w:val="24"/>
          <w:vertAlign w:val="superscript"/>
        </w:rPr>
        <w:t>‖</w:t>
      </w:r>
      <w:r w:rsidRPr="007D10CD">
        <w:rPr>
          <w:rFonts w:ascii="Times New Roman" w:hAnsi="Times New Roman" w:cs="Times New Roman"/>
          <w:noProof/>
          <w:sz w:val="24"/>
          <w:szCs w:val="24"/>
        </w:rPr>
        <w:t xml:space="preserve">,” </w:t>
      </w:r>
      <w:r w:rsidRPr="007D10CD">
        <w:rPr>
          <w:rFonts w:ascii="Times New Roman" w:hAnsi="Times New Roman" w:cs="Times New Roman"/>
          <w:i/>
          <w:iCs/>
          <w:noProof/>
          <w:sz w:val="24"/>
          <w:szCs w:val="24"/>
        </w:rPr>
        <w:t>J. Phys. Chem. B</w:t>
      </w:r>
      <w:r w:rsidRPr="007D10CD">
        <w:rPr>
          <w:rFonts w:ascii="Times New Roman" w:hAnsi="Times New Roman" w:cs="Times New Roman"/>
          <w:noProof/>
          <w:sz w:val="24"/>
          <w:szCs w:val="24"/>
        </w:rPr>
        <w:t>, vol. 102, no. 23, pp. 4477–4482, 1998.</w:t>
      </w:r>
    </w:p>
    <w:p w14:paraId="7325948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[42]</w:t>
      </w:r>
      <w:r w:rsidRPr="007D10CD">
        <w:rPr>
          <w:rFonts w:ascii="Times New Roman" w:hAnsi="Times New Roman" w:cs="Times New Roman"/>
          <w:noProof/>
          <w:sz w:val="24"/>
          <w:szCs w:val="24"/>
        </w:rPr>
        <w:tab/>
        <w:t xml:space="preserve">C. Wan and B. Chen, “Reinforcement and interphase of polymer/graphene oxide nanocomposites,”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22, no. 8, pp. 3637–3646, 2012.</w:t>
      </w:r>
    </w:p>
    <w:p w14:paraId="03C0543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[43]</w:t>
      </w:r>
      <w:r w:rsidRPr="007D10CD">
        <w:rPr>
          <w:rFonts w:ascii="Times New Roman" w:hAnsi="Times New Roman" w:cs="Times New Roman"/>
          <w:noProof/>
          <w:sz w:val="24"/>
          <w:szCs w:val="24"/>
        </w:rPr>
        <w:tab/>
        <w:t>K. A. Mkhoyan, A. W. Contryman, J. Silcox, A. Derek, G. Eda, C. Mattevi, S. Miller, M. Chhowalla, K. A. Mkhoyan, A. W. Contryman, J. Silcox, D. A. Stewart, G. Eda, C. Mattevi, and S. Miller, “Atomic and Electronic Structure of Graphene-Oxide,” vol. 9, pp. 1058–1063, 2009.</w:t>
      </w:r>
    </w:p>
    <w:p w14:paraId="046B92F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[44]</w:t>
      </w:r>
      <w:r w:rsidRPr="007D10CD">
        <w:rPr>
          <w:rFonts w:ascii="Times New Roman" w:hAnsi="Times New Roman" w:cs="Times New Roman"/>
          <w:noProof/>
          <w:sz w:val="24"/>
          <w:szCs w:val="24"/>
        </w:rPr>
        <w:tab/>
        <w:t xml:space="preserve">T. Kuilla, S. Bhadra, D. H. Yao, N. H. Kim, S. Bose, and J. H. Lee, “Recent advances in graphene based polymer composites,” </w:t>
      </w:r>
      <w:r w:rsidRPr="007D10CD">
        <w:rPr>
          <w:rFonts w:ascii="Times New Roman" w:hAnsi="Times New Roman" w:cs="Times New Roman"/>
          <w:i/>
          <w:iCs/>
          <w:noProof/>
          <w:sz w:val="24"/>
          <w:szCs w:val="24"/>
        </w:rPr>
        <w:t>Prog. Polym. Sci.</w:t>
      </w:r>
      <w:r w:rsidRPr="007D10CD">
        <w:rPr>
          <w:rFonts w:ascii="Times New Roman" w:hAnsi="Times New Roman" w:cs="Times New Roman"/>
          <w:noProof/>
          <w:sz w:val="24"/>
          <w:szCs w:val="24"/>
        </w:rPr>
        <w:t>, vol. 35, pp. 1350–1375, 2010.</w:t>
      </w:r>
    </w:p>
    <w:p w14:paraId="2DF2683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[45]</w:t>
      </w:r>
      <w:r w:rsidRPr="007D10CD">
        <w:rPr>
          <w:rFonts w:ascii="Times New Roman" w:hAnsi="Times New Roman" w:cs="Times New Roman"/>
          <w:noProof/>
          <w:sz w:val="24"/>
          <w:szCs w:val="24"/>
        </w:rPr>
        <w:tab/>
        <w:t xml:space="preserve">D. A. Dikin, S. Stankovich, E. J. Zimney, R. D. Piner, G. H. B. Dommett, G. Evmenenko, S. T. Nguyen, and R. S. Ruoff, “Preparation and characterization of graphene oxide paper,” </w:t>
      </w:r>
      <w:r w:rsidRPr="007D10CD">
        <w:rPr>
          <w:rFonts w:ascii="Times New Roman" w:hAnsi="Times New Roman" w:cs="Times New Roman"/>
          <w:i/>
          <w:iCs/>
          <w:noProof/>
          <w:sz w:val="24"/>
          <w:szCs w:val="24"/>
        </w:rPr>
        <w:t>Nature</w:t>
      </w:r>
      <w:r w:rsidRPr="007D10CD">
        <w:rPr>
          <w:rFonts w:ascii="Times New Roman" w:hAnsi="Times New Roman" w:cs="Times New Roman"/>
          <w:noProof/>
          <w:sz w:val="24"/>
          <w:szCs w:val="24"/>
        </w:rPr>
        <w:t>, vol. 448, no. 7152, pp. 457–460, 2007.</w:t>
      </w:r>
    </w:p>
    <w:p w14:paraId="47951FA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[46]</w:t>
      </w:r>
      <w:r w:rsidRPr="007D10CD">
        <w:rPr>
          <w:rFonts w:ascii="Times New Roman" w:hAnsi="Times New Roman" w:cs="Times New Roman"/>
          <w:noProof/>
          <w:sz w:val="24"/>
          <w:szCs w:val="24"/>
        </w:rPr>
        <w:tab/>
        <w:t xml:space="preserve"> and R. S. R. Daniel R. Dreyer, Sungjin park, Christopher W. Bielawski, “The chemistry of graphene oxide,” </w:t>
      </w:r>
      <w:r w:rsidRPr="007D10CD">
        <w:rPr>
          <w:rFonts w:ascii="Times New Roman" w:hAnsi="Times New Roman" w:cs="Times New Roman"/>
          <w:i/>
          <w:iCs/>
          <w:noProof/>
          <w:sz w:val="24"/>
          <w:szCs w:val="24"/>
        </w:rPr>
        <w:t>R. Soc. Chem.</w:t>
      </w:r>
      <w:r w:rsidRPr="007D10CD">
        <w:rPr>
          <w:rFonts w:ascii="Times New Roman" w:hAnsi="Times New Roman" w:cs="Times New Roman"/>
          <w:noProof/>
          <w:sz w:val="24"/>
          <w:szCs w:val="24"/>
        </w:rPr>
        <w:t>, pp. 228–240, 2010.</w:t>
      </w:r>
    </w:p>
    <w:p w14:paraId="3EEC5EC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[47]</w:t>
      </w:r>
      <w:r w:rsidRPr="007D10CD">
        <w:rPr>
          <w:rFonts w:ascii="Times New Roman" w:hAnsi="Times New Roman" w:cs="Times New Roman"/>
          <w:noProof/>
          <w:sz w:val="24"/>
          <w:szCs w:val="24"/>
        </w:rPr>
        <w:tab/>
        <w:t xml:space="preserve">K. R. Koch, “Oxidation by Mn207: An impressive demonstration of the powerful oxidizing property of dimanganeseheptoxide,” </w:t>
      </w:r>
      <w:r w:rsidRPr="007D10CD">
        <w:rPr>
          <w:rFonts w:ascii="Times New Roman" w:hAnsi="Times New Roman" w:cs="Times New Roman"/>
          <w:i/>
          <w:iCs/>
          <w:noProof/>
          <w:sz w:val="24"/>
          <w:szCs w:val="24"/>
        </w:rPr>
        <w:t>J. Chem. Educ.</w:t>
      </w:r>
      <w:r w:rsidRPr="007D10CD">
        <w:rPr>
          <w:rFonts w:ascii="Times New Roman" w:hAnsi="Times New Roman" w:cs="Times New Roman"/>
          <w:noProof/>
          <w:sz w:val="24"/>
          <w:szCs w:val="24"/>
        </w:rPr>
        <w:t>, vol. 59, no. 11, p. 973, 1982.</w:t>
      </w:r>
    </w:p>
    <w:p w14:paraId="0CFCBD9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[48]</w:t>
      </w:r>
      <w:r w:rsidRPr="007D10CD">
        <w:rPr>
          <w:rFonts w:ascii="Times New Roman" w:hAnsi="Times New Roman" w:cs="Times New Roman"/>
          <w:noProof/>
          <w:sz w:val="24"/>
          <w:szCs w:val="24"/>
        </w:rPr>
        <w:tab/>
        <w:t xml:space="preserve">M. M. Gudarzi and F. Sharif, “Enhancement of dispersion and bonding of graphene-polymer through wet transfer of functionalized graphene oxide,” </w:t>
      </w:r>
      <w:r w:rsidRPr="007D10CD">
        <w:rPr>
          <w:rFonts w:ascii="Times New Roman" w:hAnsi="Times New Roman" w:cs="Times New Roman"/>
          <w:i/>
          <w:iCs/>
          <w:noProof/>
          <w:sz w:val="24"/>
          <w:szCs w:val="24"/>
        </w:rPr>
        <w:t>Express Polym. Lett.</w:t>
      </w:r>
      <w:r w:rsidRPr="007D10CD">
        <w:rPr>
          <w:rFonts w:ascii="Times New Roman" w:hAnsi="Times New Roman" w:cs="Times New Roman"/>
          <w:noProof/>
          <w:sz w:val="24"/>
          <w:szCs w:val="24"/>
        </w:rPr>
        <w:t>, vol. 6, no. 12, pp. 1017–1031, 2012.</w:t>
      </w:r>
    </w:p>
    <w:p w14:paraId="5702977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[49]</w:t>
      </w:r>
      <w:r w:rsidRPr="007D10CD">
        <w:rPr>
          <w:rFonts w:ascii="Times New Roman" w:hAnsi="Times New Roman" w:cs="Times New Roman"/>
          <w:noProof/>
          <w:sz w:val="24"/>
          <w:szCs w:val="24"/>
        </w:rPr>
        <w:tab/>
        <w:t xml:space="preserve">S. Dubin, S. Gilje, K. Wang, V. C. Tung, K. Cha, A. S. Hall, J. Farrar, R. Varshneya, Y. Yang, and R. B. Kaner, “A one-step, solvothermal reduction method for producing reduced graphene oxide dispersions in organic solvents,” </w:t>
      </w:r>
      <w:r w:rsidRPr="007D10CD">
        <w:rPr>
          <w:rFonts w:ascii="Times New Roman" w:hAnsi="Times New Roman" w:cs="Times New Roman"/>
          <w:i/>
          <w:iCs/>
          <w:noProof/>
          <w:sz w:val="24"/>
          <w:szCs w:val="24"/>
        </w:rPr>
        <w:t>ACS Nano</w:t>
      </w:r>
      <w:r w:rsidRPr="007D10CD">
        <w:rPr>
          <w:rFonts w:ascii="Times New Roman" w:hAnsi="Times New Roman" w:cs="Times New Roman"/>
          <w:noProof/>
          <w:sz w:val="24"/>
          <w:szCs w:val="24"/>
        </w:rPr>
        <w:t>, vol. 4, no. 7, pp. 3845–3852, 2010.</w:t>
      </w:r>
    </w:p>
    <w:p w14:paraId="19794D8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[50]</w:t>
      </w:r>
      <w:r w:rsidRPr="007D10CD">
        <w:rPr>
          <w:rFonts w:ascii="Times New Roman" w:hAnsi="Times New Roman" w:cs="Times New Roman"/>
          <w:noProof/>
          <w:sz w:val="24"/>
          <w:szCs w:val="24"/>
        </w:rPr>
        <w:tab/>
        <w:t xml:space="preserve">J. I. Parades, S. Villar-Rodil, A. Martínez-Alonso, and J. M. D. Tascón, “Graphene oxide dispersions in organic solvents,” </w:t>
      </w:r>
      <w:r w:rsidRPr="007D10CD">
        <w:rPr>
          <w:rFonts w:ascii="Times New Roman" w:hAnsi="Times New Roman" w:cs="Times New Roman"/>
          <w:i/>
          <w:iCs/>
          <w:noProof/>
          <w:sz w:val="24"/>
          <w:szCs w:val="24"/>
        </w:rPr>
        <w:t>Langmuir</w:t>
      </w:r>
      <w:r w:rsidRPr="007D10CD">
        <w:rPr>
          <w:rFonts w:ascii="Times New Roman" w:hAnsi="Times New Roman" w:cs="Times New Roman"/>
          <w:noProof/>
          <w:sz w:val="24"/>
          <w:szCs w:val="24"/>
        </w:rPr>
        <w:t>, vol. 24, pp. 10560–10564, 2008.</w:t>
      </w:r>
    </w:p>
    <w:p w14:paraId="5DA00EB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[51]</w:t>
      </w:r>
      <w:r w:rsidRPr="007D10CD">
        <w:rPr>
          <w:rFonts w:ascii="Times New Roman" w:hAnsi="Times New Roman" w:cs="Times New Roman"/>
          <w:noProof/>
          <w:sz w:val="24"/>
          <w:szCs w:val="24"/>
        </w:rPr>
        <w:tab/>
        <w:t xml:space="preserve">S. Pan and L. A. Asay, “Factors Controlling the Size of Graphene Oxide Sheets Produced via the Graphite Oxide Route,” </w:t>
      </w:r>
      <w:r w:rsidRPr="007D10CD">
        <w:rPr>
          <w:rFonts w:ascii="Times New Roman" w:hAnsi="Times New Roman" w:cs="Times New Roman"/>
          <w:i/>
          <w:iCs/>
          <w:noProof/>
          <w:sz w:val="24"/>
          <w:szCs w:val="24"/>
        </w:rPr>
        <w:t>ACS Nano</w:t>
      </w:r>
      <w:r w:rsidRPr="007D10CD">
        <w:rPr>
          <w:rFonts w:ascii="Times New Roman" w:hAnsi="Times New Roman" w:cs="Times New Roman"/>
          <w:noProof/>
          <w:sz w:val="24"/>
          <w:szCs w:val="24"/>
        </w:rPr>
        <w:t>, vol. 5, pp. 4073–4083, 2011.</w:t>
      </w:r>
    </w:p>
    <w:p w14:paraId="6061075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[52]</w:t>
      </w:r>
      <w:r w:rsidRPr="007D10CD">
        <w:rPr>
          <w:rFonts w:ascii="Times New Roman" w:hAnsi="Times New Roman" w:cs="Times New Roman"/>
          <w:noProof/>
          <w:sz w:val="24"/>
          <w:szCs w:val="24"/>
        </w:rPr>
        <w:tab/>
        <w:t xml:space="preserve">P. Blake, P. D. Brimicombe, R. R. Nair, T. J. Booth, D. Jiang, F. Schedin, L. A. Ponomarenko, S. V Morozov, H. F. Gleeson, E. W. Hill, A. K. Geim, and K. S. Novoselov, “Graphene-Based Liquid Crystal Device,” </w:t>
      </w:r>
      <w:r w:rsidRPr="007D10CD">
        <w:rPr>
          <w:rFonts w:ascii="Times New Roman" w:hAnsi="Times New Roman" w:cs="Times New Roman"/>
          <w:i/>
          <w:iCs/>
          <w:noProof/>
          <w:sz w:val="24"/>
          <w:szCs w:val="24"/>
        </w:rPr>
        <w:t>Nano Lett.</w:t>
      </w:r>
      <w:r w:rsidRPr="007D10CD">
        <w:rPr>
          <w:rFonts w:ascii="Times New Roman" w:hAnsi="Times New Roman" w:cs="Times New Roman"/>
          <w:noProof/>
          <w:sz w:val="24"/>
          <w:szCs w:val="24"/>
        </w:rPr>
        <w:t>, vol. 8, no. 6, pp. 1704–1708, 2008.</w:t>
      </w:r>
    </w:p>
    <w:p w14:paraId="0563DA1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[53]</w:t>
      </w:r>
      <w:r w:rsidRPr="007D10CD">
        <w:rPr>
          <w:rFonts w:ascii="Times New Roman" w:hAnsi="Times New Roman" w:cs="Times New Roman"/>
          <w:noProof/>
          <w:sz w:val="24"/>
          <w:szCs w:val="24"/>
        </w:rPr>
        <w:tab/>
        <w:t xml:space="preserve">S. P. Lonkar, Y. S. Deshmukh, and A. A. Abdala, “Recent advances in chemical modifications of graphene,” </w:t>
      </w:r>
      <w:r w:rsidRPr="007D10CD">
        <w:rPr>
          <w:rFonts w:ascii="Times New Roman" w:hAnsi="Times New Roman" w:cs="Times New Roman"/>
          <w:i/>
          <w:iCs/>
          <w:noProof/>
          <w:sz w:val="24"/>
          <w:szCs w:val="24"/>
        </w:rPr>
        <w:t>Nano Res.</w:t>
      </w:r>
      <w:r w:rsidRPr="007D10CD">
        <w:rPr>
          <w:rFonts w:ascii="Times New Roman" w:hAnsi="Times New Roman" w:cs="Times New Roman"/>
          <w:noProof/>
          <w:sz w:val="24"/>
          <w:szCs w:val="24"/>
        </w:rPr>
        <w:t>, vol. 8, no. 4, pp. 1–38, 2015.</w:t>
      </w:r>
    </w:p>
    <w:p w14:paraId="62B3833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[54]</w:t>
      </w:r>
      <w:r w:rsidRPr="007D10CD">
        <w:rPr>
          <w:rFonts w:ascii="Times New Roman" w:hAnsi="Times New Roman" w:cs="Times New Roman"/>
          <w:noProof/>
          <w:sz w:val="24"/>
          <w:szCs w:val="24"/>
        </w:rPr>
        <w:tab/>
        <w:t xml:space="preserve">D. S. Yu, Y. Yang, M. Durstock, J. B. Baek, and L. M. Dai, “Soluble P3HT-grafted graphene for efficient bilayer-heterojunction photovoltaic devices,” </w:t>
      </w:r>
      <w:r w:rsidRPr="007D10CD">
        <w:rPr>
          <w:rFonts w:ascii="Times New Roman" w:hAnsi="Times New Roman" w:cs="Times New Roman"/>
          <w:i/>
          <w:iCs/>
          <w:noProof/>
          <w:sz w:val="24"/>
          <w:szCs w:val="24"/>
        </w:rPr>
        <w:t>ACS Nano</w:t>
      </w:r>
      <w:r w:rsidRPr="007D10CD">
        <w:rPr>
          <w:rFonts w:ascii="Times New Roman" w:hAnsi="Times New Roman" w:cs="Times New Roman"/>
          <w:noProof/>
          <w:sz w:val="24"/>
          <w:szCs w:val="24"/>
        </w:rPr>
        <w:t>, vol. 4, pp. 5633–5640, 2010.</w:t>
      </w:r>
    </w:p>
    <w:p w14:paraId="1BBED34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[55]</w:t>
      </w:r>
      <w:r w:rsidRPr="007D10CD">
        <w:rPr>
          <w:rFonts w:ascii="Times New Roman" w:hAnsi="Times New Roman" w:cs="Times New Roman"/>
          <w:noProof/>
          <w:sz w:val="24"/>
          <w:szCs w:val="24"/>
        </w:rPr>
        <w:tab/>
        <w:t xml:space="preserve">R. Hao, W. Qian, L. Zhang, and Y. Hou, “Aqueous dispersions of TCNQ-anion-stabilized graphene sheets,” </w:t>
      </w:r>
      <w:r w:rsidRPr="007D10CD">
        <w:rPr>
          <w:rFonts w:ascii="Times New Roman" w:hAnsi="Times New Roman" w:cs="Times New Roman"/>
          <w:i/>
          <w:iCs/>
          <w:noProof/>
          <w:sz w:val="24"/>
          <w:szCs w:val="24"/>
        </w:rPr>
        <w:t>Chem. Commun.</w:t>
      </w:r>
      <w:r w:rsidRPr="007D10CD">
        <w:rPr>
          <w:rFonts w:ascii="Times New Roman" w:hAnsi="Times New Roman" w:cs="Times New Roman"/>
          <w:noProof/>
          <w:sz w:val="24"/>
          <w:szCs w:val="24"/>
        </w:rPr>
        <w:t>, no. 48, pp. 6576–6578, 2008.</w:t>
      </w:r>
    </w:p>
    <w:p w14:paraId="02BBA73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[56]</w:t>
      </w:r>
      <w:r w:rsidRPr="007D10CD">
        <w:rPr>
          <w:rFonts w:ascii="Times New Roman" w:hAnsi="Times New Roman" w:cs="Times New Roman"/>
          <w:noProof/>
          <w:sz w:val="24"/>
          <w:szCs w:val="24"/>
        </w:rPr>
        <w:tab/>
        <w:t xml:space="preserve">N. W. Pu, C. A. Wang, Y. M. Liu, Y. Sung, D. S. Wang, and M. Der Ger, “Dispersion of graphene in aqueous solutions with different types of surfactants and the production of graphene films by spray or drop coating,” </w:t>
      </w:r>
      <w:r w:rsidRPr="007D10CD">
        <w:rPr>
          <w:rFonts w:ascii="Times New Roman" w:hAnsi="Times New Roman" w:cs="Times New Roman"/>
          <w:i/>
          <w:iCs/>
          <w:noProof/>
          <w:sz w:val="24"/>
          <w:szCs w:val="24"/>
        </w:rPr>
        <w:t>J. Taiwan Inst. Chem. Eng.</w:t>
      </w:r>
      <w:r w:rsidRPr="007D10CD">
        <w:rPr>
          <w:rFonts w:ascii="Times New Roman" w:hAnsi="Times New Roman" w:cs="Times New Roman"/>
          <w:noProof/>
          <w:sz w:val="24"/>
          <w:szCs w:val="24"/>
        </w:rPr>
        <w:t>, vol. 43, no. 1, pp. 140–146, 2012.</w:t>
      </w:r>
    </w:p>
    <w:p w14:paraId="740A450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[57]</w:t>
      </w:r>
      <w:r w:rsidRPr="007D10CD">
        <w:rPr>
          <w:rFonts w:ascii="Times New Roman" w:hAnsi="Times New Roman" w:cs="Times New Roman"/>
          <w:noProof/>
          <w:sz w:val="24"/>
          <w:szCs w:val="24"/>
        </w:rPr>
        <w:tab/>
        <w:t xml:space="preserve">S.Park, J. An, RD.Piner, and I.Jung, “Aqueous suspension and characterization of chemically modified graphene sheets,” </w:t>
      </w:r>
      <w:r w:rsidRPr="007D10CD">
        <w:rPr>
          <w:rFonts w:ascii="Times New Roman" w:hAnsi="Times New Roman" w:cs="Times New Roman"/>
          <w:i/>
          <w:iCs/>
          <w:noProof/>
          <w:sz w:val="24"/>
          <w:szCs w:val="24"/>
        </w:rPr>
        <w:t>Chem Mater</w:t>
      </w:r>
      <w:r w:rsidRPr="007D10CD">
        <w:rPr>
          <w:rFonts w:ascii="Times New Roman" w:hAnsi="Times New Roman" w:cs="Times New Roman"/>
          <w:noProof/>
          <w:sz w:val="24"/>
          <w:szCs w:val="24"/>
        </w:rPr>
        <w:t>, vol. 20, pp. 6592–6594, 2008.</w:t>
      </w:r>
    </w:p>
    <w:p w14:paraId="49067D1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[58]</w:t>
      </w:r>
      <w:r w:rsidRPr="007D10CD">
        <w:rPr>
          <w:rFonts w:ascii="Times New Roman" w:hAnsi="Times New Roman" w:cs="Times New Roman"/>
          <w:noProof/>
          <w:sz w:val="24"/>
          <w:szCs w:val="24"/>
        </w:rPr>
        <w:tab/>
        <w:t xml:space="preserve">Q. Su, S. Pang, V. Alijani, C. Li, X. Feng, and K. M??llen, “Composites of craphene with large aromatic molecules,” </w:t>
      </w:r>
      <w:r w:rsidRPr="007D10CD">
        <w:rPr>
          <w:rFonts w:ascii="Times New Roman" w:hAnsi="Times New Roman" w:cs="Times New Roman"/>
          <w:i/>
          <w:iCs/>
          <w:noProof/>
          <w:sz w:val="24"/>
          <w:szCs w:val="24"/>
        </w:rPr>
        <w:t>Adv. Mater.</w:t>
      </w:r>
      <w:r w:rsidRPr="007D10CD">
        <w:rPr>
          <w:rFonts w:ascii="Times New Roman" w:hAnsi="Times New Roman" w:cs="Times New Roman"/>
          <w:noProof/>
          <w:sz w:val="24"/>
          <w:szCs w:val="24"/>
        </w:rPr>
        <w:t>, vol. 21, no. 31, pp. 3191–3195, 2009.</w:t>
      </w:r>
    </w:p>
    <w:p w14:paraId="18FA265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[59]</w:t>
      </w:r>
      <w:r w:rsidRPr="007D10CD">
        <w:rPr>
          <w:rFonts w:ascii="Times New Roman" w:hAnsi="Times New Roman" w:cs="Times New Roman"/>
          <w:noProof/>
          <w:sz w:val="24"/>
          <w:szCs w:val="24"/>
        </w:rPr>
        <w:tab/>
        <w:t xml:space="preserve">N. Liu, F. Luo, H. Wu, Y. Liu, C. Zhang, and J. Chen, “One-step ionic-liquid-assisted electrochemical synthesis of ionic-liquid-functionalized graphene sheets directly from graphite,” </w:t>
      </w:r>
      <w:r w:rsidRPr="007D10CD">
        <w:rPr>
          <w:rFonts w:ascii="Times New Roman" w:hAnsi="Times New Roman" w:cs="Times New Roman"/>
          <w:i/>
          <w:iCs/>
          <w:noProof/>
          <w:sz w:val="24"/>
          <w:szCs w:val="24"/>
        </w:rPr>
        <w:t>Adv. Funct. Mater.</w:t>
      </w:r>
      <w:r w:rsidRPr="007D10CD">
        <w:rPr>
          <w:rFonts w:ascii="Times New Roman" w:hAnsi="Times New Roman" w:cs="Times New Roman"/>
          <w:noProof/>
          <w:sz w:val="24"/>
          <w:szCs w:val="24"/>
        </w:rPr>
        <w:t>, vol. 18, no. 10, pp. 1518–1525, 2008.</w:t>
      </w:r>
    </w:p>
    <w:p w14:paraId="4F9D8D8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[60]</w:t>
      </w:r>
      <w:r w:rsidRPr="007D10CD">
        <w:rPr>
          <w:rFonts w:ascii="Times New Roman" w:hAnsi="Times New Roman" w:cs="Times New Roman"/>
          <w:noProof/>
          <w:sz w:val="24"/>
          <w:szCs w:val="24"/>
        </w:rPr>
        <w:tab/>
        <w:t xml:space="preserve">H. Ku, H. Wang, N. Pattarachaiyakoop, and M. Trada, “A review on the tensile properties of natural fiber reinforced polymer composites,” </w:t>
      </w:r>
      <w:r w:rsidRPr="007D10CD">
        <w:rPr>
          <w:rFonts w:ascii="Times New Roman" w:hAnsi="Times New Roman" w:cs="Times New Roman"/>
          <w:i/>
          <w:iCs/>
          <w:noProof/>
          <w:sz w:val="24"/>
          <w:szCs w:val="24"/>
        </w:rPr>
        <w:t>Compos. Part B Eng.</w:t>
      </w:r>
      <w:r w:rsidRPr="007D10CD">
        <w:rPr>
          <w:rFonts w:ascii="Times New Roman" w:hAnsi="Times New Roman" w:cs="Times New Roman"/>
          <w:noProof/>
          <w:sz w:val="24"/>
          <w:szCs w:val="24"/>
        </w:rPr>
        <w:t>, vol. 42, no. 4, pp. 856–873, 2011.</w:t>
      </w:r>
    </w:p>
    <w:p w14:paraId="6A4C520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[61]</w:t>
      </w:r>
      <w:r w:rsidRPr="007D10CD">
        <w:rPr>
          <w:rFonts w:ascii="Times New Roman" w:hAnsi="Times New Roman" w:cs="Times New Roman"/>
          <w:noProof/>
          <w:sz w:val="24"/>
          <w:szCs w:val="24"/>
        </w:rPr>
        <w:tab/>
        <w:t xml:space="preserve">J. R. Potts, D. R. Dreyer, C. W. Bielawski, and R. S. Ruoff, “Graphene-based polymer nanocomposites,”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52, no. 1, pp. 5–25, 2011.</w:t>
      </w:r>
    </w:p>
    <w:p w14:paraId="0CF3E7C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[62]</w:t>
      </w:r>
      <w:r w:rsidRPr="007D10CD">
        <w:rPr>
          <w:rFonts w:ascii="Times New Roman" w:hAnsi="Times New Roman" w:cs="Times New Roman"/>
          <w:noProof/>
          <w:sz w:val="24"/>
          <w:szCs w:val="24"/>
        </w:rPr>
        <w:tab/>
        <w:t xml:space="preserve">R. Verdejo, M. M. Bernal, L. J. Romasanta, and M. A. Lopez-manchado, “Graphene filled polymer nanocomposites †,”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21, pp. 3301–3310, 2011.</w:t>
      </w:r>
    </w:p>
    <w:p w14:paraId="040EB1B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[63]</w:t>
      </w:r>
      <w:r w:rsidRPr="007D10CD">
        <w:rPr>
          <w:rFonts w:ascii="Times New Roman" w:hAnsi="Times New Roman" w:cs="Times New Roman"/>
          <w:noProof/>
          <w:sz w:val="24"/>
          <w:szCs w:val="24"/>
        </w:rPr>
        <w:tab/>
        <w:t xml:space="preserve">Reinhold, </w:t>
      </w:r>
      <w:r w:rsidRPr="007D10CD">
        <w:rPr>
          <w:rFonts w:ascii="Times New Roman" w:hAnsi="Times New Roman" w:cs="Times New Roman"/>
          <w:i/>
          <w:iCs/>
          <w:noProof/>
          <w:sz w:val="24"/>
          <w:szCs w:val="24"/>
        </w:rPr>
        <w:t>Polyesters and their applications</w:t>
      </w:r>
      <w:r w:rsidRPr="007D10CD">
        <w:rPr>
          <w:rFonts w:ascii="Times New Roman" w:hAnsi="Times New Roman" w:cs="Times New Roman"/>
          <w:noProof/>
          <w:sz w:val="24"/>
          <w:szCs w:val="24"/>
        </w:rPr>
        <w:t>. Bjorksten research laboratories, 1956.</w:t>
      </w:r>
    </w:p>
    <w:p w14:paraId="42C4110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[64]</w:t>
      </w:r>
      <w:r w:rsidRPr="007D10CD">
        <w:rPr>
          <w:rFonts w:ascii="Times New Roman" w:hAnsi="Times New Roman" w:cs="Times New Roman"/>
          <w:noProof/>
          <w:sz w:val="24"/>
          <w:szCs w:val="24"/>
        </w:rPr>
        <w:tab/>
        <w:t xml:space="preserve">B. Dholakiya, “Unsaturated Polyester Resin for Specialty Applications,” in </w:t>
      </w:r>
      <w:r w:rsidRPr="007D10CD">
        <w:rPr>
          <w:rFonts w:ascii="Times New Roman" w:hAnsi="Times New Roman" w:cs="Times New Roman"/>
          <w:i/>
          <w:iCs/>
          <w:noProof/>
          <w:sz w:val="24"/>
          <w:szCs w:val="24"/>
        </w:rPr>
        <w:t>Polyester</w:t>
      </w:r>
      <w:r w:rsidRPr="007D10CD">
        <w:rPr>
          <w:rFonts w:ascii="Times New Roman" w:hAnsi="Times New Roman" w:cs="Times New Roman"/>
          <w:noProof/>
          <w:sz w:val="24"/>
          <w:szCs w:val="24"/>
        </w:rPr>
        <w:t>, H. E.-D. M.Saleh, Ed. Intech, 2012, pp. 167–202.</w:t>
      </w:r>
    </w:p>
    <w:p w14:paraId="76CDC35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[65]</w:t>
      </w:r>
      <w:r w:rsidRPr="007D10CD">
        <w:rPr>
          <w:rFonts w:ascii="Times New Roman" w:hAnsi="Times New Roman" w:cs="Times New Roman"/>
          <w:noProof/>
          <w:sz w:val="24"/>
          <w:szCs w:val="24"/>
        </w:rPr>
        <w:tab/>
        <w:t xml:space="preserve">O. C. Zaske and S. H. Goodman, “Unsaturated Polyester and Vinyl Ester Resins,” in </w:t>
      </w:r>
      <w:r w:rsidRPr="007D10CD">
        <w:rPr>
          <w:rFonts w:ascii="Times New Roman" w:hAnsi="Times New Roman" w:cs="Times New Roman"/>
          <w:i/>
          <w:iCs/>
          <w:noProof/>
          <w:sz w:val="24"/>
          <w:szCs w:val="24"/>
        </w:rPr>
        <w:t>Handbook of Thermoset Plastics</w:t>
      </w:r>
      <w:r w:rsidRPr="007D10CD">
        <w:rPr>
          <w:rFonts w:ascii="Times New Roman" w:hAnsi="Times New Roman" w:cs="Times New Roman"/>
          <w:noProof/>
          <w:sz w:val="24"/>
          <w:szCs w:val="24"/>
        </w:rPr>
        <w:t>, 1998, pp. 97–168.</w:t>
      </w:r>
    </w:p>
    <w:p w14:paraId="4ECC726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[66]</w:t>
      </w:r>
      <w:r w:rsidRPr="007D10CD">
        <w:rPr>
          <w:rFonts w:ascii="Times New Roman" w:hAnsi="Times New Roman" w:cs="Times New Roman"/>
          <w:noProof/>
          <w:sz w:val="24"/>
          <w:szCs w:val="24"/>
        </w:rPr>
        <w:tab/>
        <w:t xml:space="preserve">O. E. A, “Curing Behaviour and Tensile Properties of Unsaturated Polyester Containing Various Styrene Concentrations,” </w:t>
      </w:r>
      <w:r w:rsidRPr="007D10CD">
        <w:rPr>
          <w:rFonts w:ascii="Times New Roman" w:hAnsi="Times New Roman" w:cs="Times New Roman"/>
          <w:i/>
          <w:iCs/>
          <w:noProof/>
          <w:sz w:val="24"/>
          <w:szCs w:val="24"/>
        </w:rPr>
        <w:t>Malaysian Polym. J.</w:t>
      </w:r>
      <w:r w:rsidRPr="007D10CD">
        <w:rPr>
          <w:rFonts w:ascii="Times New Roman" w:hAnsi="Times New Roman" w:cs="Times New Roman"/>
          <w:noProof/>
          <w:sz w:val="24"/>
          <w:szCs w:val="24"/>
        </w:rPr>
        <w:t>, vol. 7, no. 2, pp. 46–55, 2012.</w:t>
      </w:r>
    </w:p>
    <w:p w14:paraId="144D5BB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[67]</w:t>
      </w:r>
      <w:r w:rsidRPr="007D10CD">
        <w:rPr>
          <w:rFonts w:ascii="Times New Roman" w:hAnsi="Times New Roman" w:cs="Times New Roman"/>
          <w:noProof/>
          <w:sz w:val="24"/>
          <w:szCs w:val="24"/>
        </w:rPr>
        <w:tab/>
        <w:t xml:space="preserve">X. Cao and L. J. Lee, “Control of shrinkage and residual styrene of unsaturated polyester resins cured at low temperatures : I . Effect of curing agents,”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44, pp. 1893–1902, 2003.</w:t>
      </w:r>
    </w:p>
    <w:p w14:paraId="76C553B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[68]</w:t>
      </w:r>
      <w:r w:rsidRPr="007D10CD">
        <w:rPr>
          <w:rFonts w:ascii="Times New Roman" w:hAnsi="Times New Roman" w:cs="Times New Roman"/>
          <w:noProof/>
          <w:sz w:val="24"/>
          <w:szCs w:val="24"/>
        </w:rPr>
        <w:tab/>
        <w:t xml:space="preserve">I. Zaman, T. T. Phan, H. C. Kuan, Q. Meng, L. T. Bao La, L. Luong, O. Youssf, and J. Ma, “Epoxy/graphene platelets nanocomposites with two levels of interface strength,”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52, no. 7, pp. 1603–1611, 2011.</w:t>
      </w:r>
    </w:p>
    <w:p w14:paraId="0B28E56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[69]</w:t>
      </w:r>
      <w:r w:rsidRPr="007D10CD">
        <w:rPr>
          <w:rFonts w:ascii="Times New Roman" w:hAnsi="Times New Roman" w:cs="Times New Roman"/>
          <w:noProof/>
          <w:sz w:val="24"/>
          <w:szCs w:val="24"/>
        </w:rPr>
        <w:tab/>
        <w:t xml:space="preserve">T. Ramanathan, A. A. Abdala, S. Stankovich, D. A. Dikin, M. Herrera-Alonso, R. D. Piner, D. H. Adamson, H. C. Schniepp, X. Chen, R. S. Ruoff, S. T. Nguyen, I. A. Aksay, R. K. Prud’Homme, and L. C. Brinson, “Functionalized graphene sheets for polymer nanocomposites,” </w:t>
      </w:r>
      <w:r w:rsidRPr="007D10CD">
        <w:rPr>
          <w:rFonts w:ascii="Times New Roman" w:hAnsi="Times New Roman" w:cs="Times New Roman"/>
          <w:i/>
          <w:iCs/>
          <w:noProof/>
          <w:sz w:val="24"/>
          <w:szCs w:val="24"/>
        </w:rPr>
        <w:t>Nat. Nanotechnol.</w:t>
      </w:r>
      <w:r w:rsidRPr="007D10CD">
        <w:rPr>
          <w:rFonts w:ascii="Times New Roman" w:hAnsi="Times New Roman" w:cs="Times New Roman"/>
          <w:noProof/>
          <w:sz w:val="24"/>
          <w:szCs w:val="24"/>
        </w:rPr>
        <w:t>, vol. 3, no. 6, pp. 327–331, 2008.</w:t>
      </w:r>
    </w:p>
    <w:p w14:paraId="3AF55F2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[70]</w:t>
      </w:r>
      <w:r w:rsidRPr="007D10CD">
        <w:rPr>
          <w:rFonts w:ascii="Times New Roman" w:hAnsi="Times New Roman" w:cs="Times New Roman"/>
          <w:noProof/>
          <w:sz w:val="24"/>
          <w:szCs w:val="24"/>
        </w:rPr>
        <w:tab/>
        <w:t xml:space="preserve">T. G. Gopakumar and D. J. Y. S. Pagé, “Polypropylene/graphite nanocomposites by thermo-kinetic mixing,” </w:t>
      </w:r>
      <w:r w:rsidRPr="007D10CD">
        <w:rPr>
          <w:rFonts w:ascii="Times New Roman" w:hAnsi="Times New Roman" w:cs="Times New Roman"/>
          <w:i/>
          <w:iCs/>
          <w:noProof/>
          <w:sz w:val="24"/>
          <w:szCs w:val="24"/>
        </w:rPr>
        <w:t>Polym. Eng. Sci.</w:t>
      </w:r>
      <w:r w:rsidRPr="007D10CD">
        <w:rPr>
          <w:rFonts w:ascii="Times New Roman" w:hAnsi="Times New Roman" w:cs="Times New Roman"/>
          <w:noProof/>
          <w:sz w:val="24"/>
          <w:szCs w:val="24"/>
        </w:rPr>
        <w:t>, vol. 44, no. 6, pp. 1162–1169, 2004.</w:t>
      </w:r>
    </w:p>
    <w:p w14:paraId="724F767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[71]</w:t>
      </w:r>
      <w:r w:rsidRPr="007D10CD">
        <w:rPr>
          <w:rFonts w:ascii="Times New Roman" w:hAnsi="Times New Roman" w:cs="Times New Roman"/>
          <w:noProof/>
          <w:sz w:val="24"/>
          <w:szCs w:val="24"/>
        </w:rPr>
        <w:tab/>
        <w:t xml:space="preserve">X. Y. Qi, D. Yan, Z. Jiang, Y.-K. Cao, Z. Z. Yu, F. Yavari, and N. Koratkar, “Enhanced Electrical Conductivity in Polystyrene Nanocomposites at ultra-low graphene content,” </w:t>
      </w:r>
      <w:r w:rsidRPr="007D10CD">
        <w:rPr>
          <w:rFonts w:ascii="Times New Roman" w:hAnsi="Times New Roman" w:cs="Times New Roman"/>
          <w:i/>
          <w:iCs/>
          <w:noProof/>
          <w:sz w:val="24"/>
          <w:szCs w:val="24"/>
        </w:rPr>
        <w:t>ACS Appl. Mater. Interfaces</w:t>
      </w:r>
      <w:r w:rsidRPr="007D10CD">
        <w:rPr>
          <w:rFonts w:ascii="Times New Roman" w:hAnsi="Times New Roman" w:cs="Times New Roman"/>
          <w:noProof/>
          <w:sz w:val="24"/>
          <w:szCs w:val="24"/>
        </w:rPr>
        <w:t>, vol. 3, pp. 3130–3133, 2011.</w:t>
      </w:r>
    </w:p>
    <w:p w14:paraId="6D80884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[72]</w:t>
      </w:r>
      <w:r w:rsidRPr="007D10CD">
        <w:rPr>
          <w:rFonts w:ascii="Times New Roman" w:hAnsi="Times New Roman" w:cs="Times New Roman"/>
          <w:noProof/>
          <w:sz w:val="24"/>
          <w:szCs w:val="24"/>
        </w:rPr>
        <w:tab/>
        <w:t xml:space="preserve">M. Fang, K. Wang, H. Lu, Y. Yang, and S. Nutt, “Covalent polymer functionalization of graphene nanosheets and mechanical properties of composites,”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19, no. 38, p. 7098, 2009.</w:t>
      </w:r>
    </w:p>
    <w:p w14:paraId="76F8C58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[73]</w:t>
      </w:r>
      <w:r w:rsidRPr="007D10CD">
        <w:rPr>
          <w:rFonts w:ascii="Times New Roman" w:hAnsi="Times New Roman" w:cs="Times New Roman"/>
          <w:noProof/>
          <w:sz w:val="24"/>
          <w:szCs w:val="24"/>
        </w:rPr>
        <w:tab/>
        <w:t xml:space="preserve">G. Chen, D. Wu, and W. Weng, “Exfoliation of graphite flakes and its nanocomposites,”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41, pp. 619–621, 2003.</w:t>
      </w:r>
    </w:p>
    <w:p w14:paraId="40C000F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[74]</w:t>
      </w:r>
      <w:r w:rsidRPr="007D10CD">
        <w:rPr>
          <w:rFonts w:ascii="Times New Roman" w:hAnsi="Times New Roman" w:cs="Times New Roman"/>
          <w:noProof/>
          <w:sz w:val="24"/>
          <w:szCs w:val="24"/>
        </w:rPr>
        <w:tab/>
        <w:t xml:space="preserve">J. Liang, Y. Huang, and Y. Wang, “Molecular-level dispersion of graphene into poly(vinyl alcohol) and effective reinforceMent of their nanocomposites,” </w:t>
      </w:r>
      <w:r w:rsidRPr="007D10CD">
        <w:rPr>
          <w:rFonts w:ascii="Times New Roman" w:hAnsi="Times New Roman" w:cs="Times New Roman"/>
          <w:i/>
          <w:iCs/>
          <w:noProof/>
          <w:sz w:val="24"/>
          <w:szCs w:val="24"/>
        </w:rPr>
        <w:t>Adv. Funct. Mater.</w:t>
      </w:r>
      <w:r w:rsidRPr="007D10CD">
        <w:rPr>
          <w:rFonts w:ascii="Times New Roman" w:hAnsi="Times New Roman" w:cs="Times New Roman"/>
          <w:noProof/>
          <w:sz w:val="24"/>
          <w:szCs w:val="24"/>
        </w:rPr>
        <w:t>, vol. 19, pp. 2297–2302, 2009.</w:t>
      </w:r>
    </w:p>
    <w:p w14:paraId="20F149D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[75]</w:t>
      </w:r>
      <w:r w:rsidRPr="007D10CD">
        <w:rPr>
          <w:rFonts w:ascii="Times New Roman" w:hAnsi="Times New Roman" w:cs="Times New Roman"/>
          <w:noProof/>
          <w:sz w:val="24"/>
          <w:szCs w:val="24"/>
        </w:rPr>
        <w:tab/>
        <w:t xml:space="preserve">K. Kalaitzidou, H. Fukushima, and L. Drzal, “A new compounding method for exfoliated graphite-polypropylene nanocomposites with enhanced flexural porperties and lower percolation threshold,”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67, pp. 2045–2051, 2007.</w:t>
      </w:r>
    </w:p>
    <w:p w14:paraId="63A97AB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[76]</w:t>
      </w:r>
      <w:r w:rsidRPr="007D10CD">
        <w:rPr>
          <w:rFonts w:ascii="Times New Roman" w:hAnsi="Times New Roman" w:cs="Times New Roman"/>
          <w:noProof/>
          <w:sz w:val="24"/>
          <w:szCs w:val="24"/>
        </w:rPr>
        <w:tab/>
        <w:t xml:space="preserve">W. Wanga and C. Pana, “Preparation and characterization of polystyrene/graphite composite prepared by cationic grafting polymerization,” </w:t>
      </w:r>
      <w:r w:rsidRPr="007D10CD">
        <w:rPr>
          <w:rFonts w:ascii="Times New Roman" w:hAnsi="Times New Roman" w:cs="Times New Roman"/>
          <w:i/>
          <w:iCs/>
          <w:noProof/>
          <w:sz w:val="24"/>
          <w:szCs w:val="24"/>
        </w:rPr>
        <w:t>Poolymer</w:t>
      </w:r>
      <w:r w:rsidRPr="007D10CD">
        <w:rPr>
          <w:rFonts w:ascii="Times New Roman" w:hAnsi="Times New Roman" w:cs="Times New Roman"/>
          <w:noProof/>
          <w:sz w:val="24"/>
          <w:szCs w:val="24"/>
        </w:rPr>
        <w:t>, vol. 45, no. 3987–3995, 2004.</w:t>
      </w:r>
    </w:p>
    <w:p w14:paraId="77D69E1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[77]</w:t>
      </w:r>
      <w:r w:rsidRPr="007D10CD">
        <w:rPr>
          <w:rFonts w:ascii="Times New Roman" w:hAnsi="Times New Roman" w:cs="Times New Roman"/>
          <w:noProof/>
          <w:sz w:val="24"/>
          <w:szCs w:val="24"/>
        </w:rPr>
        <w:tab/>
        <w:t xml:space="preserve">K. Kalaitzidou, H. Fukushima, and L. T. Drzal, “Multifunctional polypropylene composites produced by incorporation of exfoliated graphite nanoplatelets,”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45, no. 7, pp. 1446–1452, 2007.</w:t>
      </w:r>
    </w:p>
    <w:p w14:paraId="7F7CCF9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[78]</w:t>
      </w:r>
      <w:r w:rsidRPr="007D10CD">
        <w:rPr>
          <w:rFonts w:ascii="Times New Roman" w:hAnsi="Times New Roman" w:cs="Times New Roman"/>
          <w:noProof/>
          <w:sz w:val="24"/>
          <w:szCs w:val="24"/>
        </w:rPr>
        <w:tab/>
        <w:t xml:space="preserve">S. Kim, I. Do, and T. Lawrence, “Fatigue properties of highly oriented polypropylene tapes and all-polypropylene composites,” </w:t>
      </w:r>
      <w:r w:rsidRPr="007D10CD">
        <w:rPr>
          <w:rFonts w:ascii="Times New Roman" w:hAnsi="Times New Roman" w:cs="Times New Roman"/>
          <w:i/>
          <w:iCs/>
          <w:noProof/>
          <w:sz w:val="24"/>
          <w:szCs w:val="24"/>
        </w:rPr>
        <w:t>Polym. Compos.</w:t>
      </w:r>
      <w:r w:rsidRPr="007D10CD">
        <w:rPr>
          <w:rFonts w:ascii="Times New Roman" w:hAnsi="Times New Roman" w:cs="Times New Roman"/>
          <w:noProof/>
          <w:sz w:val="24"/>
          <w:szCs w:val="24"/>
        </w:rPr>
        <w:t>, vol. 10, pp. 755–761, 2010.</w:t>
      </w:r>
    </w:p>
    <w:p w14:paraId="7234ED3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[79]</w:t>
      </w:r>
      <w:r w:rsidRPr="007D10CD">
        <w:rPr>
          <w:rFonts w:ascii="Times New Roman" w:hAnsi="Times New Roman" w:cs="Times New Roman"/>
          <w:noProof/>
          <w:sz w:val="24"/>
          <w:szCs w:val="24"/>
        </w:rPr>
        <w:tab/>
        <w:t xml:space="preserve">G. Chen, C. Wu, and W. Weng, “Preparation of polystyrene/graphite nanosheet composite,”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44, pp. 1781–1784, 2003.</w:t>
      </w:r>
    </w:p>
    <w:p w14:paraId="737DE9B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[80]</w:t>
      </w:r>
      <w:r w:rsidRPr="007D10CD">
        <w:rPr>
          <w:rFonts w:ascii="Times New Roman" w:hAnsi="Times New Roman" w:cs="Times New Roman"/>
          <w:noProof/>
          <w:sz w:val="24"/>
          <w:szCs w:val="24"/>
        </w:rPr>
        <w:tab/>
        <w:t xml:space="preserve">D. W. Schaefer and R. S. Justice, “How nano are nanocomposites,”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40, pp. 5801–8517, 2007.</w:t>
      </w:r>
    </w:p>
    <w:p w14:paraId="407CFAD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[81]</w:t>
      </w:r>
      <w:r w:rsidRPr="007D10CD">
        <w:rPr>
          <w:rFonts w:ascii="Times New Roman" w:hAnsi="Times New Roman" w:cs="Times New Roman"/>
          <w:noProof/>
          <w:sz w:val="24"/>
          <w:szCs w:val="24"/>
        </w:rPr>
        <w:tab/>
        <w:t xml:space="preserve">X. Zhao, Q. Zhang, D. Chen, and P. Lu, “Enhanced mechanical properties of graphene-based polyvinyl alcohol composites,”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43, no. 5, pp. 2357–2363, 2010.</w:t>
      </w:r>
    </w:p>
    <w:p w14:paraId="15B0A5D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[82]</w:t>
      </w:r>
      <w:r w:rsidRPr="007D10CD">
        <w:rPr>
          <w:rFonts w:ascii="Times New Roman" w:hAnsi="Times New Roman" w:cs="Times New Roman"/>
          <w:noProof/>
          <w:sz w:val="24"/>
          <w:szCs w:val="24"/>
        </w:rPr>
        <w:tab/>
        <w:t xml:space="preserve">H. Kim, Y. Miura, and C. W. Macosko, “Graphene/polyurethane nanocomposites for improved gas barrier and electrical conductivity,” </w:t>
      </w:r>
      <w:r w:rsidRPr="007D10CD">
        <w:rPr>
          <w:rFonts w:ascii="Times New Roman" w:hAnsi="Times New Roman" w:cs="Times New Roman"/>
          <w:i/>
          <w:iCs/>
          <w:noProof/>
          <w:sz w:val="24"/>
          <w:szCs w:val="24"/>
        </w:rPr>
        <w:t>Chem. Mater.</w:t>
      </w:r>
      <w:r w:rsidRPr="007D10CD">
        <w:rPr>
          <w:rFonts w:ascii="Times New Roman" w:hAnsi="Times New Roman" w:cs="Times New Roman"/>
          <w:noProof/>
          <w:sz w:val="24"/>
          <w:szCs w:val="24"/>
        </w:rPr>
        <w:t>, vol. 22, pp. 3441–3450, 2010.</w:t>
      </w:r>
    </w:p>
    <w:p w14:paraId="34D7BDE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[83]</w:t>
      </w:r>
      <w:r w:rsidRPr="007D10CD">
        <w:rPr>
          <w:rFonts w:ascii="Times New Roman" w:hAnsi="Times New Roman" w:cs="Times New Roman"/>
          <w:noProof/>
          <w:sz w:val="24"/>
          <w:szCs w:val="24"/>
        </w:rPr>
        <w:tab/>
        <w:t xml:space="preserve">A. Richard and H. Wagner, “Framework for nanocomposites,” </w:t>
      </w:r>
      <w:r w:rsidRPr="007D10CD">
        <w:rPr>
          <w:rFonts w:ascii="Times New Roman" w:hAnsi="Times New Roman" w:cs="Times New Roman"/>
          <w:i/>
          <w:iCs/>
          <w:noProof/>
          <w:sz w:val="24"/>
          <w:szCs w:val="24"/>
        </w:rPr>
        <w:t>Materialstoday</w:t>
      </w:r>
      <w:r w:rsidRPr="007D10CD">
        <w:rPr>
          <w:rFonts w:ascii="Times New Roman" w:hAnsi="Times New Roman" w:cs="Times New Roman"/>
          <w:noProof/>
          <w:sz w:val="24"/>
          <w:szCs w:val="24"/>
        </w:rPr>
        <w:t>, vol. 7, pp. 32–37, 2004.</w:t>
      </w:r>
    </w:p>
    <w:p w14:paraId="539CACE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[84]</w:t>
      </w:r>
      <w:r w:rsidRPr="007D10CD">
        <w:rPr>
          <w:rFonts w:ascii="Times New Roman" w:hAnsi="Times New Roman" w:cs="Times New Roman"/>
          <w:noProof/>
          <w:sz w:val="24"/>
          <w:szCs w:val="24"/>
        </w:rPr>
        <w:tab/>
        <w:t xml:space="preserve">H. D. Wagner, O. Lourie, Y. Feldman, and R. Tenne, “Stress-induced fragmentation of multiwall carbon nanotubes in a polymer matrix,” </w:t>
      </w:r>
      <w:r w:rsidRPr="007D10CD">
        <w:rPr>
          <w:rFonts w:ascii="Times New Roman" w:hAnsi="Times New Roman" w:cs="Times New Roman"/>
          <w:i/>
          <w:iCs/>
          <w:noProof/>
          <w:sz w:val="24"/>
          <w:szCs w:val="24"/>
        </w:rPr>
        <w:t>Appl. Phys. Lett.</w:t>
      </w:r>
      <w:r w:rsidRPr="007D10CD">
        <w:rPr>
          <w:rFonts w:ascii="Times New Roman" w:hAnsi="Times New Roman" w:cs="Times New Roman"/>
          <w:noProof/>
          <w:sz w:val="24"/>
          <w:szCs w:val="24"/>
        </w:rPr>
        <w:t>, vol. 72, no. 2, pp. 1–4, 1998.</w:t>
      </w:r>
    </w:p>
    <w:p w14:paraId="3CA28C1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[85]</w:t>
      </w:r>
      <w:r w:rsidRPr="007D10CD">
        <w:rPr>
          <w:rFonts w:ascii="Times New Roman" w:hAnsi="Times New Roman" w:cs="Times New Roman"/>
          <w:noProof/>
          <w:sz w:val="24"/>
          <w:szCs w:val="24"/>
        </w:rPr>
        <w:tab/>
        <w:t xml:space="preserve">L. Gong, I. A. Kinloch, R. J. Young, I. Riaz, R. Jalil, and K. S. Novoselov, “Interfacial stress transfer in a graphene monolayer nanocomposite,” </w:t>
      </w:r>
      <w:r w:rsidRPr="007D10CD">
        <w:rPr>
          <w:rFonts w:ascii="Times New Roman" w:hAnsi="Times New Roman" w:cs="Times New Roman"/>
          <w:i/>
          <w:iCs/>
          <w:noProof/>
          <w:sz w:val="24"/>
          <w:szCs w:val="24"/>
        </w:rPr>
        <w:t>Adv. Mater.</w:t>
      </w:r>
      <w:r w:rsidRPr="007D10CD">
        <w:rPr>
          <w:rFonts w:ascii="Times New Roman" w:hAnsi="Times New Roman" w:cs="Times New Roman"/>
          <w:noProof/>
          <w:sz w:val="24"/>
          <w:szCs w:val="24"/>
        </w:rPr>
        <w:t>, vol. 22, no. 24, pp. 2694–2697, 2010.</w:t>
      </w:r>
    </w:p>
    <w:p w14:paraId="42E5043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[86]</w:t>
      </w:r>
      <w:r w:rsidRPr="007D10CD">
        <w:rPr>
          <w:rFonts w:ascii="Times New Roman" w:hAnsi="Times New Roman" w:cs="Times New Roman"/>
          <w:noProof/>
          <w:sz w:val="24"/>
          <w:szCs w:val="24"/>
        </w:rPr>
        <w:tab/>
        <w:t xml:space="preserve">S. J. V Frankland, A. Caglar, D. W. Brenner, and M. Griebel, “Molecular simulation of the influence of chemical cross-links on the shear strength of carbon nanotube-polymer interfaces,” </w:t>
      </w:r>
      <w:r w:rsidRPr="007D10CD">
        <w:rPr>
          <w:rFonts w:ascii="Times New Roman" w:hAnsi="Times New Roman" w:cs="Times New Roman"/>
          <w:i/>
          <w:iCs/>
          <w:noProof/>
          <w:sz w:val="24"/>
          <w:szCs w:val="24"/>
        </w:rPr>
        <w:t>J. Phys. Chem. B</w:t>
      </w:r>
      <w:r w:rsidRPr="007D10CD">
        <w:rPr>
          <w:rFonts w:ascii="Times New Roman" w:hAnsi="Times New Roman" w:cs="Times New Roman"/>
          <w:noProof/>
          <w:sz w:val="24"/>
          <w:szCs w:val="24"/>
        </w:rPr>
        <w:t>, vol. 106, no. 12, pp. 3046–3048, 2002.</w:t>
      </w:r>
    </w:p>
    <w:p w14:paraId="66E015E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[87]</w:t>
      </w:r>
      <w:r w:rsidRPr="007D10CD">
        <w:rPr>
          <w:rFonts w:ascii="Times New Roman" w:hAnsi="Times New Roman" w:cs="Times New Roman"/>
          <w:noProof/>
          <w:sz w:val="24"/>
          <w:szCs w:val="24"/>
        </w:rPr>
        <w:tab/>
        <w:t xml:space="preserve">A. H. Barber, S. R. Cohen, and H. D. Wagner, “Measurement of carbon nanotube-polymer interfacial strength,” </w:t>
      </w:r>
      <w:r w:rsidRPr="007D10CD">
        <w:rPr>
          <w:rFonts w:ascii="Times New Roman" w:hAnsi="Times New Roman" w:cs="Times New Roman"/>
          <w:i/>
          <w:iCs/>
          <w:noProof/>
          <w:sz w:val="24"/>
          <w:szCs w:val="24"/>
        </w:rPr>
        <w:t>Appl. Phys. Lett.</w:t>
      </w:r>
      <w:r w:rsidRPr="007D10CD">
        <w:rPr>
          <w:rFonts w:ascii="Times New Roman" w:hAnsi="Times New Roman" w:cs="Times New Roman"/>
          <w:noProof/>
          <w:sz w:val="24"/>
          <w:szCs w:val="24"/>
        </w:rPr>
        <w:t>, vol. 82, no. 23, pp. 4140–4142, 2003.</w:t>
      </w:r>
    </w:p>
    <w:p w14:paraId="3DB57A9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[88]</w:t>
      </w:r>
      <w:r w:rsidRPr="007D10CD">
        <w:rPr>
          <w:rFonts w:ascii="Times New Roman" w:hAnsi="Times New Roman" w:cs="Times New Roman"/>
          <w:noProof/>
          <w:sz w:val="24"/>
          <w:szCs w:val="24"/>
        </w:rPr>
        <w:tab/>
        <w:t xml:space="preserve">H. Kim and C. Macosko, “Morphology and Properties of Polyester/Exfoliated Graphite Nanocomposites,”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41, no. 3317–3327, 2008.</w:t>
      </w:r>
    </w:p>
    <w:p w14:paraId="762DB33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[89]</w:t>
      </w:r>
      <w:r w:rsidRPr="007D10CD">
        <w:rPr>
          <w:rFonts w:ascii="Times New Roman" w:hAnsi="Times New Roman" w:cs="Times New Roman"/>
          <w:noProof/>
          <w:sz w:val="24"/>
          <w:szCs w:val="24"/>
        </w:rPr>
        <w:tab/>
        <w:t xml:space="preserve">D. E. Kline, “Thermal conductivity studies of polymers,” </w:t>
      </w:r>
      <w:r w:rsidRPr="007D10CD">
        <w:rPr>
          <w:rFonts w:ascii="Times New Roman" w:hAnsi="Times New Roman" w:cs="Times New Roman"/>
          <w:i/>
          <w:iCs/>
          <w:noProof/>
          <w:sz w:val="24"/>
          <w:szCs w:val="24"/>
        </w:rPr>
        <w:t>J. Polym. Sci.</w:t>
      </w:r>
      <w:r w:rsidRPr="007D10CD">
        <w:rPr>
          <w:rFonts w:ascii="Times New Roman" w:hAnsi="Times New Roman" w:cs="Times New Roman"/>
          <w:noProof/>
          <w:sz w:val="24"/>
          <w:szCs w:val="24"/>
        </w:rPr>
        <w:t>, vol. 50, no. 154, pp. 441–450, 1961.</w:t>
      </w:r>
    </w:p>
    <w:p w14:paraId="52426C6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[90]</w:t>
      </w:r>
      <w:r w:rsidRPr="007D10CD">
        <w:rPr>
          <w:rFonts w:ascii="Times New Roman" w:hAnsi="Times New Roman" w:cs="Times New Roman"/>
          <w:noProof/>
          <w:sz w:val="24"/>
          <w:szCs w:val="24"/>
        </w:rPr>
        <w:tab/>
        <w:t xml:space="preserve">Z. Han and A. Fina, “Thermal conductivity of carbon nanotubes and their polymer nanocomposites: A review,” </w:t>
      </w:r>
      <w:r w:rsidRPr="007D10CD">
        <w:rPr>
          <w:rFonts w:ascii="Times New Roman" w:hAnsi="Times New Roman" w:cs="Times New Roman"/>
          <w:i/>
          <w:iCs/>
          <w:noProof/>
          <w:sz w:val="24"/>
          <w:szCs w:val="24"/>
        </w:rPr>
        <w:t>Prog. Polym. Sci.</w:t>
      </w:r>
      <w:r w:rsidRPr="007D10CD">
        <w:rPr>
          <w:rFonts w:ascii="Times New Roman" w:hAnsi="Times New Roman" w:cs="Times New Roman"/>
          <w:noProof/>
          <w:sz w:val="24"/>
          <w:szCs w:val="24"/>
        </w:rPr>
        <w:t>, vol. 36, no. 7, pp. 914–944, 2011.</w:t>
      </w:r>
    </w:p>
    <w:p w14:paraId="5945704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[91]</w:t>
      </w:r>
      <w:r w:rsidRPr="007D10CD">
        <w:rPr>
          <w:rFonts w:ascii="Times New Roman" w:hAnsi="Times New Roman" w:cs="Times New Roman"/>
          <w:noProof/>
          <w:sz w:val="24"/>
          <w:szCs w:val="24"/>
        </w:rPr>
        <w:tab/>
        <w:t xml:space="preserve">B. T. Kelly, </w:t>
      </w:r>
      <w:r w:rsidRPr="007D10CD">
        <w:rPr>
          <w:rFonts w:ascii="Times New Roman" w:hAnsi="Times New Roman" w:cs="Times New Roman"/>
          <w:i/>
          <w:iCs/>
          <w:noProof/>
          <w:sz w:val="24"/>
          <w:szCs w:val="24"/>
        </w:rPr>
        <w:t>Physics Of Graphite</w:t>
      </w:r>
      <w:r w:rsidRPr="007D10CD">
        <w:rPr>
          <w:rFonts w:ascii="Times New Roman" w:hAnsi="Times New Roman" w:cs="Times New Roman"/>
          <w:noProof/>
          <w:sz w:val="24"/>
          <w:szCs w:val="24"/>
        </w:rPr>
        <w:t>. Applied Science, 1981.</w:t>
      </w:r>
    </w:p>
    <w:p w14:paraId="57F12AD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[92]</w:t>
      </w:r>
      <w:r w:rsidRPr="007D10CD">
        <w:rPr>
          <w:rFonts w:ascii="Times New Roman" w:hAnsi="Times New Roman" w:cs="Times New Roman"/>
          <w:noProof/>
          <w:sz w:val="24"/>
          <w:szCs w:val="24"/>
        </w:rPr>
        <w:tab/>
        <w:t xml:space="preserve">W. M. Wolff S, </w:t>
      </w:r>
      <w:r w:rsidRPr="007D10CD">
        <w:rPr>
          <w:rFonts w:ascii="Times New Roman" w:hAnsi="Times New Roman" w:cs="Times New Roman"/>
          <w:i/>
          <w:iCs/>
          <w:noProof/>
          <w:sz w:val="24"/>
          <w:szCs w:val="24"/>
        </w:rPr>
        <w:t>Carbon black science &amp; technology</w:t>
      </w:r>
      <w:r w:rsidRPr="007D10CD">
        <w:rPr>
          <w:rFonts w:ascii="Times New Roman" w:hAnsi="Times New Roman" w:cs="Times New Roman"/>
          <w:noProof/>
          <w:sz w:val="24"/>
          <w:szCs w:val="24"/>
        </w:rPr>
        <w:t>, 2nd ed. New York: Marcel Dekker, 1993.</w:t>
      </w:r>
    </w:p>
    <w:p w14:paraId="5A06164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[93]</w:t>
      </w:r>
      <w:r w:rsidRPr="007D10CD">
        <w:rPr>
          <w:rFonts w:ascii="Times New Roman" w:hAnsi="Times New Roman" w:cs="Times New Roman"/>
          <w:noProof/>
          <w:sz w:val="24"/>
          <w:szCs w:val="24"/>
        </w:rPr>
        <w:tab/>
        <w:t xml:space="preserve">G. Wypych, </w:t>
      </w:r>
      <w:r w:rsidRPr="007D10CD">
        <w:rPr>
          <w:rFonts w:ascii="Times New Roman" w:hAnsi="Times New Roman" w:cs="Times New Roman"/>
          <w:i/>
          <w:iCs/>
          <w:noProof/>
          <w:sz w:val="24"/>
          <w:szCs w:val="24"/>
        </w:rPr>
        <w:t>Handbook of fillers: physical properties of fillers and filled materials</w:t>
      </w:r>
      <w:r w:rsidRPr="007D10CD">
        <w:rPr>
          <w:rFonts w:ascii="Times New Roman" w:hAnsi="Times New Roman" w:cs="Times New Roman"/>
          <w:noProof/>
          <w:sz w:val="24"/>
          <w:szCs w:val="24"/>
        </w:rPr>
        <w:t>. Toronto: ChemTec Publishing, 2000.</w:t>
      </w:r>
    </w:p>
    <w:p w14:paraId="3692AD1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[94]</w:t>
      </w:r>
      <w:r w:rsidRPr="007D10CD">
        <w:rPr>
          <w:rFonts w:ascii="Times New Roman" w:hAnsi="Times New Roman" w:cs="Times New Roman"/>
          <w:noProof/>
          <w:sz w:val="24"/>
          <w:szCs w:val="24"/>
        </w:rPr>
        <w:tab/>
        <w:t xml:space="preserve">P. HO., </w:t>
      </w:r>
      <w:r w:rsidRPr="007D10CD">
        <w:rPr>
          <w:rFonts w:ascii="Times New Roman" w:hAnsi="Times New Roman" w:cs="Times New Roman"/>
          <w:i/>
          <w:iCs/>
          <w:noProof/>
          <w:sz w:val="24"/>
          <w:szCs w:val="24"/>
        </w:rPr>
        <w:t>Handbook of carbon, graphite, diamond and fullerenes: properties. Processing and applications.</w:t>
      </w:r>
      <w:r w:rsidRPr="007D10CD">
        <w:rPr>
          <w:rFonts w:ascii="Times New Roman" w:hAnsi="Times New Roman" w:cs="Times New Roman"/>
          <w:noProof/>
          <w:sz w:val="24"/>
          <w:szCs w:val="24"/>
        </w:rPr>
        <w:t xml:space="preserve"> Noyes Publications, 1993.</w:t>
      </w:r>
    </w:p>
    <w:p w14:paraId="3408184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[95]</w:t>
      </w:r>
      <w:r w:rsidRPr="007D10CD">
        <w:rPr>
          <w:rFonts w:ascii="Times New Roman" w:hAnsi="Times New Roman" w:cs="Times New Roman"/>
          <w:noProof/>
          <w:sz w:val="24"/>
          <w:szCs w:val="24"/>
        </w:rPr>
        <w:tab/>
        <w:t xml:space="preserve">E. P. G. SEEMA ANSARI, “Functionalized graphene sheet-poly(vinylidene fluoride)conductive nanocomposites,” </w:t>
      </w:r>
      <w:r w:rsidRPr="007D10CD">
        <w:rPr>
          <w:rFonts w:ascii="Times New Roman" w:hAnsi="Times New Roman" w:cs="Times New Roman"/>
          <w:i/>
          <w:iCs/>
          <w:noProof/>
          <w:sz w:val="24"/>
          <w:szCs w:val="24"/>
        </w:rPr>
        <w:t>J. Polym. Sci. Part B Polym. Phys.</w:t>
      </w:r>
      <w:r w:rsidRPr="007D10CD">
        <w:rPr>
          <w:rFonts w:ascii="Times New Roman" w:hAnsi="Times New Roman" w:cs="Times New Roman"/>
          <w:noProof/>
          <w:sz w:val="24"/>
          <w:szCs w:val="24"/>
        </w:rPr>
        <w:t>, vol. 47, pp. 888–897, 2009.</w:t>
      </w:r>
    </w:p>
    <w:p w14:paraId="35979D4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[96]</w:t>
      </w:r>
      <w:r w:rsidRPr="007D10CD">
        <w:rPr>
          <w:rFonts w:ascii="Times New Roman" w:hAnsi="Times New Roman" w:cs="Times New Roman"/>
          <w:noProof/>
          <w:sz w:val="24"/>
          <w:szCs w:val="24"/>
        </w:rPr>
        <w:tab/>
        <w:t xml:space="preserve">A. Leszczy, J. Njuguna, K. Pielichowski, and J. R. Banerjee, “Polymer/montmorillonite nanocomposites with improved thermal properties Part I . Factors influencing thermal stability and mechanisms of thermal stability improvement,” </w:t>
      </w:r>
      <w:r w:rsidRPr="007D10CD">
        <w:rPr>
          <w:rFonts w:ascii="Times New Roman" w:hAnsi="Times New Roman" w:cs="Times New Roman"/>
          <w:i/>
          <w:iCs/>
          <w:noProof/>
          <w:sz w:val="24"/>
          <w:szCs w:val="24"/>
        </w:rPr>
        <w:t>Thermochimicaacta</w:t>
      </w:r>
      <w:r w:rsidRPr="007D10CD">
        <w:rPr>
          <w:rFonts w:ascii="Times New Roman" w:hAnsi="Times New Roman" w:cs="Times New Roman"/>
          <w:noProof/>
          <w:sz w:val="24"/>
          <w:szCs w:val="24"/>
        </w:rPr>
        <w:t>, vol. 453, pp. 75–96, 2007.</w:t>
      </w:r>
    </w:p>
    <w:p w14:paraId="147A807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[97]</w:t>
      </w:r>
      <w:r w:rsidRPr="007D10CD">
        <w:rPr>
          <w:rFonts w:ascii="Times New Roman" w:hAnsi="Times New Roman" w:cs="Times New Roman"/>
          <w:noProof/>
          <w:sz w:val="24"/>
          <w:szCs w:val="24"/>
        </w:rPr>
        <w:tab/>
        <w:t xml:space="preserve">I. H. Kim and Y. G. Jeong, “Polylactide/exfoliated graphite nanocomposites with enhanced thermal stability, mechanical modulus, and electrical conductivity,” </w:t>
      </w:r>
      <w:r w:rsidRPr="007D10CD">
        <w:rPr>
          <w:rFonts w:ascii="Times New Roman" w:hAnsi="Times New Roman" w:cs="Times New Roman"/>
          <w:i/>
          <w:iCs/>
          <w:noProof/>
          <w:sz w:val="24"/>
          <w:szCs w:val="24"/>
        </w:rPr>
        <w:t>J. Polym. Sci. Part B Polym. Phys.</w:t>
      </w:r>
      <w:r w:rsidRPr="007D10CD">
        <w:rPr>
          <w:rFonts w:ascii="Times New Roman" w:hAnsi="Times New Roman" w:cs="Times New Roman"/>
          <w:noProof/>
          <w:sz w:val="24"/>
          <w:szCs w:val="24"/>
        </w:rPr>
        <w:t>, vol. 48, no. 8, pp. 850–858, 2010.</w:t>
      </w:r>
    </w:p>
    <w:p w14:paraId="3A9E575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[98]</w:t>
      </w:r>
      <w:r w:rsidRPr="007D10CD">
        <w:rPr>
          <w:rFonts w:ascii="Times New Roman" w:hAnsi="Times New Roman" w:cs="Times New Roman"/>
          <w:noProof/>
          <w:sz w:val="24"/>
          <w:szCs w:val="24"/>
        </w:rPr>
        <w:tab/>
        <w:t xml:space="preserve">C. C. Teng, C. C. M. Ma, C. H. Lu, S. Y. Yang, S. H. Lee, M. C. Hsiao, M. Y. Yen, K. C. Chiou, and T. M. Lee, “Thermal conductivity and structure of non-covalent functionalized graphene/epoxy composites,”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49, no. 15, pp. 5107–5116, 2011.</w:t>
      </w:r>
    </w:p>
    <w:p w14:paraId="6789EB8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[99]</w:t>
      </w:r>
      <w:r w:rsidRPr="007D10CD">
        <w:rPr>
          <w:rFonts w:ascii="Times New Roman" w:hAnsi="Times New Roman" w:cs="Times New Roman"/>
          <w:noProof/>
          <w:sz w:val="24"/>
          <w:szCs w:val="24"/>
        </w:rPr>
        <w:tab/>
        <w:t xml:space="preserve">A. K. Geim and K. S. S. Novoselov, “The rise of graphene,” </w:t>
      </w:r>
      <w:r w:rsidRPr="007D10CD">
        <w:rPr>
          <w:rFonts w:ascii="Times New Roman" w:hAnsi="Times New Roman" w:cs="Times New Roman"/>
          <w:i/>
          <w:iCs/>
          <w:noProof/>
          <w:sz w:val="24"/>
          <w:szCs w:val="24"/>
        </w:rPr>
        <w:t>Nat. Mater.</w:t>
      </w:r>
      <w:r w:rsidRPr="007D10CD">
        <w:rPr>
          <w:rFonts w:ascii="Times New Roman" w:hAnsi="Times New Roman" w:cs="Times New Roman"/>
          <w:noProof/>
          <w:sz w:val="24"/>
          <w:szCs w:val="24"/>
        </w:rPr>
        <w:t>, vol. 6, no. 3, pp. 183–191, 2007.</w:t>
      </w:r>
    </w:p>
    <w:p w14:paraId="311DF0C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[100]</w:t>
      </w:r>
      <w:r w:rsidRPr="007D10CD">
        <w:rPr>
          <w:rFonts w:ascii="Times New Roman" w:hAnsi="Times New Roman" w:cs="Times New Roman"/>
          <w:noProof/>
          <w:sz w:val="24"/>
          <w:szCs w:val="24"/>
        </w:rPr>
        <w:tab/>
        <w:t xml:space="preserve">V. I. Roldughin and V. V. Vysotskii, “Percolation properties of metal-filled polymer films, structure and mechanisms of conductivity,” </w:t>
      </w:r>
      <w:r w:rsidRPr="007D10CD">
        <w:rPr>
          <w:rFonts w:ascii="Times New Roman" w:hAnsi="Times New Roman" w:cs="Times New Roman"/>
          <w:i/>
          <w:iCs/>
          <w:noProof/>
          <w:sz w:val="24"/>
          <w:szCs w:val="24"/>
        </w:rPr>
        <w:t>Prog. Org. Coatings</w:t>
      </w:r>
      <w:r w:rsidRPr="007D10CD">
        <w:rPr>
          <w:rFonts w:ascii="Times New Roman" w:hAnsi="Times New Roman" w:cs="Times New Roman"/>
          <w:noProof/>
          <w:sz w:val="24"/>
          <w:szCs w:val="24"/>
        </w:rPr>
        <w:t>, vol. 39, no. 2–4, pp. 81–100, 2000.</w:t>
      </w:r>
    </w:p>
    <w:p w14:paraId="64AB3F2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[101]</w:t>
      </w:r>
      <w:r w:rsidRPr="007D10CD">
        <w:rPr>
          <w:rFonts w:ascii="Times New Roman" w:hAnsi="Times New Roman" w:cs="Times New Roman"/>
          <w:noProof/>
          <w:sz w:val="24"/>
          <w:szCs w:val="24"/>
        </w:rPr>
        <w:tab/>
        <w:t xml:space="preserve">R. Haggenmueller, H. H. Gommans, A. G. Rinzler, J. E. Fischer, and K. I. Winey, “Aligned single-wall carbon nanotubes in composites by melt processing methods,” </w:t>
      </w:r>
      <w:r w:rsidRPr="007D10CD">
        <w:rPr>
          <w:rFonts w:ascii="Times New Roman" w:hAnsi="Times New Roman" w:cs="Times New Roman"/>
          <w:i/>
          <w:iCs/>
          <w:noProof/>
          <w:sz w:val="24"/>
          <w:szCs w:val="24"/>
        </w:rPr>
        <w:t>Chem. Phys. Lett.</w:t>
      </w:r>
      <w:r w:rsidRPr="007D10CD">
        <w:rPr>
          <w:rFonts w:ascii="Times New Roman" w:hAnsi="Times New Roman" w:cs="Times New Roman"/>
          <w:noProof/>
          <w:sz w:val="24"/>
          <w:szCs w:val="24"/>
        </w:rPr>
        <w:t>, vol. 330, no. 3–4, pp. 219–225, 2000.</w:t>
      </w:r>
    </w:p>
    <w:p w14:paraId="18A3EB0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[102]</w:t>
      </w:r>
      <w:r w:rsidRPr="007D10CD">
        <w:rPr>
          <w:rFonts w:ascii="Times New Roman" w:hAnsi="Times New Roman" w:cs="Times New Roman"/>
          <w:noProof/>
          <w:sz w:val="24"/>
          <w:szCs w:val="24"/>
        </w:rPr>
        <w:tab/>
        <w:t xml:space="preserve">S. Kale, F. A. Sabet, I. Jasiuk, and M. Ostoja-starzewski, “Effect of filler alignment on percolation in polymer nanocomposites using tunneling-percolation model,” </w:t>
      </w:r>
      <w:r w:rsidRPr="007D10CD">
        <w:rPr>
          <w:rFonts w:ascii="Times New Roman" w:hAnsi="Times New Roman" w:cs="Times New Roman"/>
          <w:i/>
          <w:iCs/>
          <w:noProof/>
          <w:sz w:val="24"/>
          <w:szCs w:val="24"/>
        </w:rPr>
        <w:t>Appl. Phys.</w:t>
      </w:r>
      <w:r w:rsidRPr="007D10CD">
        <w:rPr>
          <w:rFonts w:ascii="Times New Roman" w:hAnsi="Times New Roman" w:cs="Times New Roman"/>
          <w:noProof/>
          <w:sz w:val="24"/>
          <w:szCs w:val="24"/>
        </w:rPr>
        <w:t>, vol. 120, pp. 1–11, 2016.</w:t>
      </w:r>
    </w:p>
    <w:p w14:paraId="637D510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[103]</w:t>
      </w:r>
      <w:r w:rsidRPr="007D10CD">
        <w:rPr>
          <w:rFonts w:ascii="Times New Roman" w:hAnsi="Times New Roman" w:cs="Times New Roman"/>
          <w:noProof/>
          <w:sz w:val="24"/>
          <w:szCs w:val="24"/>
        </w:rPr>
        <w:tab/>
        <w:t xml:space="preserve">H. Kim and C. W. Macosko, “Processing-property relationships of polycarbonate/graphene composites,”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50, no. 15, pp. 3797–3809, 2009.</w:t>
      </w:r>
    </w:p>
    <w:p w14:paraId="599A445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[104]</w:t>
      </w:r>
      <w:r w:rsidRPr="007D10CD">
        <w:rPr>
          <w:rFonts w:ascii="Times New Roman" w:hAnsi="Times New Roman" w:cs="Times New Roman"/>
          <w:noProof/>
          <w:sz w:val="24"/>
          <w:szCs w:val="24"/>
        </w:rPr>
        <w:tab/>
        <w:t xml:space="preserve">G. Eda and M. Chhowalla, “Graphene-based Composite Thin Films for Electronics Graphene-based Composite Thin Films for Electronics,” </w:t>
      </w:r>
      <w:r w:rsidRPr="007D10CD">
        <w:rPr>
          <w:rFonts w:ascii="Times New Roman" w:hAnsi="Times New Roman" w:cs="Times New Roman"/>
          <w:i/>
          <w:iCs/>
          <w:noProof/>
          <w:sz w:val="24"/>
          <w:szCs w:val="24"/>
        </w:rPr>
        <w:t>Nano Lett.</w:t>
      </w:r>
      <w:r w:rsidRPr="007D10CD">
        <w:rPr>
          <w:rFonts w:ascii="Times New Roman" w:hAnsi="Times New Roman" w:cs="Times New Roman"/>
          <w:noProof/>
          <w:sz w:val="24"/>
          <w:szCs w:val="24"/>
        </w:rPr>
        <w:t>, vol. 9, no. January, pp. 814–818, 2009.</w:t>
      </w:r>
    </w:p>
    <w:p w14:paraId="0E3BE24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[105]</w:t>
      </w:r>
      <w:r w:rsidRPr="007D10CD">
        <w:rPr>
          <w:rFonts w:ascii="Times New Roman" w:hAnsi="Times New Roman" w:cs="Times New Roman"/>
          <w:noProof/>
          <w:sz w:val="24"/>
          <w:szCs w:val="24"/>
        </w:rPr>
        <w:tab/>
        <w:t xml:space="preserve">P. Rittigstein, R. D. Priestley, L. J. Broadbelt, and J. M. Torkelson, “Model polymer nanocomposites provide an understanding of confinement effects in real nanocomposites,” </w:t>
      </w:r>
      <w:r w:rsidRPr="007D10CD">
        <w:rPr>
          <w:rFonts w:ascii="Times New Roman" w:hAnsi="Times New Roman" w:cs="Times New Roman"/>
          <w:i/>
          <w:iCs/>
          <w:noProof/>
          <w:sz w:val="24"/>
          <w:szCs w:val="24"/>
        </w:rPr>
        <w:t>Nat. Mater.</w:t>
      </w:r>
      <w:r w:rsidRPr="007D10CD">
        <w:rPr>
          <w:rFonts w:ascii="Times New Roman" w:hAnsi="Times New Roman" w:cs="Times New Roman"/>
          <w:noProof/>
          <w:sz w:val="24"/>
          <w:szCs w:val="24"/>
        </w:rPr>
        <w:t>, vol. 6, no. 4, pp. 278–282, 2007.</w:t>
      </w:r>
    </w:p>
    <w:p w14:paraId="2A643AC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[106]</w:t>
      </w:r>
      <w:r w:rsidRPr="007D10CD">
        <w:rPr>
          <w:rFonts w:ascii="Times New Roman" w:hAnsi="Times New Roman" w:cs="Times New Roman"/>
          <w:noProof/>
          <w:sz w:val="24"/>
          <w:szCs w:val="24"/>
        </w:rPr>
        <w:tab/>
        <w:t xml:space="preserve">R. Qiao and L. Catherine Brinson, “Simulation of interphase percolation and gradients in polymer nanocomposites,”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69, no. 3–4, pp. 491–499, 2009.</w:t>
      </w:r>
    </w:p>
    <w:p w14:paraId="623073C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[107]</w:t>
      </w:r>
      <w:r w:rsidRPr="007D10CD">
        <w:rPr>
          <w:rFonts w:ascii="Times New Roman" w:hAnsi="Times New Roman" w:cs="Times New Roman"/>
          <w:noProof/>
          <w:sz w:val="24"/>
          <w:szCs w:val="24"/>
        </w:rPr>
        <w:tab/>
        <w:t xml:space="preserve">D. J. Stokes, </w:t>
      </w:r>
      <w:r w:rsidRPr="007D10CD">
        <w:rPr>
          <w:rFonts w:ascii="Times New Roman" w:hAnsi="Times New Roman" w:cs="Times New Roman"/>
          <w:i/>
          <w:iCs/>
          <w:noProof/>
          <w:sz w:val="24"/>
          <w:szCs w:val="24"/>
        </w:rPr>
        <w:t>Principles and Practice of Variable Pressure Environmental Scanning Electron Microscopy</w:t>
      </w:r>
      <w:r w:rsidRPr="007D10CD">
        <w:rPr>
          <w:rFonts w:ascii="Times New Roman" w:hAnsi="Times New Roman" w:cs="Times New Roman"/>
          <w:noProof/>
          <w:sz w:val="24"/>
          <w:szCs w:val="24"/>
        </w:rPr>
        <w:t>. John Wiley &amp; Sons.</w:t>
      </w:r>
    </w:p>
    <w:p w14:paraId="77D5B68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[108]</w:t>
      </w:r>
      <w:r w:rsidRPr="007D10CD">
        <w:rPr>
          <w:rFonts w:ascii="Times New Roman" w:hAnsi="Times New Roman" w:cs="Times New Roman"/>
          <w:noProof/>
          <w:sz w:val="24"/>
          <w:szCs w:val="24"/>
        </w:rPr>
        <w:tab/>
        <w:t xml:space="preserve">R. Adhikari and G. H. Michler, “Polymer nanocomposites characterization by microscopy,” </w:t>
      </w:r>
      <w:r w:rsidRPr="007D10CD">
        <w:rPr>
          <w:rFonts w:ascii="Times New Roman" w:hAnsi="Times New Roman" w:cs="Times New Roman"/>
          <w:i/>
          <w:iCs/>
          <w:noProof/>
          <w:sz w:val="24"/>
          <w:szCs w:val="24"/>
        </w:rPr>
        <w:t>Polym. Rev.</w:t>
      </w:r>
      <w:r w:rsidRPr="007D10CD">
        <w:rPr>
          <w:rFonts w:ascii="Times New Roman" w:hAnsi="Times New Roman" w:cs="Times New Roman"/>
          <w:noProof/>
          <w:sz w:val="24"/>
          <w:szCs w:val="24"/>
        </w:rPr>
        <w:t>, vol. 49, no. 3, pp. 141–180, 2009.</w:t>
      </w:r>
    </w:p>
    <w:p w14:paraId="5CC8968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[109]</w:t>
      </w:r>
      <w:r w:rsidRPr="007D10CD">
        <w:rPr>
          <w:rFonts w:ascii="Times New Roman" w:hAnsi="Times New Roman" w:cs="Times New Roman"/>
          <w:noProof/>
          <w:sz w:val="24"/>
          <w:szCs w:val="24"/>
        </w:rPr>
        <w:tab/>
        <w:t xml:space="preserve">J. M. Frechet, “Functional polymers and dendrimers: reactivity, molecular architecture, and interfacial energy,” </w:t>
      </w:r>
      <w:r w:rsidRPr="007D10CD">
        <w:rPr>
          <w:rFonts w:ascii="Times New Roman" w:hAnsi="Times New Roman" w:cs="Times New Roman"/>
          <w:i/>
          <w:iCs/>
          <w:noProof/>
          <w:sz w:val="24"/>
          <w:szCs w:val="24"/>
        </w:rPr>
        <w:t>Science (80-. ).</w:t>
      </w:r>
      <w:r w:rsidRPr="007D10CD">
        <w:rPr>
          <w:rFonts w:ascii="Times New Roman" w:hAnsi="Times New Roman" w:cs="Times New Roman"/>
          <w:noProof/>
          <w:sz w:val="24"/>
          <w:szCs w:val="24"/>
        </w:rPr>
        <w:t>, vol. 263, no. 5154, pp. 1710–1715, 1994.</w:t>
      </w:r>
    </w:p>
    <w:p w14:paraId="1643EDD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[110]</w:t>
      </w:r>
      <w:r w:rsidRPr="007D10CD">
        <w:rPr>
          <w:rFonts w:ascii="Times New Roman" w:hAnsi="Times New Roman" w:cs="Times New Roman"/>
          <w:noProof/>
          <w:sz w:val="24"/>
          <w:szCs w:val="24"/>
        </w:rPr>
        <w:tab/>
        <w:t xml:space="preserve">D. A. Tomalia and J. M. J. Fréchet, “Discovery of dendrimers and dendritic polymers: A brief historical perspective,” </w:t>
      </w:r>
      <w:r w:rsidRPr="007D10CD">
        <w:rPr>
          <w:rFonts w:ascii="Times New Roman" w:hAnsi="Times New Roman" w:cs="Times New Roman"/>
          <w:i/>
          <w:iCs/>
          <w:noProof/>
          <w:sz w:val="24"/>
          <w:szCs w:val="24"/>
        </w:rPr>
        <w:t>J. Polym. Sci. Part A Polym. Chem.</w:t>
      </w:r>
      <w:r w:rsidRPr="007D10CD">
        <w:rPr>
          <w:rFonts w:ascii="Times New Roman" w:hAnsi="Times New Roman" w:cs="Times New Roman"/>
          <w:noProof/>
          <w:sz w:val="24"/>
          <w:szCs w:val="24"/>
        </w:rPr>
        <w:t>, vol. 40, no. 16, pp. 2719–2728, 2002.</w:t>
      </w:r>
    </w:p>
    <w:p w14:paraId="47085CC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[111]</w:t>
      </w:r>
      <w:r w:rsidRPr="007D10CD">
        <w:rPr>
          <w:rFonts w:ascii="Times New Roman" w:hAnsi="Times New Roman" w:cs="Times New Roman"/>
          <w:noProof/>
          <w:sz w:val="24"/>
          <w:szCs w:val="24"/>
        </w:rPr>
        <w:tab/>
        <w:t xml:space="preserve">Z. Xue, A. D. Finke, and J. S. Moore, “Synthesis of hyperbranched poly(m-phenylene)s via suzuki polycondensation of a branched AB2 monomer,”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43, pp. 9277–9282, 2010.</w:t>
      </w:r>
    </w:p>
    <w:p w14:paraId="26DBE19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[112]</w:t>
      </w:r>
      <w:r w:rsidRPr="007D10CD">
        <w:rPr>
          <w:rFonts w:ascii="Times New Roman" w:hAnsi="Times New Roman" w:cs="Times New Roman"/>
          <w:noProof/>
          <w:sz w:val="24"/>
          <w:szCs w:val="24"/>
        </w:rPr>
        <w:tab/>
        <w:t xml:space="preserve">Y. H. Kim and O. W. Webster, “Hyperbranched polyphenylenes,”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25, pp. 5561–5572, 1992.</w:t>
      </w:r>
    </w:p>
    <w:p w14:paraId="5C6A002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[113]</w:t>
      </w:r>
      <w:r w:rsidRPr="007D10CD">
        <w:rPr>
          <w:rFonts w:ascii="Times New Roman" w:hAnsi="Times New Roman" w:cs="Times New Roman"/>
          <w:noProof/>
          <w:sz w:val="24"/>
          <w:szCs w:val="24"/>
        </w:rPr>
        <w:tab/>
        <w:t>W. J. Feast, N. M. Stainton, and N. M. Station, “Synthesis, Structure and Properties of some hyperbranched polyesters,” vol. 5, no. 3, pp. 405–411, 1995.</w:t>
      </w:r>
    </w:p>
    <w:p w14:paraId="6995792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[114]</w:t>
      </w:r>
      <w:r w:rsidRPr="007D10CD">
        <w:rPr>
          <w:rFonts w:ascii="Times New Roman" w:hAnsi="Times New Roman" w:cs="Times New Roman"/>
          <w:noProof/>
          <w:sz w:val="24"/>
          <w:szCs w:val="24"/>
        </w:rPr>
        <w:tab/>
        <w:t xml:space="preserve">X. Wang, Y. Shi, R. W. Graff, X. Cao, and H. Gao, “Synthesis of Hyperbranched Polymers with High Molecular Weight in the Homopolymerization of Polymerizable Trithiocarbonate Transfer Agent without Thermal Initiator,”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49, no. 17, pp. 6471–6479, 2016.</w:t>
      </w:r>
    </w:p>
    <w:p w14:paraId="265630A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[115]</w:t>
      </w:r>
      <w:r w:rsidRPr="007D10CD">
        <w:rPr>
          <w:rFonts w:ascii="Times New Roman" w:hAnsi="Times New Roman" w:cs="Times New Roman"/>
          <w:noProof/>
          <w:sz w:val="24"/>
          <w:szCs w:val="24"/>
        </w:rPr>
        <w:tab/>
        <w:t xml:space="preserve">H. Kudo, K. Maruyama, S. Shindo, T. Nishikubo, and I. Nishimura, “Syntheses and properties of hyperbranched polybenzoxazole by thermal cyclodehydration of hyperbranched poly[o-(t-butoxycarbonyl)amide] via A2+B3 Approach,” </w:t>
      </w:r>
      <w:r w:rsidRPr="007D10CD">
        <w:rPr>
          <w:rFonts w:ascii="Times New Roman" w:hAnsi="Times New Roman" w:cs="Times New Roman"/>
          <w:i/>
          <w:iCs/>
          <w:noProof/>
          <w:sz w:val="24"/>
          <w:szCs w:val="24"/>
        </w:rPr>
        <w:t>J. Polym. Sci. Part A Polym. Chem.</w:t>
      </w:r>
      <w:r w:rsidRPr="007D10CD">
        <w:rPr>
          <w:rFonts w:ascii="Times New Roman" w:hAnsi="Times New Roman" w:cs="Times New Roman"/>
          <w:noProof/>
          <w:sz w:val="24"/>
          <w:szCs w:val="24"/>
        </w:rPr>
        <w:t>, vol. 44, no. 1, pp. 3640–3649, 2006.</w:t>
      </w:r>
    </w:p>
    <w:p w14:paraId="53953BD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[116]</w:t>
      </w:r>
      <w:r w:rsidRPr="007D10CD">
        <w:rPr>
          <w:rFonts w:ascii="Times New Roman" w:hAnsi="Times New Roman" w:cs="Times New Roman"/>
          <w:noProof/>
          <w:sz w:val="24"/>
          <w:szCs w:val="24"/>
        </w:rPr>
        <w:tab/>
        <w:t xml:space="preserve">T. Emrick, H. Chang, and J. M. J. Frechet, “The Preparation of Hyperbranched Aromatic and Aliphatic Polyether Epoxies by Chloride-Catalyzed Proton Transfer Polymerization from ABn and A2+B3 Monomers,” </w:t>
      </w:r>
      <w:r w:rsidRPr="007D10CD">
        <w:rPr>
          <w:rFonts w:ascii="Times New Roman" w:hAnsi="Times New Roman" w:cs="Times New Roman"/>
          <w:i/>
          <w:iCs/>
          <w:noProof/>
          <w:sz w:val="24"/>
          <w:szCs w:val="24"/>
        </w:rPr>
        <w:t>J. Polym. Sci. Part A Polym. Chem.</w:t>
      </w:r>
      <w:r w:rsidRPr="007D10CD">
        <w:rPr>
          <w:rFonts w:ascii="Times New Roman" w:hAnsi="Times New Roman" w:cs="Times New Roman"/>
          <w:noProof/>
          <w:sz w:val="24"/>
          <w:szCs w:val="24"/>
        </w:rPr>
        <w:t>, vol. 38, pp. 4850–4869, 2000.</w:t>
      </w:r>
    </w:p>
    <w:p w14:paraId="1F25009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[117]</w:t>
      </w:r>
      <w:r w:rsidRPr="007D10CD">
        <w:rPr>
          <w:rFonts w:ascii="Times New Roman" w:hAnsi="Times New Roman" w:cs="Times New Roman"/>
          <w:noProof/>
          <w:sz w:val="24"/>
          <w:szCs w:val="24"/>
        </w:rPr>
        <w:tab/>
        <w:t xml:space="preserve">T. Emrick, H. T. Chang, and J. M. J. Frechet, “An A2+ B3 approach to hyperbranched aliphatic polyethers containing chain end epoxy substituents,”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32, pp. 6380–6382, 1999.</w:t>
      </w:r>
    </w:p>
    <w:p w14:paraId="6994931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[118]</w:t>
      </w:r>
      <w:r w:rsidRPr="007D10CD">
        <w:rPr>
          <w:rFonts w:ascii="Times New Roman" w:hAnsi="Times New Roman" w:cs="Times New Roman"/>
          <w:noProof/>
          <w:sz w:val="24"/>
          <w:szCs w:val="24"/>
        </w:rPr>
        <w:tab/>
        <w:t xml:space="preserve">Q. Lin, T. E. Long, D. Wu, Y. Liu, L. Chen, C. Bin He, T. S. Chung, S. H. Goh, Q. Lin, and T. E. Long, “polymerization of A2 with B3 monomers: a facile approach to hyperbranched poly(aryl ester)s,”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36, pp. 9809–9816, 2003.</w:t>
      </w:r>
    </w:p>
    <w:p w14:paraId="03DCE62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[119]</w:t>
      </w:r>
      <w:r w:rsidRPr="007D10CD">
        <w:rPr>
          <w:rFonts w:ascii="Times New Roman" w:hAnsi="Times New Roman" w:cs="Times New Roman"/>
          <w:noProof/>
          <w:sz w:val="24"/>
          <w:szCs w:val="24"/>
        </w:rPr>
        <w:tab/>
        <w:t xml:space="preserve">C. Gao and D. Yan, “Hyperbranched polymers: From synthesis to applications,” </w:t>
      </w:r>
      <w:r w:rsidRPr="007D10CD">
        <w:rPr>
          <w:rFonts w:ascii="Times New Roman" w:hAnsi="Times New Roman" w:cs="Times New Roman"/>
          <w:i/>
          <w:iCs/>
          <w:noProof/>
          <w:sz w:val="24"/>
          <w:szCs w:val="24"/>
        </w:rPr>
        <w:t>Prog. Polym. Sci.</w:t>
      </w:r>
      <w:r w:rsidRPr="007D10CD">
        <w:rPr>
          <w:rFonts w:ascii="Times New Roman" w:hAnsi="Times New Roman" w:cs="Times New Roman"/>
          <w:noProof/>
          <w:sz w:val="24"/>
          <w:szCs w:val="24"/>
        </w:rPr>
        <w:t>, vol. 29, no. 3, pp. 183–275, 2004.</w:t>
      </w:r>
    </w:p>
    <w:p w14:paraId="4C7724F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[120]</w:t>
      </w:r>
      <w:r w:rsidRPr="007D10CD">
        <w:rPr>
          <w:rFonts w:ascii="Times New Roman" w:hAnsi="Times New Roman" w:cs="Times New Roman"/>
          <w:noProof/>
          <w:sz w:val="24"/>
          <w:szCs w:val="24"/>
        </w:rPr>
        <w:tab/>
        <w:t xml:space="preserve">J. M. J. Frechet, M. Henmi, I. Gitsov, S. Aoshima, M. R. Leduc, and R. B. Grubbs, “Self-Condensing Vinyl Polymerization - an Approach to Dendritic Materials,” </w:t>
      </w:r>
      <w:r w:rsidRPr="007D10CD">
        <w:rPr>
          <w:rFonts w:ascii="Times New Roman" w:hAnsi="Times New Roman" w:cs="Times New Roman"/>
          <w:i/>
          <w:iCs/>
          <w:noProof/>
          <w:sz w:val="24"/>
          <w:szCs w:val="24"/>
        </w:rPr>
        <w:t>Science (80-. ).</w:t>
      </w:r>
      <w:r w:rsidRPr="007D10CD">
        <w:rPr>
          <w:rFonts w:ascii="Times New Roman" w:hAnsi="Times New Roman" w:cs="Times New Roman"/>
          <w:noProof/>
          <w:sz w:val="24"/>
          <w:szCs w:val="24"/>
        </w:rPr>
        <w:t>, vol. 269, no. 5227, pp. 1080–1083, 1995.</w:t>
      </w:r>
    </w:p>
    <w:p w14:paraId="11D2D32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[121]</w:t>
      </w:r>
      <w:r w:rsidRPr="007D10CD">
        <w:rPr>
          <w:rFonts w:ascii="Times New Roman" w:hAnsi="Times New Roman" w:cs="Times New Roman"/>
          <w:noProof/>
          <w:sz w:val="24"/>
          <w:szCs w:val="24"/>
        </w:rPr>
        <w:tab/>
        <w:t xml:space="preserve">C. Y. Hong and C. Y. Pan, “Synthesis and characterization of hyperbranched polyacrylates in the presence of a tetrafunctional initiator with higher reactivity than monomer by self-condensing vinyl polymerization,”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42, pp. 9385–9391, 2001.</w:t>
      </w:r>
    </w:p>
    <w:p w14:paraId="5FFC5A4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[122]</w:t>
      </w:r>
      <w:r w:rsidRPr="007D10CD">
        <w:rPr>
          <w:rFonts w:ascii="Times New Roman" w:hAnsi="Times New Roman" w:cs="Times New Roman"/>
          <w:noProof/>
          <w:sz w:val="24"/>
          <w:szCs w:val="24"/>
        </w:rPr>
        <w:tab/>
        <w:t xml:space="preserve">S. G. Gaynor, S. Edelman, and K. Matyjaszewski, “Synthesis of Branched and Hyperbranched Polystyrenes,”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29, pp. 1079–1081, 1996.</w:t>
      </w:r>
    </w:p>
    <w:p w14:paraId="6F21774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[123]</w:t>
      </w:r>
      <w:r w:rsidRPr="007D10CD">
        <w:rPr>
          <w:rFonts w:ascii="Times New Roman" w:hAnsi="Times New Roman" w:cs="Times New Roman"/>
          <w:noProof/>
          <w:sz w:val="24"/>
          <w:szCs w:val="24"/>
        </w:rPr>
        <w:tab/>
        <w:t xml:space="preserve">H. Magnusson, E. Malmström, and A. Hult, “Synthesis of hyperbranched aliphatic polyethers via cationic ring-opening polymerization of 3-ethyl-3-(hydroxymethyl) oxetane,” </w:t>
      </w:r>
      <w:r w:rsidRPr="007D10CD">
        <w:rPr>
          <w:rFonts w:ascii="Times New Roman" w:hAnsi="Times New Roman" w:cs="Times New Roman"/>
          <w:i/>
          <w:iCs/>
          <w:noProof/>
          <w:sz w:val="24"/>
          <w:szCs w:val="24"/>
        </w:rPr>
        <w:t>Macromol. Rapid Commun.</w:t>
      </w:r>
      <w:r w:rsidRPr="007D10CD">
        <w:rPr>
          <w:rFonts w:ascii="Times New Roman" w:hAnsi="Times New Roman" w:cs="Times New Roman"/>
          <w:noProof/>
          <w:sz w:val="24"/>
          <w:szCs w:val="24"/>
        </w:rPr>
        <w:t>, vol. 20, pp. 453–457, 1999.</w:t>
      </w:r>
    </w:p>
    <w:p w14:paraId="71EA55F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[124]</w:t>
      </w:r>
      <w:r w:rsidRPr="007D10CD">
        <w:rPr>
          <w:rFonts w:ascii="Times New Roman" w:hAnsi="Times New Roman" w:cs="Times New Roman"/>
          <w:noProof/>
          <w:sz w:val="24"/>
          <w:szCs w:val="24"/>
        </w:rPr>
        <w:tab/>
        <w:t xml:space="preserve">M. Suzuki, S. Yoshida, K. Shiraga, and T. Saegusa, “New Ring-Opening Polymerization via a π -Allylpalladium Complex . 5 . Multibranching Polymerization of Cyclic Carbamate To Produce Hyperbranched Dendritic Polyamine,”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31, pp. 1716–1719, 1998.</w:t>
      </w:r>
    </w:p>
    <w:p w14:paraId="45F1610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[125]</w:t>
      </w:r>
      <w:r w:rsidRPr="007D10CD">
        <w:rPr>
          <w:rFonts w:ascii="Times New Roman" w:hAnsi="Times New Roman" w:cs="Times New Roman"/>
          <w:noProof/>
          <w:sz w:val="24"/>
          <w:szCs w:val="24"/>
        </w:rPr>
        <w:tab/>
        <w:t xml:space="preserve">A. Sunder, R. Hanselmann, H. Frey, and R. Mülhaupt, “Controlled synthesis of hyperbranched polyglycerols by ring-opening multibranching polymerization,”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32, pp. 4240–4246, 1999.</w:t>
      </w:r>
    </w:p>
    <w:p w14:paraId="5823A06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[126]</w:t>
      </w:r>
      <w:r w:rsidRPr="007D10CD">
        <w:rPr>
          <w:rFonts w:ascii="Times New Roman" w:hAnsi="Times New Roman" w:cs="Times New Roman"/>
          <w:noProof/>
          <w:sz w:val="24"/>
          <w:szCs w:val="24"/>
        </w:rPr>
        <w:tab/>
        <w:t xml:space="preserve">M. Liu, N. Vladimirov, and J. M. J. Fréchet, “A new approach to hyperbranched polymers by ring-opening polymerization of an AB nonomer: 4-(2-hydroxyethyl)-ε-caprolactone,”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32, pp. 6881–6884, 1999.</w:t>
      </w:r>
    </w:p>
    <w:p w14:paraId="69CD9A5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[127]</w:t>
      </w:r>
      <w:r w:rsidRPr="007D10CD">
        <w:rPr>
          <w:rFonts w:ascii="Times New Roman" w:hAnsi="Times New Roman" w:cs="Times New Roman"/>
          <w:noProof/>
          <w:sz w:val="24"/>
          <w:szCs w:val="24"/>
        </w:rPr>
        <w:tab/>
        <w:t xml:space="preserve">D. Yan, J. Hou, X. Zhu, J. J. Kosman, and H.-S. Wu, “A new approach to control crystallinity of resulting polymers: Self-condensing ring opening polymerization,” </w:t>
      </w:r>
      <w:r w:rsidRPr="007D10CD">
        <w:rPr>
          <w:rFonts w:ascii="Times New Roman" w:hAnsi="Times New Roman" w:cs="Times New Roman"/>
          <w:i/>
          <w:iCs/>
          <w:noProof/>
          <w:sz w:val="24"/>
          <w:szCs w:val="24"/>
        </w:rPr>
        <w:t>Macromol. Rapid Commun.</w:t>
      </w:r>
      <w:r w:rsidRPr="007D10CD">
        <w:rPr>
          <w:rFonts w:ascii="Times New Roman" w:hAnsi="Times New Roman" w:cs="Times New Roman"/>
          <w:noProof/>
          <w:sz w:val="24"/>
          <w:szCs w:val="24"/>
        </w:rPr>
        <w:t>, vol. 21, pp. 557–561, 2000.</w:t>
      </w:r>
    </w:p>
    <w:p w14:paraId="0FA6A5F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[128]</w:t>
      </w:r>
      <w:r w:rsidRPr="007D10CD">
        <w:rPr>
          <w:rFonts w:ascii="Times New Roman" w:hAnsi="Times New Roman" w:cs="Times New Roman"/>
          <w:noProof/>
          <w:sz w:val="24"/>
          <w:szCs w:val="24"/>
        </w:rPr>
        <w:tab/>
        <w:t xml:space="preserve">M. Suzuki, A. Ii, and T. Saegusai, “Multibranching Polymerization: Palladium-Catalyzed Ringopening Polymerization of Cyclic Carbamate To Produce Hyperbranched Dendritic Polyamine,”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25, pp. 7071–7072, 1992.</w:t>
      </w:r>
    </w:p>
    <w:p w14:paraId="0738DA1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[129]</w:t>
      </w:r>
      <w:r w:rsidRPr="007D10CD">
        <w:rPr>
          <w:rFonts w:ascii="Times New Roman" w:hAnsi="Times New Roman" w:cs="Times New Roman"/>
          <w:noProof/>
          <w:sz w:val="24"/>
          <w:szCs w:val="24"/>
        </w:rPr>
        <w:tab/>
        <w:t xml:space="preserve">D. Hölter, A. Burgath, and H. Frey, “Degree of branching in hyperbranched polymers,” </w:t>
      </w:r>
      <w:r w:rsidRPr="007D10CD">
        <w:rPr>
          <w:rFonts w:ascii="Times New Roman" w:hAnsi="Times New Roman" w:cs="Times New Roman"/>
          <w:i/>
          <w:iCs/>
          <w:noProof/>
          <w:sz w:val="24"/>
          <w:szCs w:val="24"/>
        </w:rPr>
        <w:t>Acta Polym.</w:t>
      </w:r>
      <w:r w:rsidRPr="007D10CD">
        <w:rPr>
          <w:rFonts w:ascii="Times New Roman" w:hAnsi="Times New Roman" w:cs="Times New Roman"/>
          <w:noProof/>
          <w:sz w:val="24"/>
          <w:szCs w:val="24"/>
        </w:rPr>
        <w:t>, vol. 48, pp. 30–35, 1997.</w:t>
      </w:r>
    </w:p>
    <w:p w14:paraId="2B130EB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[130]</w:t>
      </w:r>
      <w:r w:rsidRPr="007D10CD">
        <w:rPr>
          <w:rFonts w:ascii="Times New Roman" w:hAnsi="Times New Roman" w:cs="Times New Roman"/>
          <w:noProof/>
          <w:sz w:val="24"/>
          <w:szCs w:val="24"/>
        </w:rPr>
        <w:tab/>
        <w:t xml:space="preserve">Q. Xu, Y. Gong, Y. Fang, G. Jiang, Y. Wang, X. Sun, and R. Wang, “Straightforward synthesis of hyperbranched polymer/grapheme nanocomposites from graphite oxide via in situ grafting from approach,” </w:t>
      </w:r>
      <w:r w:rsidRPr="007D10CD">
        <w:rPr>
          <w:rFonts w:ascii="Times New Roman" w:hAnsi="Times New Roman" w:cs="Times New Roman"/>
          <w:i/>
          <w:iCs/>
          <w:noProof/>
          <w:sz w:val="24"/>
          <w:szCs w:val="24"/>
        </w:rPr>
        <w:t>Bull. Mater. Sci.</w:t>
      </w:r>
      <w:r w:rsidRPr="007D10CD">
        <w:rPr>
          <w:rFonts w:ascii="Times New Roman" w:hAnsi="Times New Roman" w:cs="Times New Roman"/>
          <w:noProof/>
          <w:sz w:val="24"/>
          <w:szCs w:val="24"/>
        </w:rPr>
        <w:t>, vol. 35, no. 5, pp. 795–800, 2012.</w:t>
      </w:r>
    </w:p>
    <w:p w14:paraId="1527D64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[131]</w:t>
      </w:r>
      <w:r w:rsidRPr="007D10CD">
        <w:rPr>
          <w:rFonts w:ascii="Times New Roman" w:hAnsi="Times New Roman" w:cs="Times New Roman"/>
          <w:noProof/>
          <w:sz w:val="24"/>
          <w:szCs w:val="24"/>
        </w:rPr>
        <w:tab/>
        <w:t xml:space="preserve">P. Xu, J. Loomis, R. D. Bradshaw, and B. Panchapakesan, “Load transfer and mechanical properties of chemically reduced graphene reinforcements in polymer composites,” </w:t>
      </w:r>
      <w:r w:rsidRPr="007D10CD">
        <w:rPr>
          <w:rFonts w:ascii="Times New Roman" w:hAnsi="Times New Roman" w:cs="Times New Roman"/>
          <w:i/>
          <w:iCs/>
          <w:noProof/>
          <w:sz w:val="24"/>
          <w:szCs w:val="24"/>
        </w:rPr>
        <w:t>Nanotechnology</w:t>
      </w:r>
      <w:r w:rsidRPr="007D10CD">
        <w:rPr>
          <w:rFonts w:ascii="Times New Roman" w:hAnsi="Times New Roman" w:cs="Times New Roman"/>
          <w:noProof/>
          <w:sz w:val="24"/>
          <w:szCs w:val="24"/>
        </w:rPr>
        <w:t>, vol. 23, no. 50, 2012.</w:t>
      </w:r>
    </w:p>
    <w:p w14:paraId="34540ED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[132]</w:t>
      </w:r>
      <w:r w:rsidRPr="007D10CD">
        <w:rPr>
          <w:rFonts w:ascii="Times New Roman" w:hAnsi="Times New Roman" w:cs="Times New Roman"/>
          <w:noProof/>
          <w:sz w:val="24"/>
          <w:szCs w:val="24"/>
        </w:rPr>
        <w:tab/>
        <w:t xml:space="preserve">K. K. Sadasivuni, D. Ponnamma, S. Thomas, and Y. Grohens, “Evolution from graphite to graphene elastomer composites,” </w:t>
      </w:r>
      <w:r w:rsidRPr="007D10CD">
        <w:rPr>
          <w:rFonts w:ascii="Times New Roman" w:hAnsi="Times New Roman" w:cs="Times New Roman"/>
          <w:i/>
          <w:iCs/>
          <w:noProof/>
          <w:sz w:val="24"/>
          <w:szCs w:val="24"/>
        </w:rPr>
        <w:t>Prog. Polym. Sci.</w:t>
      </w:r>
      <w:r w:rsidRPr="007D10CD">
        <w:rPr>
          <w:rFonts w:ascii="Times New Roman" w:hAnsi="Times New Roman" w:cs="Times New Roman"/>
          <w:noProof/>
          <w:sz w:val="24"/>
          <w:szCs w:val="24"/>
        </w:rPr>
        <w:t>, vol. 39, no. 4, pp. 749–780, 2014.</w:t>
      </w:r>
    </w:p>
    <w:p w14:paraId="17C994D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[133]</w:t>
      </w:r>
      <w:r w:rsidRPr="007D10CD">
        <w:rPr>
          <w:rFonts w:ascii="Times New Roman" w:hAnsi="Times New Roman" w:cs="Times New Roman"/>
          <w:noProof/>
          <w:sz w:val="24"/>
          <w:szCs w:val="24"/>
        </w:rPr>
        <w:tab/>
        <w:t xml:space="preserve">U. Khan, P. May, A. O’Neill, and J. N. Coleman, “Development of stiff, strong, yet tough composites by the addition of solvent exfoliated graphene to polyurethane,”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48, no. 14, pp. 4035–4041, 2010.</w:t>
      </w:r>
    </w:p>
    <w:p w14:paraId="2B609E7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[134]</w:t>
      </w:r>
      <w:r w:rsidRPr="007D10CD">
        <w:rPr>
          <w:rFonts w:ascii="Times New Roman" w:hAnsi="Times New Roman" w:cs="Times New Roman"/>
          <w:noProof/>
          <w:sz w:val="24"/>
          <w:szCs w:val="24"/>
        </w:rPr>
        <w:tab/>
        <w:t xml:space="preserve">B. C.-K. Tee, C. Wang, R. Allen, and Z. Bao, “An electrically and mechanically self-healing composite with pressure- and flexion-sensitive properties for electronic skin applications,” </w:t>
      </w:r>
      <w:r w:rsidRPr="007D10CD">
        <w:rPr>
          <w:rFonts w:ascii="Times New Roman" w:hAnsi="Times New Roman" w:cs="Times New Roman"/>
          <w:i/>
          <w:iCs/>
          <w:noProof/>
          <w:sz w:val="24"/>
          <w:szCs w:val="24"/>
        </w:rPr>
        <w:t>Nat. Nanotechnol.</w:t>
      </w:r>
      <w:r w:rsidRPr="007D10CD">
        <w:rPr>
          <w:rFonts w:ascii="Times New Roman" w:hAnsi="Times New Roman" w:cs="Times New Roman"/>
          <w:noProof/>
          <w:sz w:val="24"/>
          <w:szCs w:val="24"/>
        </w:rPr>
        <w:t>, vol. 7, no. 12, pp. 825–832, 2012.</w:t>
      </w:r>
    </w:p>
    <w:p w14:paraId="34AB9C8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[135]</w:t>
      </w:r>
      <w:r w:rsidRPr="007D10CD">
        <w:rPr>
          <w:rFonts w:ascii="Times New Roman" w:hAnsi="Times New Roman" w:cs="Times New Roman"/>
          <w:noProof/>
          <w:sz w:val="24"/>
          <w:szCs w:val="24"/>
        </w:rPr>
        <w:tab/>
        <w:t xml:space="preserve">C. Wang, N. Liu, R. Allen, J. B. H. H. Tok, Y. Wu, F. Zhang, Y. Chen, and Z. Bao, “A rapid and efficient self-healing thermo-reversible elastomer crosslinked with graphene oxide,” </w:t>
      </w:r>
      <w:r w:rsidRPr="007D10CD">
        <w:rPr>
          <w:rFonts w:ascii="Times New Roman" w:hAnsi="Times New Roman" w:cs="Times New Roman"/>
          <w:i/>
          <w:iCs/>
          <w:noProof/>
          <w:sz w:val="24"/>
          <w:szCs w:val="24"/>
        </w:rPr>
        <w:t>Adv. Mater.</w:t>
      </w:r>
      <w:r w:rsidRPr="007D10CD">
        <w:rPr>
          <w:rFonts w:ascii="Times New Roman" w:hAnsi="Times New Roman" w:cs="Times New Roman"/>
          <w:noProof/>
          <w:sz w:val="24"/>
          <w:szCs w:val="24"/>
        </w:rPr>
        <w:t>, vol. 25, no. 40, pp. 5785–5790, 2013.</w:t>
      </w:r>
    </w:p>
    <w:p w14:paraId="36A0154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[136]</w:t>
      </w:r>
      <w:r w:rsidRPr="007D10CD">
        <w:rPr>
          <w:rFonts w:ascii="Times New Roman" w:hAnsi="Times New Roman" w:cs="Times New Roman"/>
          <w:noProof/>
          <w:sz w:val="24"/>
          <w:szCs w:val="24"/>
        </w:rPr>
        <w:tab/>
        <w:t xml:space="preserve">C.-H. Li, C. Wang, C. Keplinger, J.-L. Zuo, L. Jin, Y. Sun, P. Zheng, Y. Cao, F. Lissel, C. Linder, X.-Z. You, and Z. Bao, “A highly stretchable autonomous self-healing elastomer,” </w:t>
      </w:r>
      <w:r w:rsidRPr="007D10CD">
        <w:rPr>
          <w:rFonts w:ascii="Times New Roman" w:hAnsi="Times New Roman" w:cs="Times New Roman"/>
          <w:i/>
          <w:iCs/>
          <w:noProof/>
          <w:sz w:val="24"/>
          <w:szCs w:val="24"/>
        </w:rPr>
        <w:t>Nat. Chem.</w:t>
      </w:r>
      <w:r w:rsidRPr="007D10CD">
        <w:rPr>
          <w:rFonts w:ascii="Times New Roman" w:hAnsi="Times New Roman" w:cs="Times New Roman"/>
          <w:noProof/>
          <w:sz w:val="24"/>
          <w:szCs w:val="24"/>
        </w:rPr>
        <w:t>, vol. 8, no. 6, pp. 618–624, 2016.</w:t>
      </w:r>
    </w:p>
    <w:p w14:paraId="365DD7E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[137]</w:t>
      </w:r>
      <w:r w:rsidRPr="007D10CD">
        <w:rPr>
          <w:rFonts w:ascii="Times New Roman" w:hAnsi="Times New Roman" w:cs="Times New Roman"/>
          <w:noProof/>
          <w:sz w:val="24"/>
          <w:szCs w:val="24"/>
        </w:rPr>
        <w:tab/>
        <w:t xml:space="preserve">R. P. Wool, “Self-healing materials: a review,” </w:t>
      </w:r>
      <w:r w:rsidRPr="007D10CD">
        <w:rPr>
          <w:rFonts w:ascii="Times New Roman" w:hAnsi="Times New Roman" w:cs="Times New Roman"/>
          <w:i/>
          <w:iCs/>
          <w:noProof/>
          <w:sz w:val="24"/>
          <w:szCs w:val="24"/>
        </w:rPr>
        <w:t>Soft Matter</w:t>
      </w:r>
      <w:r w:rsidRPr="007D10CD">
        <w:rPr>
          <w:rFonts w:ascii="Times New Roman" w:hAnsi="Times New Roman" w:cs="Times New Roman"/>
          <w:noProof/>
          <w:sz w:val="24"/>
          <w:szCs w:val="24"/>
        </w:rPr>
        <w:t>, vol. 4, no. 3, pp. 400–418, 2008.</w:t>
      </w:r>
    </w:p>
    <w:p w14:paraId="49319EB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[138]</w:t>
      </w:r>
      <w:r w:rsidRPr="007D10CD">
        <w:rPr>
          <w:rFonts w:ascii="Times New Roman" w:hAnsi="Times New Roman" w:cs="Times New Roman"/>
          <w:noProof/>
          <w:sz w:val="24"/>
          <w:szCs w:val="24"/>
        </w:rPr>
        <w:tab/>
        <w:t xml:space="preserve">H. P. Cong, P. Wang, and S. H. Yu, “Stretchable and self-healing graphene oxide-polymer composite hydrogels: A dual-network design,” </w:t>
      </w:r>
      <w:r w:rsidRPr="007D10CD">
        <w:rPr>
          <w:rFonts w:ascii="Times New Roman" w:hAnsi="Times New Roman" w:cs="Times New Roman"/>
          <w:i/>
          <w:iCs/>
          <w:noProof/>
          <w:sz w:val="24"/>
          <w:szCs w:val="24"/>
        </w:rPr>
        <w:t>Chem. Mater.</w:t>
      </w:r>
      <w:r w:rsidRPr="007D10CD">
        <w:rPr>
          <w:rFonts w:ascii="Times New Roman" w:hAnsi="Times New Roman" w:cs="Times New Roman"/>
          <w:noProof/>
          <w:sz w:val="24"/>
          <w:szCs w:val="24"/>
        </w:rPr>
        <w:t>, vol. 25, no. 16, pp. 3357–3362, 2013.</w:t>
      </w:r>
    </w:p>
    <w:p w14:paraId="0FA21FA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[139]</w:t>
      </w:r>
      <w:r w:rsidRPr="007D10CD">
        <w:rPr>
          <w:rFonts w:ascii="Times New Roman" w:hAnsi="Times New Roman" w:cs="Times New Roman"/>
          <w:noProof/>
          <w:sz w:val="24"/>
          <w:szCs w:val="24"/>
        </w:rPr>
        <w:tab/>
        <w:t xml:space="preserve">P. Cordier, F. Tournilhac, C. Soulié-Ziakovic, and L. Leibler, “Self-healing and thermoreversible rubber from supramolecular assembly,” </w:t>
      </w:r>
      <w:r w:rsidRPr="007D10CD">
        <w:rPr>
          <w:rFonts w:ascii="Times New Roman" w:hAnsi="Times New Roman" w:cs="Times New Roman"/>
          <w:i/>
          <w:iCs/>
          <w:noProof/>
          <w:sz w:val="24"/>
          <w:szCs w:val="24"/>
        </w:rPr>
        <w:t>Nature</w:t>
      </w:r>
      <w:r w:rsidRPr="007D10CD">
        <w:rPr>
          <w:rFonts w:ascii="Times New Roman" w:hAnsi="Times New Roman" w:cs="Times New Roman"/>
          <w:noProof/>
          <w:sz w:val="24"/>
          <w:szCs w:val="24"/>
        </w:rPr>
        <w:t>, vol. 451, no. 7181, pp. 977–980, 2008.</w:t>
      </w:r>
    </w:p>
    <w:p w14:paraId="59A62A3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[140]</w:t>
      </w:r>
      <w:r w:rsidRPr="007D10CD">
        <w:rPr>
          <w:rFonts w:ascii="Times New Roman" w:hAnsi="Times New Roman" w:cs="Times New Roman"/>
          <w:noProof/>
          <w:sz w:val="24"/>
          <w:szCs w:val="24"/>
        </w:rPr>
        <w:tab/>
        <w:t xml:space="preserve">Y. Shih, Y. Wang, R. Jeng, and K. Wei, “Expandable graphite systems for phosphorus-containing unsaturated polyesters . I . Enhanced thermal properties and flame retardancy,” </w:t>
      </w:r>
      <w:r w:rsidRPr="007D10CD">
        <w:rPr>
          <w:rFonts w:ascii="Times New Roman" w:hAnsi="Times New Roman" w:cs="Times New Roman"/>
          <w:i/>
          <w:iCs/>
          <w:noProof/>
          <w:sz w:val="24"/>
          <w:szCs w:val="24"/>
        </w:rPr>
        <w:t>Polym. Degrad. Stab.</w:t>
      </w:r>
      <w:r w:rsidRPr="007D10CD">
        <w:rPr>
          <w:rFonts w:ascii="Times New Roman" w:hAnsi="Times New Roman" w:cs="Times New Roman"/>
          <w:noProof/>
          <w:sz w:val="24"/>
          <w:szCs w:val="24"/>
        </w:rPr>
        <w:t>, vol. 86, pp. 339–348, 2004.</w:t>
      </w:r>
    </w:p>
    <w:p w14:paraId="56ADFE7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[141]</w:t>
      </w:r>
      <w:r w:rsidRPr="007D10CD">
        <w:rPr>
          <w:rFonts w:ascii="Times New Roman" w:hAnsi="Times New Roman" w:cs="Times New Roman"/>
          <w:noProof/>
          <w:sz w:val="24"/>
          <w:szCs w:val="24"/>
        </w:rPr>
        <w:tab/>
        <w:t xml:space="preserve">C. Bora, P. Gogoi, S. Baglari, and S. K. Dolui, “Preparation of polyester resin/graphene oxide nanocomposite with improved mechanical strength,” </w:t>
      </w:r>
      <w:r w:rsidRPr="007D10CD">
        <w:rPr>
          <w:rFonts w:ascii="Times New Roman" w:hAnsi="Times New Roman" w:cs="Times New Roman"/>
          <w:i/>
          <w:iCs/>
          <w:noProof/>
          <w:sz w:val="24"/>
          <w:szCs w:val="24"/>
        </w:rPr>
        <w:t>Appl. Polym. Sci.</w:t>
      </w:r>
      <w:r w:rsidRPr="007D10CD">
        <w:rPr>
          <w:rFonts w:ascii="Times New Roman" w:hAnsi="Times New Roman" w:cs="Times New Roman"/>
          <w:noProof/>
          <w:sz w:val="24"/>
          <w:szCs w:val="24"/>
        </w:rPr>
        <w:t>, vol. 10, no. 6, pp. 3432–3438, 2013.</w:t>
      </w:r>
    </w:p>
    <w:p w14:paraId="6C089C9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[142]</w:t>
      </w:r>
      <w:r w:rsidRPr="007D10CD">
        <w:rPr>
          <w:rFonts w:ascii="Times New Roman" w:hAnsi="Times New Roman" w:cs="Times New Roman"/>
          <w:noProof/>
          <w:sz w:val="24"/>
          <w:szCs w:val="24"/>
        </w:rPr>
        <w:tab/>
        <w:t xml:space="preserve">M. Moniruzzaman and K. I. Winey, “Polymer nanocomposites containing carbon nanotubes,”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39, no. 16, pp. 5194–5205, 2006.</w:t>
      </w:r>
    </w:p>
    <w:p w14:paraId="216CE40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[143]</w:t>
      </w:r>
      <w:r w:rsidRPr="007D10CD">
        <w:rPr>
          <w:rFonts w:ascii="Times New Roman" w:hAnsi="Times New Roman" w:cs="Times New Roman"/>
          <w:noProof/>
          <w:sz w:val="24"/>
          <w:szCs w:val="24"/>
        </w:rPr>
        <w:tab/>
        <w:t xml:space="preserve">M. M. Shokrieh, A. Saeedi, and M. Chitsazzadeh, “Mechanical properties of multi-walled carbon nanotube / polyester nanocomposites,” </w:t>
      </w:r>
      <w:r w:rsidRPr="007D10CD">
        <w:rPr>
          <w:rFonts w:ascii="Times New Roman" w:hAnsi="Times New Roman" w:cs="Times New Roman"/>
          <w:i/>
          <w:iCs/>
          <w:noProof/>
          <w:sz w:val="24"/>
          <w:szCs w:val="24"/>
        </w:rPr>
        <w:t>J. nanostructure Chem.</w:t>
      </w:r>
      <w:r w:rsidRPr="007D10CD">
        <w:rPr>
          <w:rFonts w:ascii="Times New Roman" w:hAnsi="Times New Roman" w:cs="Times New Roman"/>
          <w:noProof/>
          <w:sz w:val="24"/>
          <w:szCs w:val="24"/>
        </w:rPr>
        <w:t>, vol. 452–453, no. 24, pp. 1–5, 2013.</w:t>
      </w:r>
    </w:p>
    <w:p w14:paraId="697525A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[144]</w:t>
      </w:r>
      <w:r w:rsidRPr="007D10CD">
        <w:rPr>
          <w:rFonts w:ascii="Times New Roman" w:hAnsi="Times New Roman" w:cs="Times New Roman"/>
          <w:noProof/>
          <w:sz w:val="24"/>
          <w:szCs w:val="24"/>
        </w:rPr>
        <w:tab/>
        <w:t xml:space="preserve">H. Ma, “Processing, structure, and properties of fibers from polyester/carbon nanofiber composites,”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63, pp. 1617–1628, 2003.</w:t>
      </w:r>
    </w:p>
    <w:p w14:paraId="4E335A1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[145]</w:t>
      </w:r>
      <w:r w:rsidRPr="007D10CD">
        <w:rPr>
          <w:rFonts w:ascii="Times New Roman" w:hAnsi="Times New Roman" w:cs="Times New Roman"/>
          <w:noProof/>
          <w:sz w:val="24"/>
          <w:szCs w:val="24"/>
        </w:rPr>
        <w:tab/>
        <w:t xml:space="preserve">A. Battisti, A. A. Skordos, and I. K. Partridge, “Percolation threshold of carbon nanotubes filled unsaturated polyesters,”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70, pp. 633–637, 2010.</w:t>
      </w:r>
    </w:p>
    <w:p w14:paraId="2313914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[146]</w:t>
      </w:r>
      <w:r w:rsidRPr="007D10CD">
        <w:rPr>
          <w:rFonts w:ascii="Times New Roman" w:hAnsi="Times New Roman" w:cs="Times New Roman"/>
          <w:noProof/>
          <w:sz w:val="24"/>
          <w:szCs w:val="24"/>
        </w:rPr>
        <w:tab/>
        <w:t xml:space="preserve">D.J.Suh, Y.T.Lim, and O.O.Park, “The property and formation mechanism of unsaturated polyester–layered silicate nanocomposite depending on the fabrication methods,”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41, pp. 8557–8563, 2000.</w:t>
      </w:r>
    </w:p>
    <w:p w14:paraId="40B811E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[147]</w:t>
      </w:r>
      <w:r w:rsidRPr="007D10CD">
        <w:rPr>
          <w:rFonts w:ascii="Times New Roman" w:hAnsi="Times New Roman" w:cs="Times New Roman"/>
          <w:noProof/>
          <w:sz w:val="24"/>
          <w:szCs w:val="24"/>
        </w:rPr>
        <w:tab/>
        <w:t xml:space="preserve">S. Sinha Ray and M. Okamoto, “Polymer/layered silicate nanocomposites: A review from preparation to processing,” </w:t>
      </w:r>
      <w:r w:rsidRPr="007D10CD">
        <w:rPr>
          <w:rFonts w:ascii="Times New Roman" w:hAnsi="Times New Roman" w:cs="Times New Roman"/>
          <w:i/>
          <w:iCs/>
          <w:noProof/>
          <w:sz w:val="24"/>
          <w:szCs w:val="24"/>
        </w:rPr>
        <w:t>Prog. Polym. Sci.</w:t>
      </w:r>
      <w:r w:rsidRPr="007D10CD">
        <w:rPr>
          <w:rFonts w:ascii="Times New Roman" w:hAnsi="Times New Roman" w:cs="Times New Roman"/>
          <w:noProof/>
          <w:sz w:val="24"/>
          <w:szCs w:val="24"/>
        </w:rPr>
        <w:t>, vol. 28, pp. 1539–1641, 2003.</w:t>
      </w:r>
    </w:p>
    <w:p w14:paraId="70929F1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[148]</w:t>
      </w:r>
      <w:r w:rsidRPr="007D10CD">
        <w:rPr>
          <w:rFonts w:ascii="Times New Roman" w:hAnsi="Times New Roman" w:cs="Times New Roman"/>
          <w:noProof/>
          <w:sz w:val="24"/>
          <w:szCs w:val="24"/>
        </w:rPr>
        <w:tab/>
        <w:t xml:space="preserve">X. Kornmann, L. a. Berglund, J. Sterte, and E. P. Giannelis, “Nanocomposites based on montmorillonite and unsaturated polyester,” </w:t>
      </w:r>
      <w:r w:rsidRPr="007D10CD">
        <w:rPr>
          <w:rFonts w:ascii="Times New Roman" w:hAnsi="Times New Roman" w:cs="Times New Roman"/>
          <w:i/>
          <w:iCs/>
          <w:noProof/>
          <w:sz w:val="24"/>
          <w:szCs w:val="24"/>
        </w:rPr>
        <w:t>Polym. Eng. Sci.</w:t>
      </w:r>
      <w:r w:rsidRPr="007D10CD">
        <w:rPr>
          <w:rFonts w:ascii="Times New Roman" w:hAnsi="Times New Roman" w:cs="Times New Roman"/>
          <w:noProof/>
          <w:sz w:val="24"/>
          <w:szCs w:val="24"/>
        </w:rPr>
        <w:t>, vol. 38, pp. 1351–1358, 1998.</w:t>
      </w:r>
    </w:p>
    <w:p w14:paraId="43EEBBC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[149]</w:t>
      </w:r>
      <w:r w:rsidRPr="007D10CD">
        <w:rPr>
          <w:rFonts w:ascii="Times New Roman" w:hAnsi="Times New Roman" w:cs="Times New Roman"/>
          <w:noProof/>
          <w:sz w:val="24"/>
          <w:szCs w:val="24"/>
        </w:rPr>
        <w:tab/>
        <w:t xml:space="preserve">S. Bagherpour, </w:t>
      </w:r>
      <w:r w:rsidRPr="007D10CD">
        <w:rPr>
          <w:rFonts w:ascii="Times New Roman" w:hAnsi="Times New Roman" w:cs="Times New Roman"/>
          <w:i/>
          <w:iCs/>
          <w:noProof/>
          <w:sz w:val="24"/>
          <w:szCs w:val="24"/>
        </w:rPr>
        <w:t>Fibre Reinforced Polyester Composites</w:t>
      </w:r>
      <w:r w:rsidRPr="007D10CD">
        <w:rPr>
          <w:rFonts w:ascii="Times New Roman" w:hAnsi="Times New Roman" w:cs="Times New Roman"/>
          <w:noProof/>
          <w:sz w:val="24"/>
          <w:szCs w:val="24"/>
        </w:rPr>
        <w:t>. Intech, 2012.</w:t>
      </w:r>
    </w:p>
    <w:p w14:paraId="38A5B92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[150]</w:t>
      </w:r>
      <w:r w:rsidRPr="007D10CD">
        <w:rPr>
          <w:rFonts w:ascii="Times New Roman" w:hAnsi="Times New Roman" w:cs="Times New Roman"/>
          <w:noProof/>
          <w:sz w:val="24"/>
          <w:szCs w:val="24"/>
        </w:rPr>
        <w:tab/>
        <w:t xml:space="preserve">E. K. Gamstedt, M. Skrifvars, T. K. Jacobsen, and R. Pyrz, “Synthesis of unsaturated polyesters for improved interfacial strength in carbon fibre composites,” </w:t>
      </w:r>
      <w:r w:rsidRPr="007D10CD">
        <w:rPr>
          <w:rFonts w:ascii="Times New Roman" w:hAnsi="Times New Roman" w:cs="Times New Roman"/>
          <w:i/>
          <w:iCs/>
          <w:noProof/>
          <w:sz w:val="24"/>
          <w:szCs w:val="24"/>
        </w:rPr>
        <w:t>Compos. Part A Appl. Sci. Manuf.</w:t>
      </w:r>
      <w:r w:rsidRPr="007D10CD">
        <w:rPr>
          <w:rFonts w:ascii="Times New Roman" w:hAnsi="Times New Roman" w:cs="Times New Roman"/>
          <w:noProof/>
          <w:sz w:val="24"/>
          <w:szCs w:val="24"/>
        </w:rPr>
        <w:t>, vol. 33, no. 9, pp. 1239–1252, 2002.</w:t>
      </w:r>
    </w:p>
    <w:p w14:paraId="48BCBF1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[151]</w:t>
      </w:r>
      <w:r w:rsidRPr="007D10CD">
        <w:rPr>
          <w:rFonts w:ascii="Times New Roman" w:hAnsi="Times New Roman" w:cs="Times New Roman"/>
          <w:noProof/>
          <w:sz w:val="24"/>
          <w:szCs w:val="24"/>
        </w:rPr>
        <w:tab/>
        <w:t xml:space="preserve">S. Stankovich, D. A. Dikin, G. H. B. Dommett, K. M. Kohlhaas, E. J. Zimney, E. A. Stach, R. D. Piner, S. B. T. Nguyen, and R. S. Ruoff, “Graphene-based composite materials,” </w:t>
      </w:r>
      <w:r w:rsidRPr="007D10CD">
        <w:rPr>
          <w:rFonts w:ascii="Times New Roman" w:hAnsi="Times New Roman" w:cs="Times New Roman"/>
          <w:i/>
          <w:iCs/>
          <w:noProof/>
          <w:sz w:val="24"/>
          <w:szCs w:val="24"/>
        </w:rPr>
        <w:t>Nature</w:t>
      </w:r>
      <w:r w:rsidRPr="007D10CD">
        <w:rPr>
          <w:rFonts w:ascii="Times New Roman" w:hAnsi="Times New Roman" w:cs="Times New Roman"/>
          <w:noProof/>
          <w:sz w:val="24"/>
          <w:szCs w:val="24"/>
        </w:rPr>
        <w:t>, vol. 442, pp. 282–286, 2006.</w:t>
      </w:r>
    </w:p>
    <w:p w14:paraId="0BFAEE5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[152]</w:t>
      </w:r>
      <w:r w:rsidRPr="007D10CD">
        <w:rPr>
          <w:rFonts w:ascii="Times New Roman" w:hAnsi="Times New Roman" w:cs="Times New Roman"/>
          <w:noProof/>
          <w:sz w:val="24"/>
          <w:szCs w:val="24"/>
        </w:rPr>
        <w:tab/>
        <w:t xml:space="preserve">D. R.Dreyer, S. Park, C. W.Bielawski, and R. S. Ruoff, “The chemistry of graphene oxide,” </w:t>
      </w:r>
      <w:r w:rsidRPr="007D10CD">
        <w:rPr>
          <w:rFonts w:ascii="Times New Roman" w:hAnsi="Times New Roman" w:cs="Times New Roman"/>
          <w:i/>
          <w:iCs/>
          <w:noProof/>
          <w:sz w:val="24"/>
          <w:szCs w:val="24"/>
        </w:rPr>
        <w:t>R. Soc. Chem.</w:t>
      </w:r>
      <w:r w:rsidRPr="007D10CD">
        <w:rPr>
          <w:rFonts w:ascii="Times New Roman" w:hAnsi="Times New Roman" w:cs="Times New Roman"/>
          <w:noProof/>
          <w:sz w:val="24"/>
          <w:szCs w:val="24"/>
        </w:rPr>
        <w:t>, no. 39, pp. 228–240, 2010.</w:t>
      </w:r>
    </w:p>
    <w:p w14:paraId="3495EFB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[153]</w:t>
      </w:r>
      <w:r w:rsidRPr="007D10CD">
        <w:rPr>
          <w:rFonts w:ascii="Times New Roman" w:hAnsi="Times New Roman" w:cs="Times New Roman"/>
          <w:noProof/>
          <w:sz w:val="24"/>
          <w:szCs w:val="24"/>
        </w:rPr>
        <w:tab/>
        <w:t xml:space="preserve">Y. Xu, W. Hong, H. Bai, C. Li, and G. Shi, “Strong and ductile poly(vinyl alcohol)/graphene oxide composite films with a layered structure,”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47, no. 15, pp. 3538–3543, 2009.</w:t>
      </w:r>
    </w:p>
    <w:p w14:paraId="771A529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[154]</w:t>
      </w:r>
      <w:r w:rsidRPr="007D10CD">
        <w:rPr>
          <w:rFonts w:ascii="Times New Roman" w:hAnsi="Times New Roman" w:cs="Times New Roman"/>
          <w:noProof/>
          <w:sz w:val="24"/>
          <w:szCs w:val="24"/>
        </w:rPr>
        <w:tab/>
        <w:t xml:space="preserve">A. Singh, G. Sinsinbar, M. Choudhary, V. Kumar, R. Pasricha, H. N. Verma, S. P. Singh, and K. Arora, “Graphene oxide-chitosan nanocomposite based electrochemical DNA biosensor for detection of typhoid,” </w:t>
      </w:r>
      <w:r w:rsidRPr="007D10CD">
        <w:rPr>
          <w:rFonts w:ascii="Times New Roman" w:hAnsi="Times New Roman" w:cs="Times New Roman"/>
          <w:i/>
          <w:iCs/>
          <w:noProof/>
          <w:sz w:val="24"/>
          <w:szCs w:val="24"/>
        </w:rPr>
        <w:t>Sensors Actuators, B Chem.</w:t>
      </w:r>
      <w:r w:rsidRPr="007D10CD">
        <w:rPr>
          <w:rFonts w:ascii="Times New Roman" w:hAnsi="Times New Roman" w:cs="Times New Roman"/>
          <w:noProof/>
          <w:sz w:val="24"/>
          <w:szCs w:val="24"/>
        </w:rPr>
        <w:t>, vol. 185, pp. 675–684, 2013.</w:t>
      </w:r>
    </w:p>
    <w:p w14:paraId="47DE4DA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[155]</w:t>
      </w:r>
      <w:r w:rsidRPr="007D10CD">
        <w:rPr>
          <w:rFonts w:ascii="Times New Roman" w:hAnsi="Times New Roman" w:cs="Times New Roman"/>
          <w:noProof/>
          <w:sz w:val="24"/>
          <w:szCs w:val="24"/>
        </w:rPr>
        <w:tab/>
        <w:t xml:space="preserve">C. Liu, Z. Wang, Y. Huang, H. Xie, Z. Liu, Y. Chen, W. Lei, L. Hu, Y. Zhou, and R. Cheng, “One-pot preparation of unsaturated polyester nanocomposites containing functionalized graphene sheets via a novel solvent-exchange method,” </w:t>
      </w:r>
      <w:r w:rsidRPr="007D10CD">
        <w:rPr>
          <w:rFonts w:ascii="Times New Roman" w:hAnsi="Times New Roman" w:cs="Times New Roman"/>
          <w:i/>
          <w:iCs/>
          <w:noProof/>
          <w:sz w:val="24"/>
          <w:szCs w:val="24"/>
        </w:rPr>
        <w:t>RSC Adv.</w:t>
      </w:r>
      <w:r w:rsidRPr="007D10CD">
        <w:rPr>
          <w:rFonts w:ascii="Times New Roman" w:hAnsi="Times New Roman" w:cs="Times New Roman"/>
          <w:noProof/>
          <w:sz w:val="24"/>
          <w:szCs w:val="24"/>
        </w:rPr>
        <w:t>, vol. 3, no. 44, pp. 22380–22388, 2013.</w:t>
      </w:r>
    </w:p>
    <w:p w14:paraId="3655FCE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[156]</w:t>
      </w:r>
      <w:r w:rsidRPr="007D10CD">
        <w:rPr>
          <w:rFonts w:ascii="Times New Roman" w:hAnsi="Times New Roman" w:cs="Times New Roman"/>
          <w:noProof/>
          <w:sz w:val="24"/>
          <w:szCs w:val="24"/>
        </w:rPr>
        <w:tab/>
        <w:t xml:space="preserve">Z. Tang, H. Kang, Z. Shen, B. Guo, L. Zhang, and D. Jia, “Grafting of polyester onto graphene for electrically and thermally conductive composites,”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45, no. 8, pp. 3444–3451, 2012.</w:t>
      </w:r>
    </w:p>
    <w:p w14:paraId="1BD2E4D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[157]</w:t>
      </w:r>
      <w:r w:rsidRPr="007D10CD">
        <w:rPr>
          <w:rFonts w:ascii="Times New Roman" w:hAnsi="Times New Roman" w:cs="Times New Roman"/>
          <w:noProof/>
          <w:sz w:val="24"/>
          <w:szCs w:val="24"/>
        </w:rPr>
        <w:tab/>
        <w:t xml:space="preserve">D. . C. Marcano, D. . V Kosynkin, J. M. Berlin, A. Sinitskii, Z. Z. Sun, A. Slesarev, L. B. Alemany, W. Lu, and J. M. Tour, “Improved Synthesis of Graphene Oxide,” </w:t>
      </w:r>
      <w:r w:rsidRPr="007D10CD">
        <w:rPr>
          <w:rFonts w:ascii="Times New Roman" w:hAnsi="Times New Roman" w:cs="Times New Roman"/>
          <w:i/>
          <w:iCs/>
          <w:noProof/>
          <w:sz w:val="24"/>
          <w:szCs w:val="24"/>
        </w:rPr>
        <w:t>ACS Nano</w:t>
      </w:r>
      <w:r w:rsidRPr="007D10CD">
        <w:rPr>
          <w:rFonts w:ascii="Times New Roman" w:hAnsi="Times New Roman" w:cs="Times New Roman"/>
          <w:noProof/>
          <w:sz w:val="24"/>
          <w:szCs w:val="24"/>
        </w:rPr>
        <w:t>, vol. 4, no. 8, pp. 4806–4814, 2010.</w:t>
      </w:r>
    </w:p>
    <w:p w14:paraId="04A28A5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[158]</w:t>
      </w:r>
      <w:r w:rsidRPr="007D10CD">
        <w:rPr>
          <w:rFonts w:ascii="Times New Roman" w:hAnsi="Times New Roman" w:cs="Times New Roman"/>
          <w:noProof/>
          <w:sz w:val="24"/>
          <w:szCs w:val="24"/>
        </w:rPr>
        <w:tab/>
        <w:t xml:space="preserve">B. Nagarajaganesh and R. Muralikannan, “Comprehensive Characterization of Lignocellulosic Fruit Fibers Reinforced Hybrid Polyester Composites,” </w:t>
      </w:r>
      <w:r w:rsidRPr="007D10CD">
        <w:rPr>
          <w:rFonts w:ascii="Times New Roman" w:hAnsi="Times New Roman" w:cs="Times New Roman"/>
          <w:i/>
          <w:iCs/>
          <w:noProof/>
          <w:sz w:val="24"/>
          <w:szCs w:val="24"/>
        </w:rPr>
        <w:t>Compos. Mater.</w:t>
      </w:r>
      <w:r w:rsidRPr="007D10CD">
        <w:rPr>
          <w:rFonts w:ascii="Times New Roman" w:hAnsi="Times New Roman" w:cs="Times New Roman"/>
          <w:noProof/>
          <w:sz w:val="24"/>
          <w:szCs w:val="24"/>
        </w:rPr>
        <w:t>, vol. 1, no. 1, pp. 1–6, 2016.</w:t>
      </w:r>
    </w:p>
    <w:p w14:paraId="6AA1EAD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[159]</w:t>
      </w:r>
      <w:r w:rsidRPr="007D10CD">
        <w:rPr>
          <w:rFonts w:ascii="Times New Roman" w:hAnsi="Times New Roman" w:cs="Times New Roman"/>
          <w:noProof/>
          <w:sz w:val="24"/>
          <w:szCs w:val="24"/>
        </w:rPr>
        <w:tab/>
        <w:t xml:space="preserve">S. Swain, “Synthesis and Characterization of Graphene Based Unsaturated Polyester Resin Composites,” </w:t>
      </w:r>
      <w:r w:rsidRPr="007D10CD">
        <w:rPr>
          <w:rFonts w:ascii="Times New Roman" w:hAnsi="Times New Roman" w:cs="Times New Roman"/>
          <w:i/>
          <w:iCs/>
          <w:noProof/>
          <w:sz w:val="24"/>
          <w:szCs w:val="24"/>
        </w:rPr>
        <w:t>Trans. Electr. Electron. Mater.</w:t>
      </w:r>
      <w:r w:rsidRPr="007D10CD">
        <w:rPr>
          <w:rFonts w:ascii="Times New Roman" w:hAnsi="Times New Roman" w:cs="Times New Roman"/>
          <w:noProof/>
          <w:sz w:val="24"/>
          <w:szCs w:val="24"/>
        </w:rPr>
        <w:t>, vol. 14, pp. 53–58, 2013.</w:t>
      </w:r>
    </w:p>
    <w:p w14:paraId="60BB45F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[160]</w:t>
      </w:r>
      <w:r w:rsidRPr="007D10CD">
        <w:rPr>
          <w:rFonts w:ascii="Times New Roman" w:hAnsi="Times New Roman" w:cs="Times New Roman"/>
          <w:noProof/>
          <w:sz w:val="24"/>
          <w:szCs w:val="24"/>
        </w:rPr>
        <w:tab/>
        <w:t xml:space="preserve">Bharat Dholakiya, “Unsaturated polyester resin for speciality applications,” in </w:t>
      </w:r>
      <w:r w:rsidRPr="007D10CD">
        <w:rPr>
          <w:rFonts w:ascii="Times New Roman" w:hAnsi="Times New Roman" w:cs="Times New Roman"/>
          <w:i/>
          <w:iCs/>
          <w:noProof/>
          <w:sz w:val="24"/>
          <w:szCs w:val="24"/>
        </w:rPr>
        <w:t>Polyester</w:t>
      </w:r>
      <w:r w:rsidRPr="007D10CD">
        <w:rPr>
          <w:rFonts w:ascii="Times New Roman" w:hAnsi="Times New Roman" w:cs="Times New Roman"/>
          <w:noProof/>
          <w:sz w:val="24"/>
          <w:szCs w:val="24"/>
        </w:rPr>
        <w:t>, vol. 7, H. E.-D. M. Saleh, Ed. Intech, 2012.</w:t>
      </w:r>
    </w:p>
    <w:p w14:paraId="0B79263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[161]</w:t>
      </w:r>
      <w:r w:rsidRPr="007D10CD">
        <w:rPr>
          <w:rFonts w:ascii="Times New Roman" w:hAnsi="Times New Roman" w:cs="Times New Roman"/>
          <w:noProof/>
          <w:sz w:val="24"/>
          <w:szCs w:val="24"/>
        </w:rPr>
        <w:tab/>
        <w:t xml:space="preserve">K. Liu, L. Chen, Y. Chen, J. Wu, W. Zhang, F. Chen, and Q. Fu, “Preparation of polyester/reduced graphene oxide composites via in situ melt polycondensation and simultaneous thermo-reduction of graphene oxide,”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21, no. 24, p. 8612, 2011.</w:t>
      </w:r>
    </w:p>
    <w:p w14:paraId="41BB2ED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[162]</w:t>
      </w:r>
      <w:r w:rsidRPr="007D10CD">
        <w:rPr>
          <w:rFonts w:ascii="Times New Roman" w:hAnsi="Times New Roman" w:cs="Times New Roman"/>
          <w:noProof/>
          <w:sz w:val="24"/>
          <w:szCs w:val="24"/>
        </w:rPr>
        <w:tab/>
        <w:t xml:space="preserve">Y. Xu, H. Bai, W. Hong, C. Li, and G. Shi, “Chemically Converted Graphene Induced Molecular Flattening\rof 5,10,15,20-Tetrakis(1-methyl-4-pyridinio)porphyrin and Its\rApplication for Optical Detection of Cadmium(II) Ions\r,” </w:t>
      </w:r>
      <w:r w:rsidRPr="007D10CD">
        <w:rPr>
          <w:rFonts w:ascii="Times New Roman" w:hAnsi="Times New Roman" w:cs="Times New Roman"/>
          <w:i/>
          <w:iCs/>
          <w:noProof/>
          <w:sz w:val="24"/>
          <w:szCs w:val="24"/>
        </w:rPr>
        <w:t>J.AM.CHEM.SOC.</w:t>
      </w:r>
      <w:r w:rsidRPr="007D10CD">
        <w:rPr>
          <w:rFonts w:ascii="Times New Roman" w:hAnsi="Times New Roman" w:cs="Times New Roman"/>
          <w:noProof/>
          <w:sz w:val="24"/>
          <w:szCs w:val="24"/>
        </w:rPr>
        <w:t>, vol. 131, pp. 13490–13497, 2009.</w:t>
      </w:r>
    </w:p>
    <w:p w14:paraId="4500F6C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[163]</w:t>
      </w:r>
      <w:r w:rsidRPr="007D10CD">
        <w:rPr>
          <w:rFonts w:ascii="Times New Roman" w:hAnsi="Times New Roman" w:cs="Times New Roman"/>
          <w:noProof/>
          <w:sz w:val="24"/>
          <w:szCs w:val="24"/>
        </w:rPr>
        <w:tab/>
        <w:t xml:space="preserve">D. S. Kumar, M. J. Shukla, K. K. Mahato, D. K. Rathore, R. K. Prusty, and B. C. Ray, “Effect of post-curing on thermal and mechanical behavior of GFRP composites,” </w:t>
      </w:r>
      <w:r w:rsidRPr="007D10CD">
        <w:rPr>
          <w:rFonts w:ascii="Times New Roman" w:hAnsi="Times New Roman" w:cs="Times New Roman"/>
          <w:i/>
          <w:iCs/>
          <w:noProof/>
          <w:sz w:val="24"/>
          <w:szCs w:val="24"/>
        </w:rPr>
        <w:t>IOP Conf. Ser. Mater. Sci. Eng.</w:t>
      </w:r>
      <w:r w:rsidRPr="007D10CD">
        <w:rPr>
          <w:rFonts w:ascii="Times New Roman" w:hAnsi="Times New Roman" w:cs="Times New Roman"/>
          <w:noProof/>
          <w:sz w:val="24"/>
          <w:szCs w:val="24"/>
        </w:rPr>
        <w:t>, vol. 75, no. 1, 2015.</w:t>
      </w:r>
    </w:p>
    <w:p w14:paraId="5107EFC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[164]</w:t>
      </w:r>
      <w:r w:rsidRPr="007D10CD">
        <w:rPr>
          <w:rFonts w:ascii="Times New Roman" w:hAnsi="Times New Roman" w:cs="Times New Roman"/>
          <w:noProof/>
          <w:sz w:val="24"/>
          <w:szCs w:val="24"/>
        </w:rPr>
        <w:tab/>
        <w:t xml:space="preserve">A. ARUNIIT, J. KERS, A. KRUMME, T. POLTIMÄE, and K. TALL, “Preliminary Study of the Influence of Post Curing Parameters to the Particle Reinforced Composite’s Mechanical and Physical Properties,” </w:t>
      </w:r>
      <w:r w:rsidRPr="007D10CD">
        <w:rPr>
          <w:rFonts w:ascii="Times New Roman" w:hAnsi="Times New Roman" w:cs="Times New Roman"/>
          <w:i/>
          <w:iCs/>
          <w:noProof/>
          <w:sz w:val="24"/>
          <w:szCs w:val="24"/>
        </w:rPr>
        <w:t>Mater. Sci.</w:t>
      </w:r>
      <w:r w:rsidRPr="007D10CD">
        <w:rPr>
          <w:rFonts w:ascii="Times New Roman" w:hAnsi="Times New Roman" w:cs="Times New Roman"/>
          <w:noProof/>
          <w:sz w:val="24"/>
          <w:szCs w:val="24"/>
        </w:rPr>
        <w:t>, vol. 18, no. 3, pp. 256–261, 2012.</w:t>
      </w:r>
    </w:p>
    <w:p w14:paraId="3885B98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[165]</w:t>
      </w:r>
      <w:r w:rsidRPr="007D10CD">
        <w:rPr>
          <w:rFonts w:ascii="Times New Roman" w:hAnsi="Times New Roman" w:cs="Times New Roman"/>
          <w:noProof/>
          <w:sz w:val="24"/>
          <w:szCs w:val="24"/>
        </w:rPr>
        <w:tab/>
        <w:t xml:space="preserve">Y.-J. Huang and J.-S. Leu, “Curing of unsaturated polyester resins. Effects of temperature and initiator: 1. Low temperature reactions,”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34, pp. 295–304, Jan. 1993.</w:t>
      </w:r>
    </w:p>
    <w:p w14:paraId="7D2C020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[166]</w:t>
      </w:r>
      <w:r w:rsidRPr="007D10CD">
        <w:rPr>
          <w:rFonts w:ascii="Times New Roman" w:hAnsi="Times New Roman" w:cs="Times New Roman"/>
          <w:noProof/>
          <w:sz w:val="24"/>
          <w:szCs w:val="24"/>
        </w:rPr>
        <w:tab/>
        <w:t xml:space="preserve">S. Chatterjee, J. W. Wang, W. S. Kuo, N. H. Tai, C. Salzmann, W. L. Li, R. Hollertz, F. A. Nüesch, and B. T. T. Chu, “Mechanical reinforcement and thermal conductivity in expanded graphene nanoplatelets reinforced epoxy composites,” </w:t>
      </w:r>
      <w:r w:rsidRPr="007D10CD">
        <w:rPr>
          <w:rFonts w:ascii="Times New Roman" w:hAnsi="Times New Roman" w:cs="Times New Roman"/>
          <w:i/>
          <w:iCs/>
          <w:noProof/>
          <w:sz w:val="24"/>
          <w:szCs w:val="24"/>
        </w:rPr>
        <w:t>Chem. Phys. Lett.</w:t>
      </w:r>
      <w:r w:rsidRPr="007D10CD">
        <w:rPr>
          <w:rFonts w:ascii="Times New Roman" w:hAnsi="Times New Roman" w:cs="Times New Roman"/>
          <w:noProof/>
          <w:sz w:val="24"/>
          <w:szCs w:val="24"/>
        </w:rPr>
        <w:t>, vol. 531, pp. 6–10, 2012.</w:t>
      </w:r>
    </w:p>
    <w:p w14:paraId="1C57B6E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[167]</w:t>
      </w:r>
      <w:r w:rsidRPr="007D10CD">
        <w:rPr>
          <w:rFonts w:ascii="Times New Roman" w:hAnsi="Times New Roman" w:cs="Times New Roman"/>
          <w:noProof/>
          <w:sz w:val="24"/>
          <w:szCs w:val="24"/>
        </w:rPr>
        <w:tab/>
        <w:t xml:space="preserve">Y.-J. Wan, L.-X. Gong, L.-C. Tang, L.-B. Wu, and J.-X. Jiang, “Mechanical properties of epoxy composites filled with silane-functionalized graphene oxide,” </w:t>
      </w:r>
      <w:r w:rsidRPr="007D10CD">
        <w:rPr>
          <w:rFonts w:ascii="Times New Roman" w:hAnsi="Times New Roman" w:cs="Times New Roman"/>
          <w:i/>
          <w:iCs/>
          <w:noProof/>
          <w:sz w:val="24"/>
          <w:szCs w:val="24"/>
        </w:rPr>
        <w:t>Compos. Part A</w:t>
      </w:r>
      <w:r w:rsidRPr="007D10CD">
        <w:rPr>
          <w:rFonts w:ascii="Times New Roman" w:hAnsi="Times New Roman" w:cs="Times New Roman"/>
          <w:noProof/>
          <w:sz w:val="24"/>
          <w:szCs w:val="24"/>
        </w:rPr>
        <w:t>, vol. 64, pp. 79–89, 2014.</w:t>
      </w:r>
    </w:p>
    <w:p w14:paraId="6C10209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[168]</w:t>
      </w:r>
      <w:r w:rsidRPr="007D10CD">
        <w:rPr>
          <w:rFonts w:ascii="Times New Roman" w:hAnsi="Times New Roman" w:cs="Times New Roman"/>
          <w:noProof/>
          <w:sz w:val="24"/>
          <w:szCs w:val="24"/>
        </w:rPr>
        <w:tab/>
        <w:t xml:space="preserve">M. Bastiurea, M. S. Rodeanu, D. Dima, M. Murarescu, and G. Andrei, “Thermal and Mechanical Properties of Polyester Composites With Graphene Oxide and Graphite,” </w:t>
      </w:r>
      <w:r w:rsidRPr="007D10CD">
        <w:rPr>
          <w:rFonts w:ascii="Times New Roman" w:hAnsi="Times New Roman" w:cs="Times New Roman"/>
          <w:i/>
          <w:iCs/>
          <w:noProof/>
          <w:sz w:val="24"/>
          <w:szCs w:val="24"/>
        </w:rPr>
        <w:t>Dig. J. Nanomater. Biostructures</w:t>
      </w:r>
      <w:r w:rsidRPr="007D10CD">
        <w:rPr>
          <w:rFonts w:ascii="Times New Roman" w:hAnsi="Times New Roman" w:cs="Times New Roman"/>
          <w:noProof/>
          <w:sz w:val="24"/>
          <w:szCs w:val="24"/>
        </w:rPr>
        <w:t>, vol. 10, no. 2, pp. 521–533, 2015.</w:t>
      </w:r>
    </w:p>
    <w:p w14:paraId="41BE4F6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[169]</w:t>
      </w:r>
      <w:r w:rsidRPr="007D10CD">
        <w:rPr>
          <w:rFonts w:ascii="Times New Roman" w:hAnsi="Times New Roman" w:cs="Times New Roman"/>
          <w:noProof/>
          <w:sz w:val="24"/>
          <w:szCs w:val="24"/>
        </w:rPr>
        <w:tab/>
        <w:t xml:space="preserve">M. Idicula, S. K. Malhotra, K. Joseph, and S. Thomas, “Dynamic mechanical analysis of randomly oriented intimately mixed short banana/sisal hybrid fibre reinforced polyester composites,”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65, pp. 1077–1087, 2005.</w:t>
      </w:r>
    </w:p>
    <w:p w14:paraId="3CF96F5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[170]</w:t>
      </w:r>
      <w:r w:rsidRPr="007D10CD">
        <w:rPr>
          <w:rFonts w:ascii="Times New Roman" w:hAnsi="Times New Roman" w:cs="Times New Roman"/>
          <w:noProof/>
          <w:sz w:val="24"/>
          <w:szCs w:val="24"/>
        </w:rPr>
        <w:tab/>
        <w:t xml:space="preserve">L. A. Pothan, Z. Oommen, and S. Thomas, “Dynamic mechanical analysis of banana fiber reinforced polyester composites,”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63, pp. 283–293, 2003.</w:t>
      </w:r>
    </w:p>
    <w:p w14:paraId="48317B0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[171]</w:t>
      </w:r>
      <w:r w:rsidRPr="007D10CD">
        <w:rPr>
          <w:rFonts w:ascii="Times New Roman" w:hAnsi="Times New Roman" w:cs="Times New Roman"/>
          <w:noProof/>
          <w:sz w:val="24"/>
          <w:szCs w:val="24"/>
        </w:rPr>
        <w:tab/>
        <w:t xml:space="preserve">N. Hameed, P. A. Sreekumar, B. Francis, W. Yang, and S. Thomas, “Morphology, dynamic mechanical and thermal studies on poly(styrene-co-acrylonitrile) modified epoxy resin/glass fibre composites,” </w:t>
      </w:r>
      <w:r w:rsidRPr="007D10CD">
        <w:rPr>
          <w:rFonts w:ascii="Times New Roman" w:hAnsi="Times New Roman" w:cs="Times New Roman"/>
          <w:i/>
          <w:iCs/>
          <w:noProof/>
          <w:sz w:val="24"/>
          <w:szCs w:val="24"/>
        </w:rPr>
        <w:t>Compos. Part A Appl. Sci. Manuf.</w:t>
      </w:r>
      <w:r w:rsidRPr="007D10CD">
        <w:rPr>
          <w:rFonts w:ascii="Times New Roman" w:hAnsi="Times New Roman" w:cs="Times New Roman"/>
          <w:noProof/>
          <w:sz w:val="24"/>
          <w:szCs w:val="24"/>
        </w:rPr>
        <w:t>, vol. 38, no. 12, pp. 2422–2432, 2007.</w:t>
      </w:r>
    </w:p>
    <w:p w14:paraId="2D48AEC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[172]</w:t>
      </w:r>
      <w:r w:rsidRPr="007D10CD">
        <w:rPr>
          <w:rFonts w:ascii="Times New Roman" w:hAnsi="Times New Roman" w:cs="Times New Roman"/>
          <w:noProof/>
          <w:sz w:val="24"/>
          <w:szCs w:val="24"/>
        </w:rPr>
        <w:tab/>
        <w:t xml:space="preserve">D. M. Price, “Thermomechanical, Dynamic Mechanical and Dielectric Methods,” in </w:t>
      </w:r>
      <w:r w:rsidRPr="007D10CD">
        <w:rPr>
          <w:rFonts w:ascii="Times New Roman" w:hAnsi="Times New Roman" w:cs="Times New Roman"/>
          <w:i/>
          <w:iCs/>
          <w:noProof/>
          <w:sz w:val="24"/>
          <w:szCs w:val="24"/>
        </w:rPr>
        <w:t>Principles of Thermal Analysis and Calorimetry</w:t>
      </w:r>
      <w:r w:rsidRPr="007D10CD">
        <w:rPr>
          <w:rFonts w:ascii="Times New Roman" w:hAnsi="Times New Roman" w:cs="Times New Roman"/>
          <w:noProof/>
          <w:sz w:val="24"/>
          <w:szCs w:val="24"/>
        </w:rPr>
        <w:t>, 1 edition., P. Haines, Ed. Cambridge: Royal Society of Chemistry, 2002, pp. 94–125.</w:t>
      </w:r>
    </w:p>
    <w:p w14:paraId="5864F05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[173]</w:t>
      </w:r>
      <w:r w:rsidRPr="007D10CD">
        <w:rPr>
          <w:rFonts w:ascii="Times New Roman" w:hAnsi="Times New Roman" w:cs="Times New Roman"/>
          <w:noProof/>
          <w:sz w:val="24"/>
          <w:szCs w:val="24"/>
        </w:rPr>
        <w:tab/>
        <w:t xml:space="preserve">D. S. Jones, “Dynamic mechanical analysis of polymeric systems of pharmaceutical and biomedical significance.,” </w:t>
      </w:r>
      <w:r w:rsidRPr="007D10CD">
        <w:rPr>
          <w:rFonts w:ascii="Times New Roman" w:hAnsi="Times New Roman" w:cs="Times New Roman"/>
          <w:i/>
          <w:iCs/>
          <w:noProof/>
          <w:sz w:val="24"/>
          <w:szCs w:val="24"/>
        </w:rPr>
        <w:t>Int. J. Pharm.</w:t>
      </w:r>
      <w:r w:rsidRPr="007D10CD">
        <w:rPr>
          <w:rFonts w:ascii="Times New Roman" w:hAnsi="Times New Roman" w:cs="Times New Roman"/>
          <w:noProof/>
          <w:sz w:val="24"/>
          <w:szCs w:val="24"/>
        </w:rPr>
        <w:t>, vol. 179, pp. 167–78, 1999.</w:t>
      </w:r>
    </w:p>
    <w:p w14:paraId="3365055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[174]</w:t>
      </w:r>
      <w:r w:rsidRPr="007D10CD">
        <w:rPr>
          <w:rFonts w:ascii="Times New Roman" w:hAnsi="Times New Roman" w:cs="Times New Roman"/>
          <w:noProof/>
          <w:sz w:val="24"/>
          <w:szCs w:val="24"/>
        </w:rPr>
        <w:tab/>
        <w:t xml:space="preserve">Y.-J. Huang, T.-J. Lu, and W. Hwu, “Curing of Unsaturated Polyester Resins.Effects of temperature and initiator:1.low temperature reactions,” </w:t>
      </w:r>
      <w:r w:rsidRPr="007D10CD">
        <w:rPr>
          <w:rFonts w:ascii="Times New Roman" w:hAnsi="Times New Roman" w:cs="Times New Roman"/>
          <w:i/>
          <w:iCs/>
          <w:noProof/>
          <w:sz w:val="24"/>
          <w:szCs w:val="24"/>
        </w:rPr>
        <w:t>Polym. Eng. Sci.</w:t>
      </w:r>
      <w:r w:rsidRPr="007D10CD">
        <w:rPr>
          <w:rFonts w:ascii="Times New Roman" w:hAnsi="Times New Roman" w:cs="Times New Roman"/>
          <w:noProof/>
          <w:sz w:val="24"/>
          <w:szCs w:val="24"/>
        </w:rPr>
        <w:t>, vol. 34, no. 1, pp. 295–304, 1993.</w:t>
      </w:r>
    </w:p>
    <w:p w14:paraId="458B666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[175]</w:t>
      </w:r>
      <w:r w:rsidRPr="007D10CD">
        <w:rPr>
          <w:rFonts w:ascii="Times New Roman" w:hAnsi="Times New Roman" w:cs="Times New Roman"/>
          <w:noProof/>
          <w:sz w:val="24"/>
          <w:szCs w:val="24"/>
        </w:rPr>
        <w:tab/>
        <w:t xml:space="preserve">S. Waigaonkar, B. J. C. Babu, and A. Rajput, “Curing studies of unsaturated polyester resin used in FRP products,” </w:t>
      </w:r>
      <w:r w:rsidRPr="007D10CD">
        <w:rPr>
          <w:rFonts w:ascii="Times New Roman" w:hAnsi="Times New Roman" w:cs="Times New Roman"/>
          <w:i/>
          <w:iCs/>
          <w:noProof/>
          <w:sz w:val="24"/>
          <w:szCs w:val="24"/>
        </w:rPr>
        <w:t>Indian J. Eng. Mater. Sci.</w:t>
      </w:r>
      <w:r w:rsidRPr="007D10CD">
        <w:rPr>
          <w:rFonts w:ascii="Times New Roman" w:hAnsi="Times New Roman" w:cs="Times New Roman"/>
          <w:noProof/>
          <w:sz w:val="24"/>
          <w:szCs w:val="24"/>
        </w:rPr>
        <w:t>, vol. 18, no. 1, pp. 31–39, 2011.</w:t>
      </w:r>
    </w:p>
    <w:p w14:paraId="0FE437F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[176]</w:t>
      </w:r>
      <w:r w:rsidRPr="007D10CD">
        <w:rPr>
          <w:rFonts w:ascii="Times New Roman" w:hAnsi="Times New Roman" w:cs="Times New Roman"/>
          <w:noProof/>
          <w:sz w:val="24"/>
          <w:szCs w:val="24"/>
        </w:rPr>
        <w:tab/>
        <w:t xml:space="preserve">W. Li and L. J. Lee, “Low temperature cure of unsaturated polyester resins with thermoplastic additives I . Dilatometry and morphology study,”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41, pp. 685–696, 2000.</w:t>
      </w:r>
    </w:p>
    <w:p w14:paraId="4142C6B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[177]</w:t>
      </w:r>
      <w:r w:rsidRPr="007D10CD">
        <w:rPr>
          <w:rFonts w:ascii="Times New Roman" w:hAnsi="Times New Roman" w:cs="Times New Roman"/>
          <w:noProof/>
          <w:sz w:val="24"/>
          <w:szCs w:val="24"/>
        </w:rPr>
        <w:tab/>
        <w:t xml:space="preserve">S. M. Lala, L. A. Montoro, E. di Donato, and J. M. Rosolen, “Synthesis of LiCoO2 by metallo-organic decomposition-MOD,” </w:t>
      </w:r>
      <w:r w:rsidRPr="007D10CD">
        <w:rPr>
          <w:rFonts w:ascii="Times New Roman" w:hAnsi="Times New Roman" w:cs="Times New Roman"/>
          <w:i/>
          <w:iCs/>
          <w:noProof/>
          <w:sz w:val="24"/>
          <w:szCs w:val="24"/>
        </w:rPr>
        <w:t>J. Power Sources</w:t>
      </w:r>
      <w:r w:rsidRPr="007D10CD">
        <w:rPr>
          <w:rFonts w:ascii="Times New Roman" w:hAnsi="Times New Roman" w:cs="Times New Roman"/>
          <w:noProof/>
          <w:sz w:val="24"/>
          <w:szCs w:val="24"/>
        </w:rPr>
        <w:t>, vol. 114, pp. 127–132, 2003.</w:t>
      </w:r>
    </w:p>
    <w:p w14:paraId="39CDE36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[178]</w:t>
      </w:r>
      <w:r w:rsidRPr="007D10CD">
        <w:rPr>
          <w:rFonts w:ascii="Times New Roman" w:hAnsi="Times New Roman" w:cs="Times New Roman"/>
          <w:noProof/>
          <w:sz w:val="24"/>
          <w:szCs w:val="24"/>
        </w:rPr>
        <w:tab/>
        <w:t xml:space="preserve">M.J.Fernandez-Merino, L.Guardia, J.I.Paredes, S.Villar-Rodil, P.Solis-Fernandez, A.Martinez-Alonso, and J.M.D.Tascon, “Vitamin C Is an Ideal Substitute for Hydrazine in the Reduction of Graphene Oxide Suspensions,” </w:t>
      </w:r>
      <w:r w:rsidRPr="007D10CD">
        <w:rPr>
          <w:rFonts w:ascii="Times New Roman" w:hAnsi="Times New Roman" w:cs="Times New Roman"/>
          <w:i/>
          <w:iCs/>
          <w:noProof/>
          <w:sz w:val="24"/>
          <w:szCs w:val="24"/>
        </w:rPr>
        <w:t>J. Phys. Chem. C</w:t>
      </w:r>
      <w:r w:rsidRPr="007D10CD">
        <w:rPr>
          <w:rFonts w:ascii="Times New Roman" w:hAnsi="Times New Roman" w:cs="Times New Roman"/>
          <w:noProof/>
          <w:sz w:val="24"/>
          <w:szCs w:val="24"/>
        </w:rPr>
        <w:t>, vol. 114, pp. 6426–6432, 2010.</w:t>
      </w:r>
    </w:p>
    <w:p w14:paraId="2A998B2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[179]</w:t>
      </w:r>
      <w:r w:rsidRPr="007D10CD">
        <w:rPr>
          <w:rFonts w:ascii="Times New Roman" w:hAnsi="Times New Roman" w:cs="Times New Roman"/>
          <w:noProof/>
          <w:sz w:val="24"/>
          <w:szCs w:val="24"/>
        </w:rPr>
        <w:tab/>
        <w:t xml:space="preserve">C. K. Chua and M. Pumera, “Chemical reduction of graphene oxide: a synthetic chemistry viewpoint,” </w:t>
      </w:r>
      <w:r w:rsidRPr="007D10CD">
        <w:rPr>
          <w:rFonts w:ascii="Times New Roman" w:hAnsi="Times New Roman" w:cs="Times New Roman"/>
          <w:i/>
          <w:iCs/>
          <w:noProof/>
          <w:sz w:val="24"/>
          <w:szCs w:val="24"/>
        </w:rPr>
        <w:t>Chem. Soc. Rev.</w:t>
      </w:r>
      <w:r w:rsidRPr="007D10CD">
        <w:rPr>
          <w:rFonts w:ascii="Times New Roman" w:hAnsi="Times New Roman" w:cs="Times New Roman"/>
          <w:noProof/>
          <w:sz w:val="24"/>
          <w:szCs w:val="24"/>
        </w:rPr>
        <w:t>, vol. 43, no. 1, pp. 291–312, 2014.</w:t>
      </w:r>
    </w:p>
    <w:p w14:paraId="5F7B715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[180]</w:t>
      </w:r>
      <w:r w:rsidRPr="007D10CD">
        <w:rPr>
          <w:rFonts w:ascii="Times New Roman" w:hAnsi="Times New Roman" w:cs="Times New Roman"/>
          <w:noProof/>
          <w:sz w:val="24"/>
          <w:szCs w:val="24"/>
        </w:rPr>
        <w:tab/>
        <w:t xml:space="preserve">J. Gao, F. Liu, Y. Liu, N. Ma, Z. Wang, and X. Zhang, “Environment-friendly method to produce graphene that employs vitamin C and amino acid,” </w:t>
      </w:r>
      <w:r w:rsidRPr="007D10CD">
        <w:rPr>
          <w:rFonts w:ascii="Times New Roman" w:hAnsi="Times New Roman" w:cs="Times New Roman"/>
          <w:i/>
          <w:iCs/>
          <w:noProof/>
          <w:sz w:val="24"/>
          <w:szCs w:val="24"/>
        </w:rPr>
        <w:t>Chem. Mater.</w:t>
      </w:r>
      <w:r w:rsidRPr="007D10CD">
        <w:rPr>
          <w:rFonts w:ascii="Times New Roman" w:hAnsi="Times New Roman" w:cs="Times New Roman"/>
          <w:noProof/>
          <w:sz w:val="24"/>
          <w:szCs w:val="24"/>
        </w:rPr>
        <w:t>, vol. 22, pp. 2213–2218, 2010.</w:t>
      </w:r>
    </w:p>
    <w:p w14:paraId="1DB7F63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[181]</w:t>
      </w:r>
      <w:r w:rsidRPr="007D10CD">
        <w:rPr>
          <w:rFonts w:ascii="Times New Roman" w:hAnsi="Times New Roman" w:cs="Times New Roman"/>
          <w:noProof/>
          <w:sz w:val="24"/>
          <w:szCs w:val="24"/>
        </w:rPr>
        <w:tab/>
        <w:t xml:space="preserve">P. N. Khanam, D. Ponnamma, and M.A.AL-Madeed, </w:t>
      </w:r>
      <w:r w:rsidRPr="007D10CD">
        <w:rPr>
          <w:rFonts w:ascii="Times New Roman" w:hAnsi="Times New Roman" w:cs="Times New Roman"/>
          <w:i/>
          <w:iCs/>
          <w:noProof/>
          <w:sz w:val="24"/>
          <w:szCs w:val="24"/>
        </w:rPr>
        <w:t>Graphene-Based Polymer Nanocomposites in Electronics</w:t>
      </w:r>
      <w:r w:rsidRPr="007D10CD">
        <w:rPr>
          <w:rFonts w:ascii="Times New Roman" w:hAnsi="Times New Roman" w:cs="Times New Roman"/>
          <w:noProof/>
          <w:sz w:val="24"/>
          <w:szCs w:val="24"/>
        </w:rPr>
        <w:t>. Springer, 2015.</w:t>
      </w:r>
    </w:p>
    <w:p w14:paraId="356D6D2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[182]</w:t>
      </w:r>
      <w:r w:rsidRPr="007D10CD">
        <w:rPr>
          <w:rFonts w:ascii="Times New Roman" w:hAnsi="Times New Roman" w:cs="Times New Roman"/>
          <w:noProof/>
          <w:sz w:val="24"/>
          <w:szCs w:val="24"/>
        </w:rPr>
        <w:tab/>
        <w:t xml:space="preserve">X. Wang, H. Bai, Z. Yao, A. Liu, and G. Shi, “Electrically conductive and mechanically strong biomimetic chitosan/reduced graphene oxide composite films,”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20, no. 41, pp. 9032–9036, 2010.</w:t>
      </w:r>
    </w:p>
    <w:p w14:paraId="420059F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[183]</w:t>
      </w:r>
      <w:r w:rsidRPr="007D10CD">
        <w:rPr>
          <w:rFonts w:ascii="Times New Roman" w:hAnsi="Times New Roman" w:cs="Times New Roman"/>
          <w:noProof/>
          <w:sz w:val="24"/>
          <w:szCs w:val="24"/>
        </w:rPr>
        <w:tab/>
        <w:t xml:space="preserve">K. V. Harish Prashanth and R. N. Tharanathan, “Chitin/chitosan: modifications and their unlimited application potential-an overview,” </w:t>
      </w:r>
      <w:r w:rsidRPr="007D10CD">
        <w:rPr>
          <w:rFonts w:ascii="Times New Roman" w:hAnsi="Times New Roman" w:cs="Times New Roman"/>
          <w:i/>
          <w:iCs/>
          <w:noProof/>
          <w:sz w:val="24"/>
          <w:szCs w:val="24"/>
        </w:rPr>
        <w:t>Trends Food Sci. Technol.</w:t>
      </w:r>
      <w:r w:rsidRPr="007D10CD">
        <w:rPr>
          <w:rFonts w:ascii="Times New Roman" w:hAnsi="Times New Roman" w:cs="Times New Roman"/>
          <w:noProof/>
          <w:sz w:val="24"/>
          <w:szCs w:val="24"/>
        </w:rPr>
        <w:t>, vol. 18, pp. 117–131, 2007.</w:t>
      </w:r>
    </w:p>
    <w:p w14:paraId="22881D7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[184]</w:t>
      </w:r>
      <w:r w:rsidRPr="007D10CD">
        <w:rPr>
          <w:rFonts w:ascii="Times New Roman" w:hAnsi="Times New Roman" w:cs="Times New Roman"/>
          <w:noProof/>
          <w:sz w:val="24"/>
          <w:szCs w:val="24"/>
        </w:rPr>
        <w:tab/>
        <w:t xml:space="preserve">X. Yang, Y. Tu, L. Li, S. Shang, and X. M. Tao, “Well-dispersed chitosan/graphene oxide nanocomposites,” </w:t>
      </w:r>
      <w:r w:rsidRPr="007D10CD">
        <w:rPr>
          <w:rFonts w:ascii="Times New Roman" w:hAnsi="Times New Roman" w:cs="Times New Roman"/>
          <w:i/>
          <w:iCs/>
          <w:noProof/>
          <w:sz w:val="24"/>
          <w:szCs w:val="24"/>
        </w:rPr>
        <w:t>ACS Appl. Mater. Interfaces</w:t>
      </w:r>
      <w:r w:rsidRPr="007D10CD">
        <w:rPr>
          <w:rFonts w:ascii="Times New Roman" w:hAnsi="Times New Roman" w:cs="Times New Roman"/>
          <w:noProof/>
          <w:sz w:val="24"/>
          <w:szCs w:val="24"/>
        </w:rPr>
        <w:t>, vol. 2, no. 6, pp. 1707–1713, 2010.</w:t>
      </w:r>
    </w:p>
    <w:p w14:paraId="5ADE412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[185]</w:t>
      </w:r>
      <w:r w:rsidRPr="007D10CD">
        <w:rPr>
          <w:rFonts w:ascii="Times New Roman" w:hAnsi="Times New Roman" w:cs="Times New Roman"/>
          <w:noProof/>
          <w:sz w:val="24"/>
          <w:szCs w:val="24"/>
        </w:rPr>
        <w:tab/>
        <w:t xml:space="preserve">S. Pei and H. M. Cheng, “The reduction of graphene oxide,”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50, pp. 3210–3228, 2012.</w:t>
      </w:r>
    </w:p>
    <w:p w14:paraId="1B77665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[186]</w:t>
      </w:r>
      <w:r w:rsidRPr="007D10CD">
        <w:rPr>
          <w:rFonts w:ascii="Times New Roman" w:hAnsi="Times New Roman" w:cs="Times New Roman"/>
          <w:noProof/>
          <w:sz w:val="24"/>
          <w:szCs w:val="24"/>
        </w:rPr>
        <w:tab/>
        <w:t xml:space="preserve">S. Yongchao, Samulski Edward T, Y. Si, and E. T. Samulski, “Synthesis of water soluble graphene,” </w:t>
      </w:r>
      <w:r w:rsidRPr="007D10CD">
        <w:rPr>
          <w:rFonts w:ascii="Times New Roman" w:hAnsi="Times New Roman" w:cs="Times New Roman"/>
          <w:i/>
          <w:iCs/>
          <w:noProof/>
          <w:sz w:val="24"/>
          <w:szCs w:val="24"/>
        </w:rPr>
        <w:t>Nano Lett.</w:t>
      </w:r>
      <w:r w:rsidRPr="007D10CD">
        <w:rPr>
          <w:rFonts w:ascii="Times New Roman" w:hAnsi="Times New Roman" w:cs="Times New Roman"/>
          <w:noProof/>
          <w:sz w:val="24"/>
          <w:szCs w:val="24"/>
        </w:rPr>
        <w:t>, vol. 8, no. 6, pp. 1679–1682, 2008.</w:t>
      </w:r>
    </w:p>
    <w:p w14:paraId="4E9DEF4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[187]</w:t>
      </w:r>
      <w:r w:rsidRPr="007D10CD">
        <w:rPr>
          <w:rFonts w:ascii="Times New Roman" w:hAnsi="Times New Roman" w:cs="Times New Roman"/>
          <w:noProof/>
          <w:sz w:val="24"/>
          <w:szCs w:val="24"/>
        </w:rPr>
        <w:tab/>
        <w:t xml:space="preserve">D. V. K. Daniela C. Marcano, “Improved Synthesis of Graphene Oxide,” </w:t>
      </w:r>
      <w:r w:rsidRPr="007D10CD">
        <w:rPr>
          <w:rFonts w:ascii="Times New Roman" w:hAnsi="Times New Roman" w:cs="Times New Roman"/>
          <w:i/>
          <w:iCs/>
          <w:noProof/>
          <w:sz w:val="24"/>
          <w:szCs w:val="24"/>
        </w:rPr>
        <w:t>ACS Nano</w:t>
      </w:r>
      <w:r w:rsidRPr="007D10CD">
        <w:rPr>
          <w:rFonts w:ascii="Times New Roman" w:hAnsi="Times New Roman" w:cs="Times New Roman"/>
          <w:noProof/>
          <w:sz w:val="24"/>
          <w:szCs w:val="24"/>
        </w:rPr>
        <w:t>, vol. 4, no. 8, pp. 4806–4814, 2010.</w:t>
      </w:r>
    </w:p>
    <w:p w14:paraId="1BF117D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[188]</w:t>
      </w:r>
      <w:r w:rsidRPr="007D10CD">
        <w:rPr>
          <w:rFonts w:ascii="Times New Roman" w:hAnsi="Times New Roman" w:cs="Times New Roman"/>
          <w:noProof/>
          <w:sz w:val="24"/>
          <w:szCs w:val="24"/>
        </w:rPr>
        <w:tab/>
        <w:t xml:space="preserve">S. Rella, A. Giuri, C. E. Corcione, M. R. Acocella, S. Colella, G. Guerra, A. Listorti, A. Rizzo, and C. Malitesta, “X-ray photoelectron spectroscopy of reduced graphene oxide prepared by a novel green method,” </w:t>
      </w:r>
      <w:r w:rsidRPr="007D10CD">
        <w:rPr>
          <w:rFonts w:ascii="Times New Roman" w:hAnsi="Times New Roman" w:cs="Times New Roman"/>
          <w:i/>
          <w:iCs/>
          <w:noProof/>
          <w:sz w:val="24"/>
          <w:szCs w:val="24"/>
        </w:rPr>
        <w:t>Vacuum</w:t>
      </w:r>
      <w:r w:rsidRPr="007D10CD">
        <w:rPr>
          <w:rFonts w:ascii="Times New Roman" w:hAnsi="Times New Roman" w:cs="Times New Roman"/>
          <w:noProof/>
          <w:sz w:val="24"/>
          <w:szCs w:val="24"/>
        </w:rPr>
        <w:t>, vol. 119, pp. 159–162, 2015.</w:t>
      </w:r>
    </w:p>
    <w:p w14:paraId="0B2C4A8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[189]</w:t>
      </w:r>
      <w:r w:rsidRPr="007D10CD">
        <w:rPr>
          <w:rFonts w:ascii="Times New Roman" w:hAnsi="Times New Roman" w:cs="Times New Roman"/>
          <w:noProof/>
          <w:sz w:val="24"/>
          <w:szCs w:val="24"/>
        </w:rPr>
        <w:tab/>
        <w:t xml:space="preserve">D. Yang, A. Velamakanni, G. Bozoklu, S. Park, M. Stoller, R. D. Piner, S. Stankovich, I. Jung, D. A. Field, C. A. Ventrice, and R. S. Ruoff, “Chemical analysis of graphene oxide films after heat and chemical treatments by X-ray photoelectron and Micro-Raman spectroscopy,”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47, no. 1, pp. 145–152, 2009.</w:t>
      </w:r>
    </w:p>
    <w:p w14:paraId="3D34ECF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[190]</w:t>
      </w:r>
      <w:r w:rsidRPr="007D10CD">
        <w:rPr>
          <w:rFonts w:ascii="Times New Roman" w:hAnsi="Times New Roman" w:cs="Times New Roman"/>
          <w:noProof/>
          <w:sz w:val="24"/>
          <w:szCs w:val="24"/>
        </w:rPr>
        <w:tab/>
        <w:t xml:space="preserve">C. Marquez, N. Rodriguez, R. Ruiz, and F. Gamiz, “Electrical Characterization and Conductivity Optimization of Laser Reduced Graphene Oxide on Insulator using Point-Contact Methods,” </w:t>
      </w:r>
      <w:r w:rsidRPr="007D10CD">
        <w:rPr>
          <w:rFonts w:ascii="Times New Roman" w:hAnsi="Times New Roman" w:cs="Times New Roman"/>
          <w:i/>
          <w:iCs/>
          <w:noProof/>
          <w:sz w:val="24"/>
          <w:szCs w:val="24"/>
        </w:rPr>
        <w:t>RSC Adv.</w:t>
      </w:r>
      <w:r w:rsidRPr="007D10CD">
        <w:rPr>
          <w:rFonts w:ascii="Times New Roman" w:hAnsi="Times New Roman" w:cs="Times New Roman"/>
          <w:noProof/>
          <w:sz w:val="24"/>
          <w:szCs w:val="24"/>
        </w:rPr>
        <w:t>, vol. 6, pp. 46251–46237, 2016.</w:t>
      </w:r>
    </w:p>
    <w:p w14:paraId="3272E51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[191]</w:t>
      </w:r>
      <w:r w:rsidRPr="007D10CD">
        <w:rPr>
          <w:rFonts w:ascii="Times New Roman" w:hAnsi="Times New Roman" w:cs="Times New Roman"/>
          <w:noProof/>
          <w:sz w:val="24"/>
          <w:szCs w:val="24"/>
        </w:rPr>
        <w:tab/>
        <w:t xml:space="preserve">N. Cao and Y. Zhang, “Study of Reduced Graphene Oxide Preparation by Hummers’ Method and Related Characterization,” </w:t>
      </w:r>
      <w:r w:rsidRPr="007D10CD">
        <w:rPr>
          <w:rFonts w:ascii="Times New Roman" w:hAnsi="Times New Roman" w:cs="Times New Roman"/>
          <w:i/>
          <w:iCs/>
          <w:noProof/>
          <w:sz w:val="24"/>
          <w:szCs w:val="24"/>
        </w:rPr>
        <w:t>J. Nanomater.</w:t>
      </w:r>
      <w:r w:rsidRPr="007D10CD">
        <w:rPr>
          <w:rFonts w:ascii="Times New Roman" w:hAnsi="Times New Roman" w:cs="Times New Roman"/>
          <w:noProof/>
          <w:sz w:val="24"/>
          <w:szCs w:val="24"/>
        </w:rPr>
        <w:t>, vol. 2015, pp. 1–5, 2014.</w:t>
      </w:r>
    </w:p>
    <w:p w14:paraId="7CCA9F4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[192]</w:t>
      </w:r>
      <w:r w:rsidRPr="007D10CD">
        <w:rPr>
          <w:rFonts w:ascii="Times New Roman" w:hAnsi="Times New Roman" w:cs="Times New Roman"/>
          <w:noProof/>
          <w:sz w:val="24"/>
          <w:szCs w:val="24"/>
        </w:rPr>
        <w:tab/>
        <w:t xml:space="preserve">C. Xu, X. Shi, A. Ji, L. Shi, C. Zhou, and Y. Cui, “Fabrication and characteristics of reduced graphene oxide produced with different green reductants,” </w:t>
      </w:r>
      <w:r w:rsidRPr="007D10CD">
        <w:rPr>
          <w:rFonts w:ascii="Times New Roman" w:hAnsi="Times New Roman" w:cs="Times New Roman"/>
          <w:i/>
          <w:iCs/>
          <w:noProof/>
          <w:sz w:val="24"/>
          <w:szCs w:val="24"/>
        </w:rPr>
        <w:t>PLoS One</w:t>
      </w:r>
      <w:r w:rsidRPr="007D10CD">
        <w:rPr>
          <w:rFonts w:ascii="Times New Roman" w:hAnsi="Times New Roman" w:cs="Times New Roman"/>
          <w:noProof/>
          <w:sz w:val="24"/>
          <w:szCs w:val="24"/>
        </w:rPr>
        <w:t>, vol. 14, no. 12, 2015.</w:t>
      </w:r>
    </w:p>
    <w:p w14:paraId="044C77E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[193]</w:t>
      </w:r>
      <w:r w:rsidRPr="007D10CD">
        <w:rPr>
          <w:rFonts w:ascii="Times New Roman" w:hAnsi="Times New Roman" w:cs="Times New Roman"/>
          <w:noProof/>
          <w:sz w:val="24"/>
          <w:szCs w:val="24"/>
        </w:rPr>
        <w:tab/>
        <w:t xml:space="preserve">S. Y. Reda, “Evaluation of antioxidants stability by thermal analysis and its protective effect in heated edible vegetable oil,” </w:t>
      </w:r>
      <w:r w:rsidRPr="007D10CD">
        <w:rPr>
          <w:rFonts w:ascii="Times New Roman" w:hAnsi="Times New Roman" w:cs="Times New Roman"/>
          <w:i/>
          <w:iCs/>
          <w:noProof/>
          <w:sz w:val="24"/>
          <w:szCs w:val="24"/>
        </w:rPr>
        <w:t>Ciência e Tecnol. Aliment.</w:t>
      </w:r>
      <w:r w:rsidRPr="007D10CD">
        <w:rPr>
          <w:rFonts w:ascii="Times New Roman" w:hAnsi="Times New Roman" w:cs="Times New Roman"/>
          <w:noProof/>
          <w:sz w:val="24"/>
          <w:szCs w:val="24"/>
        </w:rPr>
        <w:t>, vol. 31, no. 2, pp. 475–480, 2011.</w:t>
      </w:r>
    </w:p>
    <w:p w14:paraId="04A092F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[194]</w:t>
      </w:r>
      <w:r w:rsidRPr="007D10CD">
        <w:rPr>
          <w:rFonts w:ascii="Times New Roman" w:hAnsi="Times New Roman" w:cs="Times New Roman"/>
          <w:noProof/>
          <w:sz w:val="24"/>
          <w:szCs w:val="24"/>
        </w:rPr>
        <w:tab/>
        <w:t xml:space="preserve">C. M. C. Pereira, M. Herrero, F. M. Labajos, A. T. Marques, and V. Rives, “Preparation and properties of new flame retardant unsaturated polyester nanocomposites based on layered double hydroxides,” </w:t>
      </w:r>
      <w:r w:rsidRPr="007D10CD">
        <w:rPr>
          <w:rFonts w:ascii="Times New Roman" w:hAnsi="Times New Roman" w:cs="Times New Roman"/>
          <w:i/>
          <w:iCs/>
          <w:noProof/>
          <w:sz w:val="24"/>
          <w:szCs w:val="24"/>
        </w:rPr>
        <w:t>Polym. Degrad. Stab.</w:t>
      </w:r>
      <w:r w:rsidRPr="007D10CD">
        <w:rPr>
          <w:rFonts w:ascii="Times New Roman" w:hAnsi="Times New Roman" w:cs="Times New Roman"/>
          <w:noProof/>
          <w:sz w:val="24"/>
          <w:szCs w:val="24"/>
        </w:rPr>
        <w:t>, vol. 94, no. 6, pp. 939–946, 2009.</w:t>
      </w:r>
    </w:p>
    <w:p w14:paraId="1F33C4F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[195]</w:t>
      </w:r>
      <w:r w:rsidRPr="007D10CD">
        <w:rPr>
          <w:rFonts w:ascii="Times New Roman" w:hAnsi="Times New Roman" w:cs="Times New Roman"/>
          <w:noProof/>
          <w:sz w:val="24"/>
          <w:szCs w:val="24"/>
        </w:rPr>
        <w:tab/>
        <w:t xml:space="preserve">N. Delahaye, S. Marais, J. M. Saiter, and M. Metayer, “Characterization of unsaturated polyester resin cured with styrene,” </w:t>
      </w:r>
      <w:r w:rsidRPr="007D10CD">
        <w:rPr>
          <w:rFonts w:ascii="Times New Roman" w:hAnsi="Times New Roman" w:cs="Times New Roman"/>
          <w:i/>
          <w:iCs/>
          <w:noProof/>
          <w:sz w:val="24"/>
          <w:szCs w:val="24"/>
        </w:rPr>
        <w:t>J. Appl. Polym. Sci.</w:t>
      </w:r>
      <w:r w:rsidRPr="007D10CD">
        <w:rPr>
          <w:rFonts w:ascii="Times New Roman" w:hAnsi="Times New Roman" w:cs="Times New Roman"/>
          <w:noProof/>
          <w:sz w:val="24"/>
          <w:szCs w:val="24"/>
        </w:rPr>
        <w:t>, vol. 67, pp. 695–703, 1998.</w:t>
      </w:r>
    </w:p>
    <w:p w14:paraId="2018BF8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[196]</w:t>
      </w:r>
      <w:r w:rsidRPr="007D10CD">
        <w:rPr>
          <w:rFonts w:ascii="Times New Roman" w:hAnsi="Times New Roman" w:cs="Times New Roman"/>
          <w:noProof/>
          <w:sz w:val="24"/>
          <w:szCs w:val="24"/>
        </w:rPr>
        <w:tab/>
        <w:t xml:space="preserve">C. Bora, P. Bharali, S. Baglari, S. K. Dolui, and B. K. Konwar, “Strong and conductive reduced graphene oxide/polyester resin composite films with improved mechanical strength, thermal stability and its antibacterial activity,”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87, pp. 1–7, 2013.</w:t>
      </w:r>
    </w:p>
    <w:p w14:paraId="7079736A"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[197]</w:t>
      </w:r>
      <w:r w:rsidRPr="007D10CD">
        <w:rPr>
          <w:rFonts w:ascii="Times New Roman" w:hAnsi="Times New Roman" w:cs="Times New Roman"/>
          <w:noProof/>
          <w:sz w:val="24"/>
          <w:szCs w:val="24"/>
        </w:rPr>
        <w:tab/>
        <w:t xml:space="preserve">D. D. L. Chung, “Review Electrical applications of carbon materials,” </w:t>
      </w:r>
      <w:r w:rsidRPr="007D10CD">
        <w:rPr>
          <w:rFonts w:ascii="Times New Roman" w:hAnsi="Times New Roman" w:cs="Times New Roman"/>
          <w:i/>
          <w:iCs/>
          <w:noProof/>
          <w:sz w:val="24"/>
          <w:szCs w:val="24"/>
        </w:rPr>
        <w:t>J. Mater. Sci.</w:t>
      </w:r>
      <w:r w:rsidRPr="007D10CD">
        <w:rPr>
          <w:rFonts w:ascii="Times New Roman" w:hAnsi="Times New Roman" w:cs="Times New Roman"/>
          <w:noProof/>
          <w:sz w:val="24"/>
          <w:szCs w:val="24"/>
        </w:rPr>
        <w:t>, vol. 39, no. 8, pp. 2645–2661, 2004.</w:t>
      </w:r>
    </w:p>
    <w:p w14:paraId="7E4D989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[198]</w:t>
      </w:r>
      <w:r w:rsidRPr="007D10CD">
        <w:rPr>
          <w:rFonts w:ascii="Times New Roman" w:hAnsi="Times New Roman" w:cs="Times New Roman"/>
          <w:noProof/>
          <w:sz w:val="24"/>
          <w:szCs w:val="24"/>
        </w:rPr>
        <w:tab/>
        <w:t xml:space="preserve">A. B. Kaiser, “Electronic transport properties of conducting polymers and carbon nanotubes,” </w:t>
      </w:r>
      <w:r w:rsidRPr="007D10CD">
        <w:rPr>
          <w:rFonts w:ascii="Times New Roman" w:hAnsi="Times New Roman" w:cs="Times New Roman"/>
          <w:i/>
          <w:iCs/>
          <w:noProof/>
          <w:sz w:val="24"/>
          <w:szCs w:val="24"/>
        </w:rPr>
        <w:t>Reports Prog. Phys.</w:t>
      </w:r>
      <w:r w:rsidRPr="007D10CD">
        <w:rPr>
          <w:rFonts w:ascii="Times New Roman" w:hAnsi="Times New Roman" w:cs="Times New Roman"/>
          <w:noProof/>
          <w:sz w:val="24"/>
          <w:szCs w:val="24"/>
        </w:rPr>
        <w:t>, vol. 64, pp. 1–49, 2001.</w:t>
      </w:r>
    </w:p>
    <w:p w14:paraId="01E51A5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[199]</w:t>
      </w:r>
      <w:r w:rsidRPr="007D10CD">
        <w:rPr>
          <w:rFonts w:ascii="Times New Roman" w:hAnsi="Times New Roman" w:cs="Times New Roman"/>
          <w:noProof/>
          <w:sz w:val="24"/>
          <w:szCs w:val="24"/>
        </w:rPr>
        <w:tab/>
        <w:t xml:space="preserve">S.-Y. Yang, C.-C. M. Ma, C.-C. Teng, Y.-W. Huang, S.-H. Liao, Y.-L. Huang, H.-W. Tien, T.-M. Lee, and K.-C. Chiou, “Effect of functionalized carbon nanotubes on the thermal conductivity of epoxy composites,”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48, no. 3, pp. 592–603, 2010.</w:t>
      </w:r>
    </w:p>
    <w:p w14:paraId="4D30BBA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[200]</w:t>
      </w:r>
      <w:r w:rsidRPr="007D10CD">
        <w:rPr>
          <w:rFonts w:ascii="Times New Roman" w:hAnsi="Times New Roman" w:cs="Times New Roman"/>
          <w:noProof/>
          <w:sz w:val="24"/>
          <w:szCs w:val="24"/>
        </w:rPr>
        <w:tab/>
        <w:t xml:space="preserve">S. Y. Yang, W. N. Lin, Y. L. Huang, H. W. Tien, J. Y. Wang, C. C. M. Ma, S. M. Li, and Y. S. Wang, “Synergetic effects of graphene platelets and carbon nanotubes on the mechanical and thermal properties of epoxy composites,”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49, no. 3, pp. 793–803, 2011.</w:t>
      </w:r>
    </w:p>
    <w:p w14:paraId="619B97B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[201]</w:t>
      </w:r>
      <w:r w:rsidRPr="007D10CD">
        <w:rPr>
          <w:rFonts w:ascii="Times New Roman" w:hAnsi="Times New Roman" w:cs="Times New Roman"/>
          <w:noProof/>
          <w:sz w:val="24"/>
          <w:szCs w:val="24"/>
        </w:rPr>
        <w:tab/>
        <w:t xml:space="preserve">C. Lin and D. D. L. Chung, “Graphite nanoplatelet pastes vs. carbon black pastes as thermal interface materials,”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47, no. 1, pp. 295–305, 2009.</w:t>
      </w:r>
    </w:p>
    <w:p w14:paraId="2917174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[202]</w:t>
      </w:r>
      <w:r w:rsidRPr="007D10CD">
        <w:rPr>
          <w:rFonts w:ascii="Times New Roman" w:hAnsi="Times New Roman" w:cs="Times New Roman"/>
          <w:noProof/>
          <w:sz w:val="24"/>
          <w:szCs w:val="24"/>
        </w:rPr>
        <w:tab/>
        <w:t xml:space="preserve">M.-T. Le and S.-C. Huang, “Thermal and Mechanical Behavior of Hybrid Polymer Nanocomposite Reinforced with Graphene Nanoplatelets,” </w:t>
      </w:r>
      <w:r w:rsidRPr="007D10CD">
        <w:rPr>
          <w:rFonts w:ascii="Times New Roman" w:hAnsi="Times New Roman" w:cs="Times New Roman"/>
          <w:i/>
          <w:iCs/>
          <w:noProof/>
          <w:sz w:val="24"/>
          <w:szCs w:val="24"/>
        </w:rPr>
        <w:t>Materials (Basel).</w:t>
      </w:r>
      <w:r w:rsidRPr="007D10CD">
        <w:rPr>
          <w:rFonts w:ascii="Times New Roman" w:hAnsi="Times New Roman" w:cs="Times New Roman"/>
          <w:noProof/>
          <w:sz w:val="24"/>
          <w:szCs w:val="24"/>
        </w:rPr>
        <w:t>, vol. 8, pp. 5526–5536, 2015.</w:t>
      </w:r>
    </w:p>
    <w:p w14:paraId="75E3C3B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[203]</w:t>
      </w:r>
      <w:r w:rsidRPr="007D10CD">
        <w:rPr>
          <w:rFonts w:ascii="Times New Roman" w:hAnsi="Times New Roman" w:cs="Times New Roman"/>
          <w:noProof/>
          <w:sz w:val="24"/>
          <w:szCs w:val="24"/>
        </w:rPr>
        <w:tab/>
        <w:t xml:space="preserve">V. Mittal, Ed., </w:t>
      </w:r>
      <w:r w:rsidRPr="007D10CD">
        <w:rPr>
          <w:rFonts w:ascii="Times New Roman" w:hAnsi="Times New Roman" w:cs="Times New Roman"/>
          <w:i/>
          <w:iCs/>
          <w:noProof/>
          <w:sz w:val="24"/>
          <w:szCs w:val="24"/>
        </w:rPr>
        <w:t>Modeling and prediction of polymer nanocomposite properties</w:t>
      </w:r>
      <w:r w:rsidRPr="007D10CD">
        <w:rPr>
          <w:rFonts w:ascii="Times New Roman" w:hAnsi="Times New Roman" w:cs="Times New Roman"/>
          <w:noProof/>
          <w:sz w:val="24"/>
          <w:szCs w:val="24"/>
        </w:rPr>
        <w:t>. The petroleum institute chemical engineering department, 2010.</w:t>
      </w:r>
    </w:p>
    <w:p w14:paraId="3DD76E8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[204]</w:t>
      </w:r>
      <w:r w:rsidRPr="007D10CD">
        <w:rPr>
          <w:rFonts w:ascii="Times New Roman" w:hAnsi="Times New Roman" w:cs="Times New Roman"/>
          <w:noProof/>
          <w:sz w:val="24"/>
          <w:szCs w:val="24"/>
        </w:rPr>
        <w:tab/>
        <w:t xml:space="preserve">M. Monti, D. Puglia, M. Natali, L. Torre, and J. M. Kenny, “Effect of carbon nanofibers on the cure kinetics of unsaturated polyester resin: Thermal and chemorheological modelling,”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71, no. 12, pp. 1507–1516, 2011.</w:t>
      </w:r>
    </w:p>
    <w:p w14:paraId="0CB7725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[205]</w:t>
      </w:r>
      <w:r w:rsidRPr="007D10CD">
        <w:rPr>
          <w:rFonts w:ascii="Times New Roman" w:hAnsi="Times New Roman" w:cs="Times New Roman"/>
          <w:noProof/>
          <w:sz w:val="24"/>
          <w:szCs w:val="24"/>
        </w:rPr>
        <w:tab/>
        <w:t xml:space="preserve">D. J. Suh, Y. T. Lim, and O. O. Park, “The property and formation mechanism of unsaturated polyester-layered silicate nanocomposite depending on the fabrication methods,” </w:t>
      </w:r>
      <w:r w:rsidRPr="007D10CD">
        <w:rPr>
          <w:rFonts w:ascii="Times New Roman" w:hAnsi="Times New Roman" w:cs="Times New Roman"/>
          <w:i/>
          <w:iCs/>
          <w:noProof/>
          <w:sz w:val="24"/>
          <w:szCs w:val="24"/>
        </w:rPr>
        <w:t>Polymer (Guildf).</w:t>
      </w:r>
      <w:r w:rsidRPr="007D10CD">
        <w:rPr>
          <w:rFonts w:ascii="Times New Roman" w:hAnsi="Times New Roman" w:cs="Times New Roman"/>
          <w:noProof/>
          <w:sz w:val="24"/>
          <w:szCs w:val="24"/>
        </w:rPr>
        <w:t>, vol. 41, no. 24, pp. 8557–8563, 2000.</w:t>
      </w:r>
    </w:p>
    <w:p w14:paraId="74A9D914"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[206]</w:t>
      </w:r>
      <w:r w:rsidRPr="007D10CD">
        <w:rPr>
          <w:rFonts w:ascii="Times New Roman" w:hAnsi="Times New Roman" w:cs="Times New Roman"/>
          <w:noProof/>
          <w:sz w:val="24"/>
          <w:szCs w:val="24"/>
        </w:rPr>
        <w:tab/>
        <w:t xml:space="preserve">K. Shibayama and Y. Suzuki, “Effect of crosslinking density on the viscoelastic properties of unsaturated polyesters,” </w:t>
      </w:r>
      <w:r w:rsidRPr="007D10CD">
        <w:rPr>
          <w:rFonts w:ascii="Times New Roman" w:hAnsi="Times New Roman" w:cs="Times New Roman"/>
          <w:i/>
          <w:iCs/>
          <w:noProof/>
          <w:sz w:val="24"/>
          <w:szCs w:val="24"/>
        </w:rPr>
        <w:t>J. Polym. Sci. Part A …</w:t>
      </w:r>
      <w:r w:rsidRPr="007D10CD">
        <w:rPr>
          <w:rFonts w:ascii="Times New Roman" w:hAnsi="Times New Roman" w:cs="Times New Roman"/>
          <w:noProof/>
          <w:sz w:val="24"/>
          <w:szCs w:val="24"/>
        </w:rPr>
        <w:t>, vol. 3, pp. 2637–2651, 1965.</w:t>
      </w:r>
    </w:p>
    <w:p w14:paraId="32F9C8E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[207]</w:t>
      </w:r>
      <w:r w:rsidRPr="007D10CD">
        <w:rPr>
          <w:rFonts w:ascii="Times New Roman" w:hAnsi="Times New Roman" w:cs="Times New Roman"/>
          <w:noProof/>
          <w:sz w:val="24"/>
          <w:szCs w:val="24"/>
        </w:rPr>
        <w:tab/>
        <w:t xml:space="preserve">E. M. Pearce, “principles of polymerization,” </w:t>
      </w:r>
      <w:r w:rsidRPr="007D10CD">
        <w:rPr>
          <w:rFonts w:ascii="Times New Roman" w:hAnsi="Times New Roman" w:cs="Times New Roman"/>
          <w:i/>
          <w:iCs/>
          <w:noProof/>
          <w:sz w:val="24"/>
          <w:szCs w:val="24"/>
        </w:rPr>
        <w:t>J. Polym. Sci. part A Polym. Chem.</w:t>
      </w:r>
      <w:r w:rsidRPr="007D10CD">
        <w:rPr>
          <w:rFonts w:ascii="Times New Roman" w:hAnsi="Times New Roman" w:cs="Times New Roman"/>
          <w:noProof/>
          <w:sz w:val="24"/>
          <w:szCs w:val="24"/>
        </w:rPr>
        <w:t>, vol. 30, no. 7, p. 1508, 1992.</w:t>
      </w:r>
    </w:p>
    <w:p w14:paraId="339E2542"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[208]</w:t>
      </w:r>
      <w:r w:rsidRPr="007D10CD">
        <w:rPr>
          <w:rFonts w:ascii="Times New Roman" w:hAnsi="Times New Roman" w:cs="Times New Roman"/>
          <w:noProof/>
          <w:sz w:val="24"/>
          <w:szCs w:val="24"/>
        </w:rPr>
        <w:tab/>
        <w:t xml:space="preserve">G. Gunduz, “Mechanical Properties of Unsaturated Polyester-Isocyanate Hybrid Polymer Network and Its E-Glass Fiber-reinforced Composite,” </w:t>
      </w:r>
      <w:r w:rsidRPr="007D10CD">
        <w:rPr>
          <w:rFonts w:ascii="Times New Roman" w:hAnsi="Times New Roman" w:cs="Times New Roman"/>
          <w:i/>
          <w:iCs/>
          <w:noProof/>
          <w:sz w:val="24"/>
          <w:szCs w:val="24"/>
        </w:rPr>
        <w:t>J. Compos. Mater.</w:t>
      </w:r>
      <w:r w:rsidRPr="007D10CD">
        <w:rPr>
          <w:rFonts w:ascii="Times New Roman" w:hAnsi="Times New Roman" w:cs="Times New Roman"/>
          <w:noProof/>
          <w:sz w:val="24"/>
          <w:szCs w:val="24"/>
        </w:rPr>
        <w:t>, vol. 39, no. 17, pp. 1577–1589, 2005.</w:t>
      </w:r>
    </w:p>
    <w:p w14:paraId="550823C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[209]</w:t>
      </w:r>
      <w:r w:rsidRPr="007D10CD">
        <w:rPr>
          <w:rFonts w:ascii="Times New Roman" w:hAnsi="Times New Roman" w:cs="Times New Roman"/>
          <w:noProof/>
          <w:sz w:val="24"/>
          <w:szCs w:val="24"/>
        </w:rPr>
        <w:tab/>
        <w:t xml:space="preserve">D. W. Clegg, </w:t>
      </w:r>
      <w:r w:rsidRPr="007D10CD">
        <w:rPr>
          <w:rFonts w:ascii="Times New Roman" w:hAnsi="Times New Roman" w:cs="Times New Roman"/>
          <w:i/>
          <w:iCs/>
          <w:noProof/>
          <w:sz w:val="24"/>
          <w:szCs w:val="24"/>
        </w:rPr>
        <w:t>The structure and properties of polymeric materials</w:t>
      </w:r>
      <w:r w:rsidRPr="007D10CD">
        <w:rPr>
          <w:rFonts w:ascii="Times New Roman" w:hAnsi="Times New Roman" w:cs="Times New Roman"/>
          <w:noProof/>
          <w:sz w:val="24"/>
          <w:szCs w:val="24"/>
        </w:rPr>
        <w:t>. The Bourne Press, London, 1993.</w:t>
      </w:r>
    </w:p>
    <w:p w14:paraId="34524C9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[210]</w:t>
      </w:r>
      <w:r w:rsidRPr="007D10CD">
        <w:rPr>
          <w:rFonts w:ascii="Times New Roman" w:hAnsi="Times New Roman" w:cs="Times New Roman"/>
          <w:noProof/>
          <w:sz w:val="24"/>
          <w:szCs w:val="24"/>
        </w:rPr>
        <w:tab/>
        <w:t xml:space="preserve">N. E. Marcovich, M. M. Reboredo, and M. I. Aranguren, “Mechanical properties of woodflour unsaturated polyester composites,” </w:t>
      </w:r>
      <w:r w:rsidRPr="007D10CD">
        <w:rPr>
          <w:rFonts w:ascii="Times New Roman" w:hAnsi="Times New Roman" w:cs="Times New Roman"/>
          <w:i/>
          <w:iCs/>
          <w:noProof/>
          <w:sz w:val="24"/>
          <w:szCs w:val="24"/>
        </w:rPr>
        <w:t>J. Appl. Polym. Sci.</w:t>
      </w:r>
      <w:r w:rsidRPr="007D10CD">
        <w:rPr>
          <w:rFonts w:ascii="Times New Roman" w:hAnsi="Times New Roman" w:cs="Times New Roman"/>
          <w:noProof/>
          <w:sz w:val="24"/>
          <w:szCs w:val="24"/>
        </w:rPr>
        <w:t>, vol. 70, no. 11, pp. 2121–2131, 1998.</w:t>
      </w:r>
    </w:p>
    <w:p w14:paraId="5451CE0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[211]</w:t>
      </w:r>
      <w:r w:rsidRPr="007D10CD">
        <w:rPr>
          <w:rFonts w:ascii="Times New Roman" w:hAnsi="Times New Roman" w:cs="Times New Roman"/>
          <w:noProof/>
          <w:sz w:val="24"/>
          <w:szCs w:val="24"/>
        </w:rPr>
        <w:tab/>
        <w:t xml:space="preserve">A. LALY, O. ZACHARIAH, and S. THOMAS, “Dynamic mechanical analysis of banana fiber reinforced polyester composites,”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63, pp. 283–293, 2003.</w:t>
      </w:r>
    </w:p>
    <w:p w14:paraId="615A5FE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[212]</w:t>
      </w:r>
      <w:r w:rsidRPr="007D10CD">
        <w:rPr>
          <w:rFonts w:ascii="Times New Roman" w:hAnsi="Times New Roman" w:cs="Times New Roman"/>
          <w:noProof/>
          <w:sz w:val="24"/>
          <w:szCs w:val="24"/>
        </w:rPr>
        <w:tab/>
        <w:t xml:space="preserve">Y. Wang, J. Yu, W. Dai, D. Wang, Y. Song, H. Bai, X. Zhou, C. Li, C.-T. Lin, and N. Jiang, “Epoxy composites filled with one-dimensional SiC nanowires–two-dimensional graphene nanoplatelets hybrid nanofillers,” </w:t>
      </w:r>
      <w:r w:rsidRPr="007D10CD">
        <w:rPr>
          <w:rFonts w:ascii="Times New Roman" w:hAnsi="Times New Roman" w:cs="Times New Roman"/>
          <w:i/>
          <w:iCs/>
          <w:noProof/>
          <w:sz w:val="24"/>
          <w:szCs w:val="24"/>
        </w:rPr>
        <w:t>RSC Adv.</w:t>
      </w:r>
      <w:r w:rsidRPr="007D10CD">
        <w:rPr>
          <w:rFonts w:ascii="Times New Roman" w:hAnsi="Times New Roman" w:cs="Times New Roman"/>
          <w:noProof/>
          <w:sz w:val="24"/>
          <w:szCs w:val="24"/>
        </w:rPr>
        <w:t>, vol. 4, no. 103, pp. 59409–59417, 2014.</w:t>
      </w:r>
    </w:p>
    <w:p w14:paraId="631CF31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[213]</w:t>
      </w:r>
      <w:r w:rsidRPr="007D10CD">
        <w:rPr>
          <w:rFonts w:ascii="Times New Roman" w:hAnsi="Times New Roman" w:cs="Times New Roman"/>
          <w:noProof/>
          <w:sz w:val="24"/>
          <w:szCs w:val="24"/>
        </w:rPr>
        <w:tab/>
        <w:t xml:space="preserve">S. Lu, S. Li, J. Yu, Z. Yuan, and B. Qi, “Epoxy nanocomposites filled with thermotropic liquid crystalline epoxy grafted graphene oxide,” </w:t>
      </w:r>
      <w:r w:rsidRPr="007D10CD">
        <w:rPr>
          <w:rFonts w:ascii="Times New Roman" w:hAnsi="Times New Roman" w:cs="Times New Roman"/>
          <w:i/>
          <w:iCs/>
          <w:noProof/>
          <w:sz w:val="24"/>
          <w:szCs w:val="24"/>
        </w:rPr>
        <w:t>RSC Adv.</w:t>
      </w:r>
      <w:r w:rsidRPr="007D10CD">
        <w:rPr>
          <w:rFonts w:ascii="Times New Roman" w:hAnsi="Times New Roman" w:cs="Times New Roman"/>
          <w:noProof/>
          <w:sz w:val="24"/>
          <w:szCs w:val="24"/>
        </w:rPr>
        <w:t>, vol. 3, no. 23, p. 8915, 2013.</w:t>
      </w:r>
    </w:p>
    <w:p w14:paraId="68A65D3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[214]</w:t>
      </w:r>
      <w:r w:rsidRPr="007D10CD">
        <w:rPr>
          <w:rFonts w:ascii="Times New Roman" w:hAnsi="Times New Roman" w:cs="Times New Roman"/>
          <w:noProof/>
          <w:sz w:val="24"/>
          <w:szCs w:val="24"/>
        </w:rPr>
        <w:tab/>
        <w:t xml:space="preserve">Y. Guo, C. Bao, L. Song, B. Yuan, and Y. Hu, “In situ polymerization of graphene, graphite oxide, and functionalized graphite oxide into epoxy resin and comparison study of on-the-flame behavior,” </w:t>
      </w:r>
      <w:r w:rsidRPr="007D10CD">
        <w:rPr>
          <w:rFonts w:ascii="Times New Roman" w:hAnsi="Times New Roman" w:cs="Times New Roman"/>
          <w:i/>
          <w:iCs/>
          <w:noProof/>
          <w:sz w:val="24"/>
          <w:szCs w:val="24"/>
        </w:rPr>
        <w:t>Ind. Eng. Chem. Res.</w:t>
      </w:r>
      <w:r w:rsidRPr="007D10CD">
        <w:rPr>
          <w:rFonts w:ascii="Times New Roman" w:hAnsi="Times New Roman" w:cs="Times New Roman"/>
          <w:noProof/>
          <w:sz w:val="24"/>
          <w:szCs w:val="24"/>
        </w:rPr>
        <w:t>, vol. 50, no. 13, pp. 7772–7783, 2011.</w:t>
      </w:r>
    </w:p>
    <w:p w14:paraId="515413F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[215]</w:t>
      </w:r>
      <w:r w:rsidRPr="007D10CD">
        <w:rPr>
          <w:rFonts w:ascii="Times New Roman" w:hAnsi="Times New Roman" w:cs="Times New Roman"/>
          <w:noProof/>
          <w:sz w:val="24"/>
          <w:szCs w:val="24"/>
        </w:rPr>
        <w:tab/>
        <w:t>G. Chen, W. Weng, D. Wu, and C. Wu, “PMMA / graphite nanosheets composite and its conducting properties,” vol. 39, pp. 2329–2335, 2003.</w:t>
      </w:r>
    </w:p>
    <w:p w14:paraId="218E37D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[216]</w:t>
      </w:r>
      <w:r w:rsidRPr="007D10CD">
        <w:rPr>
          <w:rFonts w:ascii="Times New Roman" w:hAnsi="Times New Roman" w:cs="Times New Roman"/>
          <w:noProof/>
          <w:sz w:val="24"/>
          <w:szCs w:val="24"/>
        </w:rPr>
        <w:tab/>
        <w:t xml:space="preserve">H. Hu, X. Wang, J. Wang, L. Wan, F. Liu, H. Zheng, R. Chen, and C. Xu, “Preparation and properties of graphene nanosheets-polystyrene nanocomposites via in situ emulsion polymerization,” </w:t>
      </w:r>
      <w:r w:rsidRPr="007D10CD">
        <w:rPr>
          <w:rFonts w:ascii="Times New Roman" w:hAnsi="Times New Roman" w:cs="Times New Roman"/>
          <w:i/>
          <w:iCs/>
          <w:noProof/>
          <w:sz w:val="24"/>
          <w:szCs w:val="24"/>
        </w:rPr>
        <w:t>Chem. Phys. Lett.</w:t>
      </w:r>
      <w:r w:rsidRPr="007D10CD">
        <w:rPr>
          <w:rFonts w:ascii="Times New Roman" w:hAnsi="Times New Roman" w:cs="Times New Roman"/>
          <w:noProof/>
          <w:sz w:val="24"/>
          <w:szCs w:val="24"/>
        </w:rPr>
        <w:t>, vol. 484, no. 4–6, pp. 247–253, 2010.</w:t>
      </w:r>
    </w:p>
    <w:p w14:paraId="6801999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[217]</w:t>
      </w:r>
      <w:r w:rsidRPr="007D10CD">
        <w:rPr>
          <w:rFonts w:ascii="Times New Roman" w:hAnsi="Times New Roman" w:cs="Times New Roman"/>
          <w:noProof/>
          <w:sz w:val="24"/>
          <w:szCs w:val="24"/>
        </w:rPr>
        <w:tab/>
        <w:t xml:space="preserve">A. S. Patole, S. P. Patole, H. Kang, J. B. Yoo, T. H. Kim, and J. H. Ahn, “A facile approach to the fabrication of graphene/polystyrene nanocomposite by in situ microemulsion polymerization,” </w:t>
      </w:r>
      <w:r w:rsidRPr="007D10CD">
        <w:rPr>
          <w:rFonts w:ascii="Times New Roman" w:hAnsi="Times New Roman" w:cs="Times New Roman"/>
          <w:i/>
          <w:iCs/>
          <w:noProof/>
          <w:sz w:val="24"/>
          <w:szCs w:val="24"/>
        </w:rPr>
        <w:t>J. Colloid Interface Sci.</w:t>
      </w:r>
      <w:r w:rsidRPr="007D10CD">
        <w:rPr>
          <w:rFonts w:ascii="Times New Roman" w:hAnsi="Times New Roman" w:cs="Times New Roman"/>
          <w:noProof/>
          <w:sz w:val="24"/>
          <w:szCs w:val="24"/>
        </w:rPr>
        <w:t>, vol. 350, no. 2, pp. 530–537, 2010.</w:t>
      </w:r>
    </w:p>
    <w:p w14:paraId="206DDED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[218]</w:t>
      </w:r>
      <w:r w:rsidRPr="007D10CD">
        <w:rPr>
          <w:rFonts w:ascii="Times New Roman" w:hAnsi="Times New Roman" w:cs="Times New Roman"/>
          <w:noProof/>
          <w:sz w:val="24"/>
          <w:szCs w:val="24"/>
        </w:rPr>
        <w:tab/>
        <w:t xml:space="preserve">Y. Huang, Y. Qin, Y. Zhou, H. Niu, Z. Z. Yu, and J. Y. Dong, “Polypropylene/graphene oxide nanocomposites prepared by in situ ziegler-natta polymerization,” </w:t>
      </w:r>
      <w:r w:rsidRPr="007D10CD">
        <w:rPr>
          <w:rFonts w:ascii="Times New Roman" w:hAnsi="Times New Roman" w:cs="Times New Roman"/>
          <w:i/>
          <w:iCs/>
          <w:noProof/>
          <w:sz w:val="24"/>
          <w:szCs w:val="24"/>
        </w:rPr>
        <w:t>Chem. Mater.</w:t>
      </w:r>
      <w:r w:rsidRPr="007D10CD">
        <w:rPr>
          <w:rFonts w:ascii="Times New Roman" w:hAnsi="Times New Roman" w:cs="Times New Roman"/>
          <w:noProof/>
          <w:sz w:val="24"/>
          <w:szCs w:val="24"/>
        </w:rPr>
        <w:t>, vol. 22, no. 13, pp. 4096–4102, 2010.</w:t>
      </w:r>
    </w:p>
    <w:p w14:paraId="320AC5A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[219]</w:t>
      </w:r>
      <w:r w:rsidRPr="007D10CD">
        <w:rPr>
          <w:rFonts w:ascii="Times New Roman" w:hAnsi="Times New Roman" w:cs="Times New Roman"/>
          <w:noProof/>
          <w:sz w:val="24"/>
          <w:szCs w:val="24"/>
        </w:rPr>
        <w:tab/>
        <w:t xml:space="preserve">K. Liu, L. Chen, Y. Chen, J. Wu, W. Zhang, F. Chen, and Q. Fu, “Preparation of polyester/reduced graphene oxide composites via in situ melt polycondensation and simultaneous thermo-reduction of graphene oxide,”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21, no. 24, pp. 8612–8617, 2011.</w:t>
      </w:r>
    </w:p>
    <w:p w14:paraId="624D98E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[220]</w:t>
      </w:r>
      <w:r w:rsidRPr="007D10CD">
        <w:rPr>
          <w:rFonts w:ascii="Times New Roman" w:hAnsi="Times New Roman" w:cs="Times New Roman"/>
          <w:noProof/>
          <w:sz w:val="24"/>
          <w:szCs w:val="24"/>
        </w:rPr>
        <w:tab/>
        <w:t xml:space="preserve">G. B. Olowojoba, S. Eslava, E. S. Gutierrez, A. J. Kinloch, C. Mattevi, V. G. Rocha, and A. C. Taylor, “In situ thermally reduced graphene oxide/epoxy composites: thermal and mechanical properties,” </w:t>
      </w:r>
      <w:r w:rsidRPr="007D10CD">
        <w:rPr>
          <w:rFonts w:ascii="Times New Roman" w:hAnsi="Times New Roman" w:cs="Times New Roman"/>
          <w:i/>
          <w:iCs/>
          <w:noProof/>
          <w:sz w:val="24"/>
          <w:szCs w:val="24"/>
        </w:rPr>
        <w:t>Appl. Nanosci.</w:t>
      </w:r>
      <w:r w:rsidRPr="007D10CD">
        <w:rPr>
          <w:rFonts w:ascii="Times New Roman" w:hAnsi="Times New Roman" w:cs="Times New Roman"/>
          <w:noProof/>
          <w:sz w:val="24"/>
          <w:szCs w:val="24"/>
        </w:rPr>
        <w:t>, vol. 6, no. 7, pp. 1015–1022, 2016.</w:t>
      </w:r>
    </w:p>
    <w:p w14:paraId="55F055D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[221]</w:t>
      </w:r>
      <w:r w:rsidRPr="007D10CD">
        <w:rPr>
          <w:rFonts w:ascii="Times New Roman" w:hAnsi="Times New Roman" w:cs="Times New Roman"/>
          <w:noProof/>
          <w:sz w:val="24"/>
          <w:szCs w:val="24"/>
        </w:rPr>
        <w:tab/>
        <w:t xml:space="preserve">Z. Xu and C. Gao, “In situ polymerization approach to graphene-reinforced nylon-6 composites,”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43, no. 16, pp. 6716–6723, 2010.</w:t>
      </w:r>
    </w:p>
    <w:p w14:paraId="001B387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[222]</w:t>
      </w:r>
      <w:r w:rsidRPr="007D10CD">
        <w:rPr>
          <w:rFonts w:ascii="Times New Roman" w:hAnsi="Times New Roman" w:cs="Times New Roman"/>
          <w:noProof/>
          <w:sz w:val="24"/>
          <w:szCs w:val="24"/>
        </w:rPr>
        <w:tab/>
        <w:t xml:space="preserve">J. Zhang, H. Yang, G. Shen, P. Cheng, J. Zhang, and S. Guo, “Reduction of graphene oxide via L-ascorbic acid,” </w:t>
      </w:r>
      <w:r w:rsidRPr="007D10CD">
        <w:rPr>
          <w:rFonts w:ascii="Times New Roman" w:hAnsi="Times New Roman" w:cs="Times New Roman"/>
          <w:i/>
          <w:iCs/>
          <w:noProof/>
          <w:sz w:val="24"/>
          <w:szCs w:val="24"/>
        </w:rPr>
        <w:t>Chem. Commun.</w:t>
      </w:r>
      <w:r w:rsidRPr="007D10CD">
        <w:rPr>
          <w:rFonts w:ascii="Times New Roman" w:hAnsi="Times New Roman" w:cs="Times New Roman"/>
          <w:noProof/>
          <w:sz w:val="24"/>
          <w:szCs w:val="24"/>
        </w:rPr>
        <w:t>, vol. 46, no. 7, pp. 1112–1114, 2010.</w:t>
      </w:r>
    </w:p>
    <w:p w14:paraId="2F50CDC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[223]</w:t>
      </w:r>
      <w:r w:rsidRPr="007D10CD">
        <w:rPr>
          <w:rFonts w:ascii="Times New Roman" w:hAnsi="Times New Roman" w:cs="Times New Roman"/>
          <w:noProof/>
          <w:sz w:val="24"/>
          <w:szCs w:val="24"/>
        </w:rPr>
        <w:tab/>
        <w:t xml:space="preserve">H. Yang and J. Irudayaraj, “Rapid determination of vitamin C by NIR, MIR and FT-Raman techniques,” </w:t>
      </w:r>
      <w:r w:rsidRPr="007D10CD">
        <w:rPr>
          <w:rFonts w:ascii="Times New Roman" w:hAnsi="Times New Roman" w:cs="Times New Roman"/>
          <w:i/>
          <w:iCs/>
          <w:noProof/>
          <w:sz w:val="24"/>
          <w:szCs w:val="24"/>
        </w:rPr>
        <w:t>J. Pharm. Pharmacol.</w:t>
      </w:r>
      <w:r w:rsidRPr="007D10CD">
        <w:rPr>
          <w:rFonts w:ascii="Times New Roman" w:hAnsi="Times New Roman" w:cs="Times New Roman"/>
          <w:noProof/>
          <w:sz w:val="24"/>
          <w:szCs w:val="24"/>
        </w:rPr>
        <w:t>, vol. 54, pp. 1247–1255, 2002.</w:t>
      </w:r>
    </w:p>
    <w:p w14:paraId="49F3CBE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[224]</w:t>
      </w:r>
      <w:r w:rsidRPr="007D10CD">
        <w:rPr>
          <w:rFonts w:ascii="Times New Roman" w:hAnsi="Times New Roman" w:cs="Times New Roman"/>
          <w:noProof/>
          <w:sz w:val="24"/>
          <w:szCs w:val="24"/>
        </w:rPr>
        <w:tab/>
        <w:t xml:space="preserve">R. B. Mohammad Jawaid, Abou el Kacem Qaiss, </w:t>
      </w:r>
      <w:r w:rsidRPr="007D10CD">
        <w:rPr>
          <w:rFonts w:ascii="Times New Roman" w:hAnsi="Times New Roman" w:cs="Times New Roman"/>
          <w:i/>
          <w:iCs/>
          <w:noProof/>
          <w:sz w:val="24"/>
          <w:szCs w:val="24"/>
        </w:rPr>
        <w:t>No Title</w:t>
      </w:r>
      <w:r w:rsidRPr="007D10CD">
        <w:rPr>
          <w:rFonts w:ascii="Times New Roman" w:hAnsi="Times New Roman" w:cs="Times New Roman"/>
          <w:noProof/>
          <w:sz w:val="24"/>
          <w:szCs w:val="24"/>
        </w:rPr>
        <w:t>, Springer. .</w:t>
      </w:r>
    </w:p>
    <w:p w14:paraId="28E30988"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[225]</w:t>
      </w:r>
      <w:r w:rsidRPr="007D10CD">
        <w:rPr>
          <w:rFonts w:ascii="Times New Roman" w:hAnsi="Times New Roman" w:cs="Times New Roman"/>
          <w:noProof/>
          <w:sz w:val="24"/>
          <w:szCs w:val="24"/>
        </w:rPr>
        <w:tab/>
        <w:t xml:space="preserve">M. D. Stoller, S. Park, Y. Zhu, J. An, and R. S. Ruoff, “Graphene-based ultracapacitors,” </w:t>
      </w:r>
      <w:r w:rsidRPr="007D10CD">
        <w:rPr>
          <w:rFonts w:ascii="Times New Roman" w:hAnsi="Times New Roman" w:cs="Times New Roman"/>
          <w:i/>
          <w:iCs/>
          <w:noProof/>
          <w:sz w:val="24"/>
          <w:szCs w:val="24"/>
        </w:rPr>
        <w:t>Nano Lett.</w:t>
      </w:r>
      <w:r w:rsidRPr="007D10CD">
        <w:rPr>
          <w:rFonts w:ascii="Times New Roman" w:hAnsi="Times New Roman" w:cs="Times New Roman"/>
          <w:noProof/>
          <w:sz w:val="24"/>
          <w:szCs w:val="24"/>
        </w:rPr>
        <w:t>, vol. 8, pp. 3498–502, 2008.</w:t>
      </w:r>
    </w:p>
    <w:p w14:paraId="28F1765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[226]</w:t>
      </w:r>
      <w:r w:rsidRPr="007D10CD">
        <w:rPr>
          <w:rFonts w:ascii="Times New Roman" w:hAnsi="Times New Roman" w:cs="Times New Roman"/>
          <w:noProof/>
          <w:sz w:val="24"/>
          <w:szCs w:val="24"/>
        </w:rPr>
        <w:tab/>
        <w:t xml:space="preserve">S. Fernando, S. Adhikari, C. Chandrapal, and N. Murali, “Biorefineries: Current Status, Challenges, and Future Direction,” </w:t>
      </w:r>
      <w:r w:rsidRPr="007D10CD">
        <w:rPr>
          <w:rFonts w:ascii="Times New Roman" w:hAnsi="Times New Roman" w:cs="Times New Roman"/>
          <w:i/>
          <w:iCs/>
          <w:noProof/>
          <w:sz w:val="24"/>
          <w:szCs w:val="24"/>
        </w:rPr>
        <w:t>Energy Fuels</w:t>
      </w:r>
      <w:r w:rsidRPr="007D10CD">
        <w:rPr>
          <w:rFonts w:ascii="Times New Roman" w:hAnsi="Times New Roman" w:cs="Times New Roman"/>
          <w:noProof/>
          <w:sz w:val="24"/>
          <w:szCs w:val="24"/>
        </w:rPr>
        <w:t>, vol. 20, pp. 1727–1737, 2006.</w:t>
      </w:r>
    </w:p>
    <w:p w14:paraId="525653A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[227]</w:t>
      </w:r>
      <w:r w:rsidRPr="007D10CD">
        <w:rPr>
          <w:rFonts w:ascii="Times New Roman" w:hAnsi="Times New Roman" w:cs="Times New Roman"/>
          <w:noProof/>
          <w:sz w:val="24"/>
          <w:szCs w:val="24"/>
        </w:rPr>
        <w:tab/>
        <w:t xml:space="preserve">K. M. Zia, A. Noreen, M. Zuber, S. Tabasum, and M. Mujahid, “Recent developments and future prospects on bio-based polyesters derived from renewable resources: A review,” </w:t>
      </w:r>
      <w:r w:rsidRPr="007D10CD">
        <w:rPr>
          <w:rFonts w:ascii="Times New Roman" w:hAnsi="Times New Roman" w:cs="Times New Roman"/>
          <w:i/>
          <w:iCs/>
          <w:noProof/>
          <w:sz w:val="24"/>
          <w:szCs w:val="24"/>
        </w:rPr>
        <w:t>Int. J. Biol. Macromol.</w:t>
      </w:r>
      <w:r w:rsidRPr="007D10CD">
        <w:rPr>
          <w:rFonts w:ascii="Times New Roman" w:hAnsi="Times New Roman" w:cs="Times New Roman"/>
          <w:noProof/>
          <w:sz w:val="24"/>
          <w:szCs w:val="24"/>
        </w:rPr>
        <w:t>, vol. 82, pp. 1028–1040, 2016.</w:t>
      </w:r>
    </w:p>
    <w:p w14:paraId="54D327C5"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[228]</w:t>
      </w:r>
      <w:r w:rsidRPr="007D10CD">
        <w:rPr>
          <w:rFonts w:ascii="Times New Roman" w:hAnsi="Times New Roman" w:cs="Times New Roman"/>
          <w:noProof/>
          <w:sz w:val="24"/>
          <w:szCs w:val="24"/>
        </w:rPr>
        <w:tab/>
        <w:t xml:space="preserve">S. K. Maity, “Opportunities, recent trends and challenges of integrated biorefinery: Part II,” </w:t>
      </w:r>
      <w:r w:rsidRPr="007D10CD">
        <w:rPr>
          <w:rFonts w:ascii="Times New Roman" w:hAnsi="Times New Roman" w:cs="Times New Roman"/>
          <w:i/>
          <w:iCs/>
          <w:noProof/>
          <w:sz w:val="24"/>
          <w:szCs w:val="24"/>
        </w:rPr>
        <w:t>Renew. Sustain. Energy Rev.</w:t>
      </w:r>
      <w:r w:rsidRPr="007D10CD">
        <w:rPr>
          <w:rFonts w:ascii="Times New Roman" w:hAnsi="Times New Roman" w:cs="Times New Roman"/>
          <w:noProof/>
          <w:sz w:val="24"/>
          <w:szCs w:val="24"/>
        </w:rPr>
        <w:t>, vol. 43, pp. 1446–1466, 2015.</w:t>
      </w:r>
    </w:p>
    <w:p w14:paraId="43A99A1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[229]</w:t>
      </w:r>
      <w:r w:rsidRPr="007D10CD">
        <w:rPr>
          <w:rFonts w:ascii="Times New Roman" w:hAnsi="Times New Roman" w:cs="Times New Roman"/>
          <w:noProof/>
          <w:sz w:val="24"/>
          <w:szCs w:val="24"/>
        </w:rPr>
        <w:tab/>
        <w:t xml:space="preserve">R. E. Drumright, P. R. Gruber, and D. E. Henton, “Polylactic acid technology,” </w:t>
      </w:r>
      <w:r w:rsidRPr="007D10CD">
        <w:rPr>
          <w:rFonts w:ascii="Times New Roman" w:hAnsi="Times New Roman" w:cs="Times New Roman"/>
          <w:i/>
          <w:iCs/>
          <w:noProof/>
          <w:sz w:val="24"/>
          <w:szCs w:val="24"/>
        </w:rPr>
        <w:t>Adv. Mater.</w:t>
      </w:r>
      <w:r w:rsidRPr="007D10CD">
        <w:rPr>
          <w:rFonts w:ascii="Times New Roman" w:hAnsi="Times New Roman" w:cs="Times New Roman"/>
          <w:noProof/>
          <w:sz w:val="24"/>
          <w:szCs w:val="24"/>
        </w:rPr>
        <w:t>, vol. 12, pp. 1841–1846, 2000.</w:t>
      </w:r>
    </w:p>
    <w:p w14:paraId="5C884E6C"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[230]</w:t>
      </w:r>
      <w:r w:rsidRPr="007D10CD">
        <w:rPr>
          <w:rFonts w:ascii="Times New Roman" w:hAnsi="Times New Roman" w:cs="Times New Roman"/>
          <w:noProof/>
          <w:sz w:val="24"/>
          <w:szCs w:val="24"/>
        </w:rPr>
        <w:tab/>
        <w:t xml:space="preserve">J. Lunt, “Large-scale production, properties and commercial applications of polylactic acid polymers,” </w:t>
      </w:r>
      <w:r w:rsidRPr="007D10CD">
        <w:rPr>
          <w:rFonts w:ascii="Times New Roman" w:hAnsi="Times New Roman" w:cs="Times New Roman"/>
          <w:i/>
          <w:iCs/>
          <w:noProof/>
          <w:sz w:val="24"/>
          <w:szCs w:val="24"/>
        </w:rPr>
        <w:t>Polym. Degrad. Stab.</w:t>
      </w:r>
      <w:r w:rsidRPr="007D10CD">
        <w:rPr>
          <w:rFonts w:ascii="Times New Roman" w:hAnsi="Times New Roman" w:cs="Times New Roman"/>
          <w:noProof/>
          <w:sz w:val="24"/>
          <w:szCs w:val="24"/>
        </w:rPr>
        <w:t>, vol. 3910, pp. 145–152, 1998.</w:t>
      </w:r>
    </w:p>
    <w:p w14:paraId="743573A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[231]</w:t>
      </w:r>
      <w:r w:rsidRPr="007D10CD">
        <w:rPr>
          <w:rFonts w:ascii="Times New Roman" w:hAnsi="Times New Roman" w:cs="Times New Roman"/>
          <w:noProof/>
          <w:sz w:val="24"/>
          <w:szCs w:val="24"/>
        </w:rPr>
        <w:tab/>
        <w:t xml:space="preserve">R. J. Wojtecki, M. A. Meador, and S. J. Rowan, “Using the dynamic bond to access macroscopically responsive structurally dynamic polymers,” </w:t>
      </w:r>
      <w:r w:rsidRPr="007D10CD">
        <w:rPr>
          <w:rFonts w:ascii="Times New Roman" w:hAnsi="Times New Roman" w:cs="Times New Roman"/>
          <w:i/>
          <w:iCs/>
          <w:noProof/>
          <w:sz w:val="24"/>
          <w:szCs w:val="24"/>
        </w:rPr>
        <w:t>Nat. Mater.</w:t>
      </w:r>
      <w:r w:rsidRPr="007D10CD">
        <w:rPr>
          <w:rFonts w:ascii="Times New Roman" w:hAnsi="Times New Roman" w:cs="Times New Roman"/>
          <w:noProof/>
          <w:sz w:val="24"/>
          <w:szCs w:val="24"/>
        </w:rPr>
        <w:t>, vol. 10, no. 1, pp. 14–27, 2011.</w:t>
      </w:r>
    </w:p>
    <w:p w14:paraId="41A3AA0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[232]</w:t>
      </w:r>
      <w:r w:rsidRPr="007D10CD">
        <w:rPr>
          <w:rFonts w:ascii="Times New Roman" w:hAnsi="Times New Roman" w:cs="Times New Roman"/>
          <w:noProof/>
          <w:sz w:val="24"/>
          <w:szCs w:val="24"/>
        </w:rPr>
        <w:tab/>
        <w:t xml:space="preserve">J. Bollinger, J. Britton, N. Gisin, P. Knight, P. Kwiat, and I. Percival, “Autonomic healing of polymer composites,” </w:t>
      </w:r>
      <w:r w:rsidRPr="007D10CD">
        <w:rPr>
          <w:rFonts w:ascii="Times New Roman" w:hAnsi="Times New Roman" w:cs="Times New Roman"/>
          <w:i/>
          <w:iCs/>
          <w:noProof/>
          <w:sz w:val="24"/>
          <w:szCs w:val="24"/>
        </w:rPr>
        <w:t>Nature</w:t>
      </w:r>
      <w:r w:rsidRPr="007D10CD">
        <w:rPr>
          <w:rFonts w:ascii="Times New Roman" w:hAnsi="Times New Roman" w:cs="Times New Roman"/>
          <w:noProof/>
          <w:sz w:val="24"/>
          <w:szCs w:val="24"/>
        </w:rPr>
        <w:t>, vol. 409, no. February, pp. 1804–1807, 2001.</w:t>
      </w:r>
    </w:p>
    <w:p w14:paraId="3EBDF9C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[233]</w:t>
      </w:r>
      <w:r w:rsidRPr="007D10CD">
        <w:rPr>
          <w:rFonts w:ascii="Times New Roman" w:hAnsi="Times New Roman" w:cs="Times New Roman"/>
          <w:noProof/>
          <w:sz w:val="24"/>
          <w:szCs w:val="24"/>
        </w:rPr>
        <w:tab/>
        <w:t xml:space="preserve">Y. Chen, A. M. Kushner, G. A. Williams, and Z. Guan, “Multiphase design of autonomic self-healing thermoplastic elastomers,” </w:t>
      </w:r>
      <w:r w:rsidRPr="007D10CD">
        <w:rPr>
          <w:rFonts w:ascii="Times New Roman" w:hAnsi="Times New Roman" w:cs="Times New Roman"/>
          <w:i/>
          <w:iCs/>
          <w:noProof/>
          <w:sz w:val="24"/>
          <w:szCs w:val="24"/>
        </w:rPr>
        <w:t>Nat. Chem.</w:t>
      </w:r>
      <w:r w:rsidRPr="007D10CD">
        <w:rPr>
          <w:rFonts w:ascii="Times New Roman" w:hAnsi="Times New Roman" w:cs="Times New Roman"/>
          <w:noProof/>
          <w:sz w:val="24"/>
          <w:szCs w:val="24"/>
        </w:rPr>
        <w:t>, vol. 4, no. 6, pp. 467–472, 2012.</w:t>
      </w:r>
    </w:p>
    <w:p w14:paraId="1924F69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[234]</w:t>
      </w:r>
      <w:r w:rsidRPr="007D10CD">
        <w:rPr>
          <w:rFonts w:ascii="Times New Roman" w:hAnsi="Times New Roman" w:cs="Times New Roman"/>
          <w:noProof/>
          <w:sz w:val="24"/>
          <w:szCs w:val="24"/>
        </w:rPr>
        <w:tab/>
        <w:t xml:space="preserve">S. Burattini, B. W. Greenland, D. Chappell, H. M. Colquhoun, and W. Hayes, “Healable polymeric materials: a tutorial review,” </w:t>
      </w:r>
      <w:r w:rsidRPr="007D10CD">
        <w:rPr>
          <w:rFonts w:ascii="Times New Roman" w:hAnsi="Times New Roman" w:cs="Times New Roman"/>
          <w:i/>
          <w:iCs/>
          <w:noProof/>
          <w:sz w:val="24"/>
          <w:szCs w:val="24"/>
        </w:rPr>
        <w:t>Chem. Soc. Rev.</w:t>
      </w:r>
      <w:r w:rsidRPr="007D10CD">
        <w:rPr>
          <w:rFonts w:ascii="Times New Roman" w:hAnsi="Times New Roman" w:cs="Times New Roman"/>
          <w:noProof/>
          <w:sz w:val="24"/>
          <w:szCs w:val="24"/>
        </w:rPr>
        <w:t>, vol. 39, no. 6, pp. 1973–1985, 2010.</w:t>
      </w:r>
    </w:p>
    <w:p w14:paraId="3A15569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[235]</w:t>
      </w:r>
      <w:r w:rsidRPr="007D10CD">
        <w:rPr>
          <w:rFonts w:ascii="Times New Roman" w:hAnsi="Times New Roman" w:cs="Times New Roman"/>
          <w:noProof/>
          <w:sz w:val="24"/>
          <w:szCs w:val="24"/>
        </w:rPr>
        <w:tab/>
        <w:t xml:space="preserve">Y. Huang, M. Zhong, Y. Huang, M. Zhu, Z. Pei, Z. Wang, Q. Xue, X. Xie, and C. Zhi, “A self-healable and highly stretchable supercapacitor based on a dual crosslinked polyelectrolyte,” </w:t>
      </w:r>
      <w:r w:rsidRPr="007D10CD">
        <w:rPr>
          <w:rFonts w:ascii="Times New Roman" w:hAnsi="Times New Roman" w:cs="Times New Roman"/>
          <w:i/>
          <w:iCs/>
          <w:noProof/>
          <w:sz w:val="24"/>
          <w:szCs w:val="24"/>
        </w:rPr>
        <w:t>Nat. Commun.</w:t>
      </w:r>
      <w:r w:rsidRPr="007D10CD">
        <w:rPr>
          <w:rFonts w:ascii="Times New Roman" w:hAnsi="Times New Roman" w:cs="Times New Roman"/>
          <w:noProof/>
          <w:sz w:val="24"/>
          <w:szCs w:val="24"/>
        </w:rPr>
        <w:t>, vol. 6, pp. 1–7, 2015.</w:t>
      </w:r>
    </w:p>
    <w:p w14:paraId="5FA71D1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[236]</w:t>
      </w:r>
      <w:r w:rsidRPr="007D10CD">
        <w:rPr>
          <w:rFonts w:ascii="Times New Roman" w:hAnsi="Times New Roman" w:cs="Times New Roman"/>
          <w:noProof/>
          <w:sz w:val="24"/>
          <w:szCs w:val="24"/>
        </w:rPr>
        <w:tab/>
        <w:t xml:space="preserve">M. B. Gordon, J. M. French, N. J. Wagner, and C. J. Kloxin, “Dynamic Bonds in Covalently Crosslinked Polymer Networks for Photoactivated Strengthening and Healing,” </w:t>
      </w:r>
      <w:r w:rsidRPr="007D10CD">
        <w:rPr>
          <w:rFonts w:ascii="Times New Roman" w:hAnsi="Times New Roman" w:cs="Times New Roman"/>
          <w:i/>
          <w:iCs/>
          <w:noProof/>
          <w:sz w:val="24"/>
          <w:szCs w:val="24"/>
        </w:rPr>
        <w:t>Adv. Mater.</w:t>
      </w:r>
      <w:r w:rsidRPr="007D10CD">
        <w:rPr>
          <w:rFonts w:ascii="Times New Roman" w:hAnsi="Times New Roman" w:cs="Times New Roman"/>
          <w:noProof/>
          <w:sz w:val="24"/>
          <w:szCs w:val="24"/>
        </w:rPr>
        <w:t>, vol. 27, no. 48, pp. 8007–8010, 2015.</w:t>
      </w:r>
    </w:p>
    <w:p w14:paraId="291302F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[237]</w:t>
      </w:r>
      <w:r w:rsidRPr="007D10CD">
        <w:rPr>
          <w:rFonts w:ascii="Times New Roman" w:hAnsi="Times New Roman" w:cs="Times New Roman"/>
          <w:noProof/>
          <w:sz w:val="24"/>
          <w:szCs w:val="24"/>
        </w:rPr>
        <w:tab/>
        <w:t xml:space="preserve">F. W. Chen, X., Matheus A. Dam, Kanji Ono, Ajit Mal, Hongbin Shen, Steven R. Nutt, Kevin Sheran, “A Thermally Re-mendable Cross-Linked Polymeric Material,” </w:t>
      </w:r>
      <w:r w:rsidRPr="007D10CD">
        <w:rPr>
          <w:rFonts w:ascii="Times New Roman" w:hAnsi="Times New Roman" w:cs="Times New Roman"/>
          <w:i/>
          <w:iCs/>
          <w:noProof/>
          <w:sz w:val="24"/>
          <w:szCs w:val="24"/>
        </w:rPr>
        <w:t>Science (80-. ).</w:t>
      </w:r>
      <w:r w:rsidRPr="007D10CD">
        <w:rPr>
          <w:rFonts w:ascii="Times New Roman" w:hAnsi="Times New Roman" w:cs="Times New Roman"/>
          <w:noProof/>
          <w:sz w:val="24"/>
          <w:szCs w:val="24"/>
        </w:rPr>
        <w:t>, vol. 295, no. 5560, pp. 1698–1702, 2002.</w:t>
      </w:r>
    </w:p>
    <w:p w14:paraId="5964DBB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[238]</w:t>
      </w:r>
      <w:r w:rsidRPr="007D10CD">
        <w:rPr>
          <w:rFonts w:ascii="Times New Roman" w:hAnsi="Times New Roman" w:cs="Times New Roman"/>
          <w:noProof/>
          <w:sz w:val="24"/>
          <w:szCs w:val="24"/>
        </w:rPr>
        <w:tab/>
        <w:t xml:space="preserve">S. D. Bergman and F. Wudl, “Mendable polymers,”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18, no. 1, pp. 41–62, 2008.</w:t>
      </w:r>
    </w:p>
    <w:p w14:paraId="0D4E31E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[239]</w:t>
      </w:r>
      <w:r w:rsidRPr="007D10CD">
        <w:rPr>
          <w:rFonts w:ascii="Times New Roman" w:hAnsi="Times New Roman" w:cs="Times New Roman"/>
          <w:noProof/>
          <w:sz w:val="24"/>
          <w:szCs w:val="24"/>
        </w:rPr>
        <w:tab/>
        <w:t xml:space="preserve">L. J. Peter G. Odell, Rina Carlini, “Processing for preparing difunctional compounds,” </w:t>
      </w:r>
      <w:r w:rsidRPr="007D10CD">
        <w:rPr>
          <w:rFonts w:ascii="Times New Roman" w:hAnsi="Times New Roman" w:cs="Times New Roman"/>
          <w:i/>
          <w:iCs/>
          <w:noProof/>
          <w:sz w:val="24"/>
          <w:szCs w:val="24"/>
        </w:rPr>
        <w:t>United States Pat.</w:t>
      </w:r>
      <w:r w:rsidRPr="007D10CD">
        <w:rPr>
          <w:rFonts w:ascii="Times New Roman" w:hAnsi="Times New Roman" w:cs="Times New Roman"/>
          <w:noProof/>
          <w:sz w:val="24"/>
          <w:szCs w:val="24"/>
        </w:rPr>
        <w:t>, vol. 7, no. 12, pp. 0–4, 2009.</w:t>
      </w:r>
    </w:p>
    <w:p w14:paraId="0BDE5C9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[240]</w:t>
      </w:r>
      <w:r w:rsidRPr="007D10CD">
        <w:rPr>
          <w:rFonts w:ascii="Times New Roman" w:hAnsi="Times New Roman" w:cs="Times New Roman"/>
          <w:noProof/>
          <w:sz w:val="24"/>
          <w:szCs w:val="24"/>
        </w:rPr>
        <w:tab/>
        <w:t xml:space="preserve">R. Vendamme, K. Olaerts, M. Gomes, M. Degens, T. Shigematsu, and W. Eevers, “Interplay between viscoelastic and chemical tunings in fatty-acid-based polyester adhesives: Engineering biomass toward functionalized step-growth polymers and soft networks,” </w:t>
      </w:r>
      <w:r w:rsidRPr="007D10CD">
        <w:rPr>
          <w:rFonts w:ascii="Times New Roman" w:hAnsi="Times New Roman" w:cs="Times New Roman"/>
          <w:i/>
          <w:iCs/>
          <w:noProof/>
          <w:sz w:val="24"/>
          <w:szCs w:val="24"/>
        </w:rPr>
        <w:t>Biomacromolecules</w:t>
      </w:r>
      <w:r w:rsidRPr="007D10CD">
        <w:rPr>
          <w:rFonts w:ascii="Times New Roman" w:hAnsi="Times New Roman" w:cs="Times New Roman"/>
          <w:noProof/>
          <w:sz w:val="24"/>
          <w:szCs w:val="24"/>
        </w:rPr>
        <w:t>, vol. 13, no. 6, pp. 1933–1944, 2012.</w:t>
      </w:r>
    </w:p>
    <w:p w14:paraId="6C93D51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[241]</w:t>
      </w:r>
      <w:r w:rsidRPr="007D10CD">
        <w:rPr>
          <w:rFonts w:ascii="Times New Roman" w:hAnsi="Times New Roman" w:cs="Times New Roman"/>
          <w:noProof/>
          <w:sz w:val="24"/>
          <w:szCs w:val="24"/>
        </w:rPr>
        <w:tab/>
        <w:t xml:space="preserve">E. Cieckiewicz, L. Angenot, V. Mathieu, B. Pirotte, P. de Tullio, and M. Frédérich, “Hemisynthesis and in vitro photodynamic activity evaluations of halogenated and glycosylated derivatives of pheophorbide a,” </w:t>
      </w:r>
      <w:r w:rsidRPr="007D10CD">
        <w:rPr>
          <w:rFonts w:ascii="Times New Roman" w:hAnsi="Times New Roman" w:cs="Times New Roman"/>
          <w:i/>
          <w:iCs/>
          <w:noProof/>
          <w:sz w:val="24"/>
          <w:szCs w:val="24"/>
        </w:rPr>
        <w:t>EUR. J. ORG. CHEM.</w:t>
      </w:r>
      <w:r w:rsidRPr="007D10CD">
        <w:rPr>
          <w:rFonts w:ascii="Times New Roman" w:hAnsi="Times New Roman" w:cs="Times New Roman"/>
          <w:noProof/>
          <w:sz w:val="24"/>
          <w:szCs w:val="24"/>
        </w:rPr>
        <w:t>, vol. 80, no. 16, pp. 1–15, 2015.</w:t>
      </w:r>
    </w:p>
    <w:p w14:paraId="7E63B0D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[242]</w:t>
      </w:r>
      <w:r w:rsidRPr="007D10CD">
        <w:rPr>
          <w:rFonts w:ascii="Times New Roman" w:hAnsi="Times New Roman" w:cs="Times New Roman"/>
          <w:noProof/>
          <w:sz w:val="24"/>
          <w:szCs w:val="24"/>
        </w:rPr>
        <w:tab/>
        <w:t xml:space="preserve">D. Schmaljohann, H. Komber, and B. I. Voit, “Conversion dependence of the structural units and the degree of branching of a hyperbranched polyester based on 4,4-bis-(4′-hydroxyphenyl)pentanoic acid determined by NMR spectroscopy,” </w:t>
      </w:r>
      <w:r w:rsidRPr="007D10CD">
        <w:rPr>
          <w:rFonts w:ascii="Times New Roman" w:hAnsi="Times New Roman" w:cs="Times New Roman"/>
          <w:i/>
          <w:iCs/>
          <w:noProof/>
          <w:sz w:val="24"/>
          <w:szCs w:val="24"/>
        </w:rPr>
        <w:t>Acta Polym.</w:t>
      </w:r>
      <w:r w:rsidRPr="007D10CD">
        <w:rPr>
          <w:rFonts w:ascii="Times New Roman" w:hAnsi="Times New Roman" w:cs="Times New Roman"/>
          <w:noProof/>
          <w:sz w:val="24"/>
          <w:szCs w:val="24"/>
        </w:rPr>
        <w:t>, vol. 50, no. 5–6, pp. 196–204, 1999.</w:t>
      </w:r>
    </w:p>
    <w:p w14:paraId="518348B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[243]</w:t>
      </w:r>
      <w:r w:rsidRPr="007D10CD">
        <w:rPr>
          <w:rFonts w:ascii="Times New Roman" w:hAnsi="Times New Roman" w:cs="Times New Roman"/>
          <w:noProof/>
          <w:sz w:val="24"/>
          <w:szCs w:val="24"/>
        </w:rPr>
        <w:tab/>
        <w:t xml:space="preserve">D. Thomasson, F. Boisson, E. Girard-Reydet, and F. Méchin, “Hydroxylated hyperbranched polyesters as crosslinking agents for polyurethane networks: Partial modification of the OH chain ends,” </w:t>
      </w:r>
      <w:r w:rsidRPr="007D10CD">
        <w:rPr>
          <w:rFonts w:ascii="Times New Roman" w:hAnsi="Times New Roman" w:cs="Times New Roman"/>
          <w:i/>
          <w:iCs/>
          <w:noProof/>
          <w:sz w:val="24"/>
          <w:szCs w:val="24"/>
        </w:rPr>
        <w:t>React. Funct. Polym.</w:t>
      </w:r>
      <w:r w:rsidRPr="007D10CD">
        <w:rPr>
          <w:rFonts w:ascii="Times New Roman" w:hAnsi="Times New Roman" w:cs="Times New Roman"/>
          <w:noProof/>
          <w:sz w:val="24"/>
          <w:szCs w:val="24"/>
        </w:rPr>
        <w:t>, vol. 66, no. 12, pp. 1462–1481, 2006.</w:t>
      </w:r>
    </w:p>
    <w:p w14:paraId="3489B25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[244]</w:t>
      </w:r>
      <w:r w:rsidRPr="007D10CD">
        <w:rPr>
          <w:rFonts w:ascii="Times New Roman" w:hAnsi="Times New Roman" w:cs="Times New Roman"/>
          <w:noProof/>
          <w:sz w:val="24"/>
          <w:szCs w:val="24"/>
        </w:rPr>
        <w:tab/>
        <w:t xml:space="preserve">F. K. Karataeva, M. V. Rezepova, M. P. Kutyreva, G. a. Kutyrev, and N. a. Ulakhovich, “Structure of hyper-branched polyester polyol BOLTORN H2O-COOH. NMR data,” </w:t>
      </w:r>
      <w:r w:rsidRPr="007D10CD">
        <w:rPr>
          <w:rFonts w:ascii="Times New Roman" w:hAnsi="Times New Roman" w:cs="Times New Roman"/>
          <w:i/>
          <w:iCs/>
          <w:noProof/>
          <w:sz w:val="24"/>
          <w:szCs w:val="24"/>
        </w:rPr>
        <w:t>Russ. J. Gen. Chem.</w:t>
      </w:r>
      <w:r w:rsidRPr="007D10CD">
        <w:rPr>
          <w:rFonts w:ascii="Times New Roman" w:hAnsi="Times New Roman" w:cs="Times New Roman"/>
          <w:noProof/>
          <w:sz w:val="24"/>
          <w:szCs w:val="24"/>
        </w:rPr>
        <w:t>, vol. 80, no. 9, pp. 1831–1835, 2010.</w:t>
      </w:r>
    </w:p>
    <w:p w14:paraId="218C1C0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[245]</w:t>
      </w:r>
      <w:r w:rsidRPr="007D10CD">
        <w:rPr>
          <w:rFonts w:ascii="Times New Roman" w:hAnsi="Times New Roman" w:cs="Times New Roman"/>
          <w:noProof/>
          <w:sz w:val="24"/>
          <w:szCs w:val="24"/>
        </w:rPr>
        <w:tab/>
        <w:t xml:space="preserve">M. A. C. Broeren, B. F. M. De Waal, M. H. P. Van Genderen, H. M. H. F. Sanders, G. Fytas, and E. W. Meijer, “Multicomponent host-guest chemistry of carboxylic acid and phosphonic acid based guests with dendritic hosts: An NMR study,” </w:t>
      </w:r>
      <w:r w:rsidRPr="007D10CD">
        <w:rPr>
          <w:rFonts w:ascii="Times New Roman" w:hAnsi="Times New Roman" w:cs="Times New Roman"/>
          <w:i/>
          <w:iCs/>
          <w:noProof/>
          <w:sz w:val="24"/>
          <w:szCs w:val="24"/>
        </w:rPr>
        <w:t>J. Am. Chem. Soc.</w:t>
      </w:r>
      <w:r w:rsidRPr="007D10CD">
        <w:rPr>
          <w:rFonts w:ascii="Times New Roman" w:hAnsi="Times New Roman" w:cs="Times New Roman"/>
          <w:noProof/>
          <w:sz w:val="24"/>
          <w:szCs w:val="24"/>
        </w:rPr>
        <w:t>, vol. 127, no. 29, pp. 10334–10343, 2005.</w:t>
      </w:r>
    </w:p>
    <w:p w14:paraId="171C49F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[246]</w:t>
      </w:r>
      <w:r w:rsidRPr="007D10CD">
        <w:rPr>
          <w:rFonts w:ascii="Times New Roman" w:hAnsi="Times New Roman" w:cs="Times New Roman"/>
          <w:noProof/>
          <w:sz w:val="24"/>
          <w:szCs w:val="24"/>
        </w:rPr>
        <w:tab/>
        <w:t xml:space="preserve">Q. Lin and T. E. Long, “polymerization of A2 with B3 monomers: a facile approach to hyperbranched poly(aryl ester)s,” </w:t>
      </w:r>
      <w:r w:rsidRPr="007D10CD">
        <w:rPr>
          <w:rFonts w:ascii="Times New Roman" w:hAnsi="Times New Roman" w:cs="Times New Roman"/>
          <w:i/>
          <w:iCs/>
          <w:noProof/>
          <w:sz w:val="24"/>
          <w:szCs w:val="24"/>
        </w:rPr>
        <w:t>Macromolecules</w:t>
      </w:r>
      <w:r w:rsidRPr="007D10CD">
        <w:rPr>
          <w:rFonts w:ascii="Times New Roman" w:hAnsi="Times New Roman" w:cs="Times New Roman"/>
          <w:noProof/>
          <w:sz w:val="24"/>
          <w:szCs w:val="24"/>
        </w:rPr>
        <w:t>, vol. 36, pp. 9809–9816, 2003.</w:t>
      </w:r>
    </w:p>
    <w:p w14:paraId="334EEB51"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[247]</w:t>
      </w:r>
      <w:r w:rsidRPr="007D10CD">
        <w:rPr>
          <w:rFonts w:ascii="Times New Roman" w:hAnsi="Times New Roman" w:cs="Times New Roman"/>
          <w:noProof/>
          <w:sz w:val="24"/>
          <w:szCs w:val="24"/>
        </w:rPr>
        <w:tab/>
        <w:t xml:space="preserve">A. K. Mishra, K. K. Jena, and K. V. S. N. Raju, “Synthesis and characterization of hyperbranched polyester-urethane-urea/K10-clay hybrid coatings,” </w:t>
      </w:r>
      <w:r w:rsidRPr="007D10CD">
        <w:rPr>
          <w:rFonts w:ascii="Times New Roman" w:hAnsi="Times New Roman" w:cs="Times New Roman"/>
          <w:i/>
          <w:iCs/>
          <w:noProof/>
          <w:sz w:val="24"/>
          <w:szCs w:val="24"/>
        </w:rPr>
        <w:t>Prog. Org. Coatings</w:t>
      </w:r>
      <w:r w:rsidRPr="007D10CD">
        <w:rPr>
          <w:rFonts w:ascii="Times New Roman" w:hAnsi="Times New Roman" w:cs="Times New Roman"/>
          <w:noProof/>
          <w:sz w:val="24"/>
          <w:szCs w:val="24"/>
        </w:rPr>
        <w:t>, vol. 64, no. 1, pp. 47–56, 2009.</w:t>
      </w:r>
    </w:p>
    <w:p w14:paraId="75A640B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[248]</w:t>
      </w:r>
      <w:r w:rsidRPr="007D10CD">
        <w:rPr>
          <w:rFonts w:ascii="Times New Roman" w:hAnsi="Times New Roman" w:cs="Times New Roman"/>
          <w:noProof/>
          <w:sz w:val="24"/>
          <w:szCs w:val="24"/>
        </w:rPr>
        <w:tab/>
        <w:t xml:space="preserve">G. Pawel, Parzuchowski, M. Grabowska, M. Jaroch, and M. Kusznerczuk, “Synthesis and characterization of hyperbranched polyesters from glycerol based AB2 monomers,” </w:t>
      </w:r>
      <w:r w:rsidRPr="007D10CD">
        <w:rPr>
          <w:rFonts w:ascii="Times New Roman" w:hAnsi="Times New Roman" w:cs="Times New Roman"/>
          <w:i/>
          <w:iCs/>
          <w:noProof/>
          <w:sz w:val="24"/>
          <w:szCs w:val="24"/>
        </w:rPr>
        <w:t>J. Polym. Sci.</w:t>
      </w:r>
      <w:r w:rsidRPr="007D10CD">
        <w:rPr>
          <w:rFonts w:ascii="Times New Roman" w:hAnsi="Times New Roman" w:cs="Times New Roman"/>
          <w:noProof/>
          <w:sz w:val="24"/>
          <w:szCs w:val="24"/>
        </w:rPr>
        <w:t>, vol. 10, pp. 3860–3868, 2009.</w:t>
      </w:r>
    </w:p>
    <w:p w14:paraId="060C9DF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[249]</w:t>
      </w:r>
      <w:r w:rsidRPr="007D10CD">
        <w:rPr>
          <w:rFonts w:ascii="Times New Roman" w:hAnsi="Times New Roman" w:cs="Times New Roman"/>
          <w:noProof/>
          <w:sz w:val="24"/>
          <w:szCs w:val="24"/>
        </w:rPr>
        <w:tab/>
        <w:t xml:space="preserve">L. Ojamäe, C. Aulin, H. Pedersen, and P. O. Käll, “IR and quantum-chemical studies of carboxylic acid and glycine adsorption on rutile TiO2 nanoparticles,” </w:t>
      </w:r>
      <w:r w:rsidRPr="007D10CD">
        <w:rPr>
          <w:rFonts w:ascii="Times New Roman" w:hAnsi="Times New Roman" w:cs="Times New Roman"/>
          <w:i/>
          <w:iCs/>
          <w:noProof/>
          <w:sz w:val="24"/>
          <w:szCs w:val="24"/>
        </w:rPr>
        <w:t>J. Colloid Interface Sci.</w:t>
      </w:r>
      <w:r w:rsidRPr="007D10CD">
        <w:rPr>
          <w:rFonts w:ascii="Times New Roman" w:hAnsi="Times New Roman" w:cs="Times New Roman"/>
          <w:noProof/>
          <w:sz w:val="24"/>
          <w:szCs w:val="24"/>
        </w:rPr>
        <w:t>, vol. 296, no. 1, pp. 71–78, 2006.</w:t>
      </w:r>
    </w:p>
    <w:p w14:paraId="2D14FAA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[250]</w:t>
      </w:r>
      <w:r w:rsidRPr="007D10CD">
        <w:rPr>
          <w:rFonts w:ascii="Times New Roman" w:hAnsi="Times New Roman" w:cs="Times New Roman"/>
          <w:noProof/>
          <w:sz w:val="24"/>
          <w:szCs w:val="24"/>
        </w:rPr>
        <w:tab/>
        <w:t xml:space="preserve">F. P. Rotzinger, J. M. Kesselman-Truttmann, S. J. Hug, V. Shklover, and M. Grätzel, “Structure and Vibrational Spectrum of Formate and Acetate Adsorbed from Aqueous Solution onto the TiO 2 Rutile (110) Surface,” </w:t>
      </w:r>
      <w:r w:rsidRPr="007D10CD">
        <w:rPr>
          <w:rFonts w:ascii="Times New Roman" w:hAnsi="Times New Roman" w:cs="Times New Roman"/>
          <w:i/>
          <w:iCs/>
          <w:noProof/>
          <w:sz w:val="24"/>
          <w:szCs w:val="24"/>
        </w:rPr>
        <w:t>J. Phys. Chem. B</w:t>
      </w:r>
      <w:r w:rsidRPr="007D10CD">
        <w:rPr>
          <w:rFonts w:ascii="Times New Roman" w:hAnsi="Times New Roman" w:cs="Times New Roman"/>
          <w:noProof/>
          <w:sz w:val="24"/>
          <w:szCs w:val="24"/>
        </w:rPr>
        <w:t>, vol. 108, no. 16, pp. 5004–5017, 2004.</w:t>
      </w:r>
    </w:p>
    <w:p w14:paraId="18E09E0E"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[251]</w:t>
      </w:r>
      <w:r w:rsidRPr="007D10CD">
        <w:rPr>
          <w:rFonts w:ascii="Times New Roman" w:hAnsi="Times New Roman" w:cs="Times New Roman"/>
          <w:noProof/>
          <w:sz w:val="24"/>
          <w:szCs w:val="24"/>
        </w:rPr>
        <w:tab/>
        <w:t xml:space="preserve">E. Pamula, M. Blazewicz, C. Paluszkiewicz, and P. Dobrzynski, “FTIR study of degradation products of aliphatic polyesters-carbon fibres composites,” </w:t>
      </w:r>
      <w:r w:rsidRPr="007D10CD">
        <w:rPr>
          <w:rFonts w:ascii="Times New Roman" w:hAnsi="Times New Roman" w:cs="Times New Roman"/>
          <w:i/>
          <w:iCs/>
          <w:noProof/>
          <w:sz w:val="24"/>
          <w:szCs w:val="24"/>
        </w:rPr>
        <w:t>J. Mol. Struct.</w:t>
      </w:r>
      <w:r w:rsidRPr="007D10CD">
        <w:rPr>
          <w:rFonts w:ascii="Times New Roman" w:hAnsi="Times New Roman" w:cs="Times New Roman"/>
          <w:noProof/>
          <w:sz w:val="24"/>
          <w:szCs w:val="24"/>
        </w:rPr>
        <w:t>, vol. 596, pp. 69–75, 2001.</w:t>
      </w:r>
    </w:p>
    <w:p w14:paraId="7C1C3A33"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[252]</w:t>
      </w:r>
      <w:r w:rsidRPr="007D10CD">
        <w:rPr>
          <w:rFonts w:ascii="Times New Roman" w:hAnsi="Times New Roman" w:cs="Times New Roman"/>
          <w:noProof/>
          <w:sz w:val="24"/>
          <w:szCs w:val="24"/>
        </w:rPr>
        <w:tab/>
        <w:t xml:space="preserve">E. Martuscelli, P.Musto, G.Ragosta, G. Scarinzi, and E. Bertotti, “Reactive rubbers as toughening agents for thermoset polyester resins. Molecular analysis by FTIR and fracture behavior of the resulting blends,” </w:t>
      </w:r>
      <w:r w:rsidRPr="007D10CD">
        <w:rPr>
          <w:rFonts w:ascii="Times New Roman" w:hAnsi="Times New Roman" w:cs="Times New Roman"/>
          <w:i/>
          <w:iCs/>
          <w:noProof/>
          <w:sz w:val="24"/>
          <w:szCs w:val="24"/>
        </w:rPr>
        <w:t>J. Polym. Sci. Part B Polym. Phys.</w:t>
      </w:r>
      <w:r w:rsidRPr="007D10CD">
        <w:rPr>
          <w:rFonts w:ascii="Times New Roman" w:hAnsi="Times New Roman" w:cs="Times New Roman"/>
          <w:noProof/>
          <w:sz w:val="24"/>
          <w:szCs w:val="24"/>
        </w:rPr>
        <w:t>, vol. 31, no. 6, pp. 619–632, 1993.</w:t>
      </w:r>
    </w:p>
    <w:p w14:paraId="61F1C2CB"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[253]</w:t>
      </w:r>
      <w:r w:rsidRPr="007D10CD">
        <w:rPr>
          <w:rFonts w:ascii="Times New Roman" w:hAnsi="Times New Roman" w:cs="Times New Roman"/>
          <w:noProof/>
          <w:sz w:val="24"/>
          <w:szCs w:val="24"/>
        </w:rPr>
        <w:tab/>
        <w:t xml:space="preserve">H.-L. Ma, H.-B. Zhang, Q.-H. Hu, W.-J. Li, Z.-G. Jiang, Z.-Z. Yu, and A. Dasari, “Functionalization and Reduction of Graphene Oxide with p -Phenylene Diamine for Electrically Conductive and Thermally Stable Polystyrene Composites,” </w:t>
      </w:r>
      <w:r w:rsidRPr="007D10CD">
        <w:rPr>
          <w:rFonts w:ascii="Times New Roman" w:hAnsi="Times New Roman" w:cs="Times New Roman"/>
          <w:i/>
          <w:iCs/>
          <w:noProof/>
          <w:sz w:val="24"/>
          <w:szCs w:val="24"/>
        </w:rPr>
        <w:t>ACS Appl. Mater. Interfaces</w:t>
      </w:r>
      <w:r w:rsidRPr="007D10CD">
        <w:rPr>
          <w:rFonts w:ascii="Times New Roman" w:hAnsi="Times New Roman" w:cs="Times New Roman"/>
          <w:noProof/>
          <w:sz w:val="24"/>
          <w:szCs w:val="24"/>
        </w:rPr>
        <w:t>, vol. 4, pp. 1948–1953, 2012.</w:t>
      </w:r>
    </w:p>
    <w:p w14:paraId="12CAC0C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[254]</w:t>
      </w:r>
      <w:r w:rsidRPr="007D10CD">
        <w:rPr>
          <w:rFonts w:ascii="Times New Roman" w:hAnsi="Times New Roman" w:cs="Times New Roman"/>
          <w:noProof/>
          <w:sz w:val="24"/>
          <w:szCs w:val="24"/>
        </w:rPr>
        <w:tab/>
        <w:t xml:space="preserve">Y. Cao, H. J. Choi, W. L. Zhang, B. Wang, C. Hao, and J. Liu, “Eco-friendly mass production of poly(p-phenylenediamine)/graphene oxide nanoplatelet composites and their electrorheological characteristics,” </w:t>
      </w:r>
      <w:r w:rsidRPr="007D10CD">
        <w:rPr>
          <w:rFonts w:ascii="Times New Roman" w:hAnsi="Times New Roman" w:cs="Times New Roman"/>
          <w:i/>
          <w:iCs/>
          <w:noProof/>
          <w:sz w:val="24"/>
          <w:szCs w:val="24"/>
        </w:rPr>
        <w:t>Compos. Sci. Technol.</w:t>
      </w:r>
      <w:r w:rsidRPr="007D10CD">
        <w:rPr>
          <w:rFonts w:ascii="Times New Roman" w:hAnsi="Times New Roman" w:cs="Times New Roman"/>
          <w:noProof/>
          <w:sz w:val="24"/>
          <w:szCs w:val="24"/>
        </w:rPr>
        <w:t>, vol. 122, pp. 36–41, 2016.</w:t>
      </w:r>
    </w:p>
    <w:p w14:paraId="0752AD1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[255]</w:t>
      </w:r>
      <w:r w:rsidRPr="007D10CD">
        <w:rPr>
          <w:rFonts w:ascii="Times New Roman" w:hAnsi="Times New Roman" w:cs="Times New Roman"/>
          <w:noProof/>
          <w:sz w:val="24"/>
          <w:szCs w:val="24"/>
        </w:rPr>
        <w:tab/>
        <w:t xml:space="preserve">Y.-L. Min, T. Wang, Y.-G. Zhang, and Y.-C. Chen, “The synthesis of poly(p-phenylenediamine) microstructures without oxidant and their effective adsorption of lead ions,” </w:t>
      </w:r>
      <w:r w:rsidRPr="007D10CD">
        <w:rPr>
          <w:rFonts w:ascii="Times New Roman" w:hAnsi="Times New Roman" w:cs="Times New Roman"/>
          <w:i/>
          <w:iCs/>
          <w:noProof/>
          <w:sz w:val="24"/>
          <w:szCs w:val="24"/>
        </w:rPr>
        <w:t>J. Mater. Chem.</w:t>
      </w:r>
      <w:r w:rsidRPr="007D10CD">
        <w:rPr>
          <w:rFonts w:ascii="Times New Roman" w:hAnsi="Times New Roman" w:cs="Times New Roman"/>
          <w:noProof/>
          <w:sz w:val="24"/>
          <w:szCs w:val="24"/>
        </w:rPr>
        <w:t>, vol. 21, no. 18, p. 6683, 2011.</w:t>
      </w:r>
    </w:p>
    <w:p w14:paraId="09C755E7"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[256]</w:t>
      </w:r>
      <w:r w:rsidRPr="007D10CD">
        <w:rPr>
          <w:rFonts w:ascii="Times New Roman" w:hAnsi="Times New Roman" w:cs="Times New Roman"/>
          <w:noProof/>
          <w:sz w:val="24"/>
          <w:szCs w:val="24"/>
        </w:rPr>
        <w:tab/>
        <w:t xml:space="preserve">F. Liu, L. Wang, Q. Yin, and B. Jiang, “Optimization of thermoelectric figure of merit in poly(p-phenylenediamine)/exfoliated graphene nanosheets composites,” </w:t>
      </w:r>
      <w:r w:rsidRPr="007D10CD">
        <w:rPr>
          <w:rFonts w:ascii="Times New Roman" w:hAnsi="Times New Roman" w:cs="Times New Roman"/>
          <w:i/>
          <w:iCs/>
          <w:noProof/>
          <w:sz w:val="24"/>
          <w:szCs w:val="24"/>
        </w:rPr>
        <w:t>RSC Adv.</w:t>
      </w:r>
      <w:r w:rsidRPr="007D10CD">
        <w:rPr>
          <w:rFonts w:ascii="Times New Roman" w:hAnsi="Times New Roman" w:cs="Times New Roman"/>
          <w:noProof/>
          <w:sz w:val="24"/>
          <w:szCs w:val="24"/>
        </w:rPr>
        <w:t>, vol. 4, no. 93, pp. 51558–51568, 2014.</w:t>
      </w:r>
    </w:p>
    <w:p w14:paraId="3F372CC6"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[257]</w:t>
      </w:r>
      <w:r w:rsidRPr="007D10CD">
        <w:rPr>
          <w:rFonts w:ascii="Times New Roman" w:hAnsi="Times New Roman" w:cs="Times New Roman"/>
          <w:noProof/>
          <w:sz w:val="24"/>
          <w:szCs w:val="24"/>
        </w:rPr>
        <w:tab/>
        <w:t xml:space="preserve">D. G. Papageorgiou, I. A. Kinloch, and R. J. Young, “Graphene/elastomer nanocomposites,” </w:t>
      </w:r>
      <w:r w:rsidRPr="007D10CD">
        <w:rPr>
          <w:rFonts w:ascii="Times New Roman" w:hAnsi="Times New Roman" w:cs="Times New Roman"/>
          <w:i/>
          <w:iCs/>
          <w:noProof/>
          <w:sz w:val="24"/>
          <w:szCs w:val="24"/>
        </w:rPr>
        <w:t>Carbon N. Y.</w:t>
      </w:r>
      <w:r w:rsidRPr="007D10CD">
        <w:rPr>
          <w:rFonts w:ascii="Times New Roman" w:hAnsi="Times New Roman" w:cs="Times New Roman"/>
          <w:noProof/>
          <w:sz w:val="24"/>
          <w:szCs w:val="24"/>
        </w:rPr>
        <w:t>, vol. 95, pp. 460–484, 2015.</w:t>
      </w:r>
    </w:p>
    <w:p w14:paraId="42BD8810"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[258]</w:t>
      </w:r>
      <w:r w:rsidRPr="007D10CD">
        <w:rPr>
          <w:rFonts w:ascii="Times New Roman" w:hAnsi="Times New Roman" w:cs="Times New Roman"/>
          <w:noProof/>
          <w:sz w:val="24"/>
          <w:szCs w:val="24"/>
        </w:rPr>
        <w:tab/>
        <w:t xml:space="preserve">Judson T. Bauman, “Rubber stress-strain behavior,” in </w:t>
      </w:r>
      <w:r w:rsidRPr="007D10CD">
        <w:rPr>
          <w:rFonts w:ascii="Times New Roman" w:hAnsi="Times New Roman" w:cs="Times New Roman"/>
          <w:i/>
          <w:iCs/>
          <w:noProof/>
          <w:sz w:val="24"/>
          <w:szCs w:val="24"/>
        </w:rPr>
        <w:t>Fatigue , Stress , and Strain of Rubber Components</w:t>
      </w:r>
      <w:r w:rsidRPr="007D10CD">
        <w:rPr>
          <w:rFonts w:ascii="Times New Roman" w:hAnsi="Times New Roman" w:cs="Times New Roman"/>
          <w:noProof/>
          <w:sz w:val="24"/>
          <w:szCs w:val="24"/>
        </w:rPr>
        <w:t>, 2008, pp. 9–11.</w:t>
      </w:r>
    </w:p>
    <w:p w14:paraId="7C19A95F"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[259]</w:t>
      </w:r>
      <w:r w:rsidRPr="007D10CD">
        <w:rPr>
          <w:rFonts w:ascii="Times New Roman" w:hAnsi="Times New Roman" w:cs="Times New Roman"/>
          <w:noProof/>
          <w:sz w:val="24"/>
          <w:szCs w:val="24"/>
        </w:rPr>
        <w:tab/>
        <w:t xml:space="preserve">A. N. Gent, </w:t>
      </w:r>
      <w:r w:rsidRPr="007D10CD">
        <w:rPr>
          <w:rFonts w:ascii="Times New Roman" w:hAnsi="Times New Roman" w:cs="Times New Roman"/>
          <w:i/>
          <w:iCs/>
          <w:noProof/>
          <w:sz w:val="24"/>
          <w:szCs w:val="24"/>
        </w:rPr>
        <w:t>Engineering with Rubber</w:t>
      </w:r>
      <w:r w:rsidRPr="007D10CD">
        <w:rPr>
          <w:rFonts w:ascii="Times New Roman" w:hAnsi="Times New Roman" w:cs="Times New Roman"/>
          <w:noProof/>
          <w:sz w:val="24"/>
          <w:szCs w:val="24"/>
        </w:rPr>
        <w:t>, 3rd ed. 2012.</w:t>
      </w:r>
    </w:p>
    <w:p w14:paraId="7F83A05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[260]</w:t>
      </w:r>
      <w:r w:rsidRPr="007D10CD">
        <w:rPr>
          <w:rFonts w:ascii="Times New Roman" w:hAnsi="Times New Roman" w:cs="Times New Roman"/>
          <w:noProof/>
          <w:sz w:val="24"/>
          <w:szCs w:val="24"/>
        </w:rPr>
        <w:tab/>
        <w:t xml:space="preserve">C. S. Grimmer and C. K. H. Dharan, “High-cycle fatigue of hybrid carbon nanotube/glass fiber/polymer composites,” </w:t>
      </w:r>
      <w:r w:rsidRPr="007D10CD">
        <w:rPr>
          <w:rFonts w:ascii="Times New Roman" w:hAnsi="Times New Roman" w:cs="Times New Roman"/>
          <w:i/>
          <w:iCs/>
          <w:noProof/>
          <w:sz w:val="24"/>
          <w:szCs w:val="24"/>
        </w:rPr>
        <w:t>J. Mater. Sci.</w:t>
      </w:r>
      <w:r w:rsidRPr="007D10CD">
        <w:rPr>
          <w:rFonts w:ascii="Times New Roman" w:hAnsi="Times New Roman" w:cs="Times New Roman"/>
          <w:noProof/>
          <w:sz w:val="24"/>
          <w:szCs w:val="24"/>
        </w:rPr>
        <w:t>, vol. 43, no. 13, pp. 4487–4492, 2008.</w:t>
      </w:r>
    </w:p>
    <w:p w14:paraId="77ABFD8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[261]</w:t>
      </w:r>
      <w:r w:rsidRPr="007D10CD">
        <w:rPr>
          <w:rFonts w:ascii="Times New Roman" w:hAnsi="Times New Roman" w:cs="Times New Roman"/>
          <w:noProof/>
          <w:sz w:val="24"/>
          <w:szCs w:val="24"/>
        </w:rPr>
        <w:tab/>
        <w:t>L.A.Pruitt, “Fatigue of Polymers,” vol. 4, no. 6, pp. 499–531, 1980.</w:t>
      </w:r>
    </w:p>
    <w:p w14:paraId="1C2B0E79"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szCs w:val="24"/>
        </w:rPr>
      </w:pPr>
      <w:r w:rsidRPr="007D10CD">
        <w:rPr>
          <w:rFonts w:ascii="Times New Roman" w:hAnsi="Times New Roman" w:cs="Times New Roman"/>
          <w:noProof/>
          <w:sz w:val="24"/>
          <w:szCs w:val="24"/>
        </w:rPr>
        <w:t>[262]</w:t>
      </w:r>
      <w:r w:rsidRPr="007D10CD">
        <w:rPr>
          <w:rFonts w:ascii="Times New Roman" w:hAnsi="Times New Roman" w:cs="Times New Roman"/>
          <w:noProof/>
          <w:sz w:val="24"/>
          <w:szCs w:val="24"/>
        </w:rPr>
        <w:tab/>
        <w:t xml:space="preserve">G. Tao and Z. Xia, “Ratcheting behavior of an epoxy polymer and its effect on fatigue life,” </w:t>
      </w:r>
      <w:r w:rsidRPr="007D10CD">
        <w:rPr>
          <w:rFonts w:ascii="Times New Roman" w:hAnsi="Times New Roman" w:cs="Times New Roman"/>
          <w:i/>
          <w:iCs/>
          <w:noProof/>
          <w:sz w:val="24"/>
          <w:szCs w:val="24"/>
        </w:rPr>
        <w:t>Polym. Test.</w:t>
      </w:r>
      <w:r w:rsidRPr="007D10CD">
        <w:rPr>
          <w:rFonts w:ascii="Times New Roman" w:hAnsi="Times New Roman" w:cs="Times New Roman"/>
          <w:noProof/>
          <w:sz w:val="24"/>
          <w:szCs w:val="24"/>
        </w:rPr>
        <w:t>, vol. 26, no. 4, pp. 451–460, 2007.</w:t>
      </w:r>
    </w:p>
    <w:p w14:paraId="3AD7025D" w14:textId="77777777" w:rsidR="007D10CD" w:rsidRPr="007D10CD" w:rsidRDefault="007D10CD" w:rsidP="007D10CD">
      <w:pPr>
        <w:widowControl w:val="0"/>
        <w:autoSpaceDE w:val="0"/>
        <w:autoSpaceDN w:val="0"/>
        <w:adjustRightInd w:val="0"/>
        <w:spacing w:line="240" w:lineRule="auto"/>
        <w:ind w:left="640" w:hanging="640"/>
        <w:rPr>
          <w:rFonts w:ascii="Times New Roman" w:hAnsi="Times New Roman" w:cs="Times New Roman"/>
          <w:noProof/>
          <w:sz w:val="24"/>
        </w:rPr>
      </w:pPr>
      <w:r w:rsidRPr="007D10CD">
        <w:rPr>
          <w:rFonts w:ascii="Times New Roman" w:hAnsi="Times New Roman" w:cs="Times New Roman"/>
          <w:noProof/>
          <w:sz w:val="24"/>
          <w:szCs w:val="24"/>
        </w:rPr>
        <w:t>[263]</w:t>
      </w:r>
      <w:r w:rsidRPr="007D10CD">
        <w:rPr>
          <w:rFonts w:ascii="Times New Roman" w:hAnsi="Times New Roman" w:cs="Times New Roman"/>
          <w:noProof/>
          <w:sz w:val="24"/>
          <w:szCs w:val="24"/>
        </w:rPr>
        <w:tab/>
        <w:t xml:space="preserve">M. Burnworth, L. Tang, J. R. Kumpfer, A. J. Duncan, F. L. Beyer, G. L. Fiore, S. J. Rowan, and C. Weder, “Optically healable supramolecular polymers,” </w:t>
      </w:r>
      <w:r w:rsidRPr="007D10CD">
        <w:rPr>
          <w:rFonts w:ascii="Times New Roman" w:hAnsi="Times New Roman" w:cs="Times New Roman"/>
          <w:i/>
          <w:iCs/>
          <w:noProof/>
          <w:sz w:val="24"/>
          <w:szCs w:val="24"/>
        </w:rPr>
        <w:t>Nature</w:t>
      </w:r>
      <w:r w:rsidRPr="007D10CD">
        <w:rPr>
          <w:rFonts w:ascii="Times New Roman" w:hAnsi="Times New Roman" w:cs="Times New Roman"/>
          <w:noProof/>
          <w:sz w:val="24"/>
          <w:szCs w:val="24"/>
        </w:rPr>
        <w:t>, vol. 472, no. 7343, pp. 334–337, 2011.</w:t>
      </w:r>
    </w:p>
    <w:p w14:paraId="2FAC682C" w14:textId="278D7A65" w:rsidR="00D973A8" w:rsidRPr="00D973A8" w:rsidRDefault="00D973A8" w:rsidP="00D973A8">
      <w:pPr>
        <w:jc w:val="both"/>
        <w:rPr>
          <w:rFonts w:ascii="Times New Roman" w:hAnsi="Times New Roman" w:cs="Times New Roman"/>
          <w:sz w:val="24"/>
          <w:szCs w:val="24"/>
        </w:rPr>
      </w:pPr>
      <w:r w:rsidRPr="00D973A8">
        <w:rPr>
          <w:rFonts w:ascii="Times New Roman" w:hAnsi="Times New Roman" w:cs="Times New Roman"/>
          <w:sz w:val="24"/>
          <w:szCs w:val="24"/>
        </w:rPr>
        <w:fldChar w:fldCharType="end"/>
      </w:r>
    </w:p>
    <w:p w14:paraId="47240B4E" w14:textId="33E0DCDB"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54859F57" w14:textId="04900539"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24250033" w14:textId="36458910"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24A80BB2" w14:textId="29E370B8"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15680336" w14:textId="254605C6"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0A584C95" w14:textId="1CE55F7A"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268C7EDF" w14:textId="2CDE680F"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6B4AD0A7" w14:textId="7B413C9C"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10BF2456" w14:textId="5DEC5B93"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4F81F064" w14:textId="230E871B"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7F61D346" w14:textId="77777777" w:rsidR="00D606C6" w:rsidRPr="00D973A8" w:rsidRDefault="00D606C6" w:rsidP="00D973A8">
      <w:pPr>
        <w:spacing w:after="0" w:line="480" w:lineRule="auto"/>
        <w:contextualSpacing/>
        <w:jc w:val="both"/>
        <w:rPr>
          <w:rFonts w:ascii="Times New Roman" w:eastAsia="DengXian" w:hAnsi="Times New Roman" w:cs="Times New Roman"/>
          <w:sz w:val="24"/>
          <w:szCs w:val="24"/>
        </w:rPr>
      </w:pPr>
    </w:p>
    <w:p w14:paraId="122D0E47" w14:textId="77777777" w:rsidR="005C3D37" w:rsidRPr="00D973A8" w:rsidRDefault="005C3D37" w:rsidP="00D973A8">
      <w:pPr>
        <w:jc w:val="both"/>
        <w:rPr>
          <w:rFonts w:ascii="Times New Roman" w:hAnsi="Times New Roman" w:cs="Times New Roman"/>
          <w:sz w:val="24"/>
          <w:szCs w:val="24"/>
        </w:rPr>
      </w:pPr>
    </w:p>
    <w:sectPr w:rsidR="005C3D37" w:rsidRPr="00D973A8" w:rsidSect="0094775B">
      <w:footerReference w:type="default" r:id="rId7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230755" w14:textId="77777777" w:rsidR="00D4669D" w:rsidRDefault="00D4669D">
      <w:pPr>
        <w:spacing w:after="0" w:line="240" w:lineRule="auto"/>
      </w:pPr>
      <w:r>
        <w:separator/>
      </w:r>
    </w:p>
  </w:endnote>
  <w:endnote w:type="continuationSeparator" w:id="0">
    <w:p w14:paraId="438F5920" w14:textId="77777777" w:rsidR="00D4669D" w:rsidRDefault="00D466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32D8C7" w14:textId="03DA6CAC" w:rsidR="001B3FB7" w:rsidRDefault="001B3FB7">
    <w:pPr>
      <w:pStyle w:val="Footer"/>
      <w:jc w:val="center"/>
    </w:pPr>
  </w:p>
  <w:p w14:paraId="5D817F1A" w14:textId="77777777" w:rsidR="001B3FB7" w:rsidRDefault="001B3FB7">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6921469"/>
      <w:docPartObj>
        <w:docPartGallery w:val="Page Numbers (Bottom of Page)"/>
        <w:docPartUnique/>
      </w:docPartObj>
    </w:sdtPr>
    <w:sdtEndPr>
      <w:rPr>
        <w:noProof/>
      </w:rPr>
    </w:sdtEndPr>
    <w:sdtContent>
      <w:p w14:paraId="0E79B705" w14:textId="2B34D12C" w:rsidR="001B3FB7" w:rsidRDefault="001B3FB7">
        <w:pPr>
          <w:pStyle w:val="Footer"/>
          <w:jc w:val="center"/>
        </w:pPr>
        <w:r>
          <w:fldChar w:fldCharType="begin"/>
        </w:r>
        <w:r>
          <w:instrText xml:space="preserve"> PAGE   \* MERGEFORMAT </w:instrText>
        </w:r>
        <w:r>
          <w:fldChar w:fldCharType="separate"/>
        </w:r>
        <w:r w:rsidR="004975D1">
          <w:rPr>
            <w:noProof/>
          </w:rPr>
          <w:t>xi</w:t>
        </w:r>
        <w:r>
          <w:rPr>
            <w:noProof/>
          </w:rPr>
          <w:fldChar w:fldCharType="end"/>
        </w:r>
      </w:p>
    </w:sdtContent>
  </w:sdt>
  <w:p w14:paraId="6E6EE3E0" w14:textId="77777777" w:rsidR="001B3FB7" w:rsidRDefault="001B3FB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6469664"/>
      <w:docPartObj>
        <w:docPartGallery w:val="Page Numbers (Bottom of Page)"/>
        <w:docPartUnique/>
      </w:docPartObj>
    </w:sdtPr>
    <w:sdtEndPr>
      <w:rPr>
        <w:noProof/>
      </w:rPr>
    </w:sdtEndPr>
    <w:sdtContent>
      <w:p w14:paraId="6A7A469B" w14:textId="6AB8A824" w:rsidR="001B3FB7" w:rsidRDefault="001B3FB7">
        <w:pPr>
          <w:pStyle w:val="Footer"/>
          <w:jc w:val="center"/>
        </w:pPr>
        <w:r>
          <w:fldChar w:fldCharType="begin"/>
        </w:r>
        <w:r>
          <w:instrText xml:space="preserve"> PAGE   \* MERGEFORMAT </w:instrText>
        </w:r>
        <w:r>
          <w:fldChar w:fldCharType="separate"/>
        </w:r>
        <w:r w:rsidR="004975D1">
          <w:rPr>
            <w:noProof/>
          </w:rPr>
          <w:t>10</w:t>
        </w:r>
        <w:r>
          <w:rPr>
            <w:noProof/>
          </w:rPr>
          <w:fldChar w:fldCharType="end"/>
        </w:r>
      </w:p>
    </w:sdtContent>
  </w:sdt>
  <w:p w14:paraId="6FF3964D" w14:textId="77777777" w:rsidR="001B3FB7" w:rsidRDefault="001B3FB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6600FF" w14:textId="77777777" w:rsidR="00D4669D" w:rsidRDefault="00D4669D">
      <w:pPr>
        <w:spacing w:after="0" w:line="240" w:lineRule="auto"/>
      </w:pPr>
      <w:r>
        <w:separator/>
      </w:r>
    </w:p>
  </w:footnote>
  <w:footnote w:type="continuationSeparator" w:id="0">
    <w:p w14:paraId="478939D4" w14:textId="77777777" w:rsidR="00D4669D" w:rsidRDefault="00D466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301AB"/>
    <w:multiLevelType w:val="multilevel"/>
    <w:tmpl w:val="69A2F8F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A15735"/>
    <w:multiLevelType w:val="multilevel"/>
    <w:tmpl w:val="AB9AB26C"/>
    <w:lvl w:ilvl="0">
      <w:numFmt w:val="decimal"/>
      <w:lvlText w:val="%1"/>
      <w:lvlJc w:val="left"/>
      <w:pPr>
        <w:ind w:left="660" w:hanging="660"/>
      </w:pPr>
      <w:rPr>
        <w:rFonts w:hint="default"/>
      </w:rPr>
    </w:lvl>
    <w:lvl w:ilvl="1">
      <w:start w:val="3116"/>
      <w:numFmt w:val="decimal"/>
      <w:lvlText w:val="%1.%2"/>
      <w:lvlJc w:val="left"/>
      <w:pPr>
        <w:ind w:left="948" w:hanging="66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584" w:hanging="72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520" w:hanging="108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456" w:hanging="1440"/>
      </w:pPr>
      <w:rPr>
        <w:rFonts w:hint="default"/>
      </w:rPr>
    </w:lvl>
    <w:lvl w:ilvl="8">
      <w:start w:val="1"/>
      <w:numFmt w:val="decimal"/>
      <w:lvlText w:val="%1.%2.%3.%4.%5.%6.%7.%8.%9"/>
      <w:lvlJc w:val="left"/>
      <w:pPr>
        <w:ind w:left="4104" w:hanging="1800"/>
      </w:pPr>
      <w:rPr>
        <w:rFonts w:hint="default"/>
      </w:rPr>
    </w:lvl>
  </w:abstractNum>
  <w:abstractNum w:abstractNumId="2" w15:restartNumberingAfterBreak="0">
    <w:nsid w:val="04A434DB"/>
    <w:multiLevelType w:val="multilevel"/>
    <w:tmpl w:val="E0C6A87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06D96718"/>
    <w:multiLevelType w:val="multilevel"/>
    <w:tmpl w:val="A82E70B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3277F5"/>
    <w:multiLevelType w:val="hybridMultilevel"/>
    <w:tmpl w:val="2966A73C"/>
    <w:lvl w:ilvl="0" w:tplc="CBA298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3C3BF3"/>
    <w:multiLevelType w:val="multilevel"/>
    <w:tmpl w:val="2A740216"/>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3F4311F"/>
    <w:multiLevelType w:val="multilevel"/>
    <w:tmpl w:val="A168BAC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9A34480"/>
    <w:multiLevelType w:val="hybridMultilevel"/>
    <w:tmpl w:val="8DF0AD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AC3707E"/>
    <w:multiLevelType w:val="hybridMultilevel"/>
    <w:tmpl w:val="B9D001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DD3226"/>
    <w:multiLevelType w:val="multilevel"/>
    <w:tmpl w:val="120A7D8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085596F"/>
    <w:multiLevelType w:val="multilevel"/>
    <w:tmpl w:val="C2248CA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22BA69F9"/>
    <w:multiLevelType w:val="multilevel"/>
    <w:tmpl w:val="94BC5D94"/>
    <w:lvl w:ilvl="0">
      <w:start w:val="3"/>
      <w:numFmt w:val="decimal"/>
      <w:lvlText w:val="%1."/>
      <w:lvlJc w:val="left"/>
      <w:pPr>
        <w:ind w:left="360" w:hanging="360"/>
      </w:pPr>
      <w:rPr>
        <w:rFonts w:hint="default"/>
      </w:rPr>
    </w:lvl>
    <w:lvl w:ilvl="1">
      <w:start w:val="2"/>
      <w:numFmt w:val="decimal"/>
      <w:lvlText w:val="%1.%2."/>
      <w:lvlJc w:val="left"/>
      <w:pPr>
        <w:ind w:left="936" w:hanging="36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472" w:hanging="1440"/>
      </w:pPr>
      <w:rPr>
        <w:rFonts w:hint="default"/>
      </w:rPr>
    </w:lvl>
    <w:lvl w:ilvl="8">
      <w:start w:val="1"/>
      <w:numFmt w:val="decimal"/>
      <w:lvlText w:val="%1.%2.%3.%4.%5.%6.%7.%8.%9."/>
      <w:lvlJc w:val="left"/>
      <w:pPr>
        <w:ind w:left="6408" w:hanging="1800"/>
      </w:pPr>
      <w:rPr>
        <w:rFonts w:hint="default"/>
      </w:rPr>
    </w:lvl>
  </w:abstractNum>
  <w:abstractNum w:abstractNumId="12" w15:restartNumberingAfterBreak="0">
    <w:nsid w:val="25CE799D"/>
    <w:multiLevelType w:val="multilevel"/>
    <w:tmpl w:val="7E2A8F2A"/>
    <w:lvl w:ilvl="0">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2910060C"/>
    <w:multiLevelType w:val="hybridMultilevel"/>
    <w:tmpl w:val="DE1ED590"/>
    <w:lvl w:ilvl="0" w:tplc="3C749170">
      <w:start w:val="62"/>
      <w:numFmt w:val="bullet"/>
      <w:lvlText w:val=""/>
      <w:lvlJc w:val="left"/>
      <w:pPr>
        <w:ind w:left="630" w:hanging="360"/>
      </w:pPr>
      <w:rPr>
        <w:rFonts w:ascii="Symbol" w:eastAsiaTheme="minorEastAsia" w:hAnsi="Symbol"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4" w15:restartNumberingAfterBreak="0">
    <w:nsid w:val="2D6067AC"/>
    <w:multiLevelType w:val="multilevel"/>
    <w:tmpl w:val="13B43DCA"/>
    <w:lvl w:ilvl="0">
      <w:start w:val="4"/>
      <w:numFmt w:val="decimal"/>
      <w:lvlText w:val="%1"/>
      <w:lvlJc w:val="left"/>
      <w:pPr>
        <w:ind w:left="360" w:hanging="360"/>
      </w:pPr>
      <w:rPr>
        <w:rFonts w:hint="default"/>
      </w:rPr>
    </w:lvl>
    <w:lvl w:ilvl="1">
      <w:start w:val="2"/>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1160" w:hanging="108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560" w:hanging="144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960" w:hanging="1800"/>
      </w:pPr>
      <w:rPr>
        <w:rFonts w:hint="default"/>
      </w:rPr>
    </w:lvl>
  </w:abstractNum>
  <w:abstractNum w:abstractNumId="15" w15:restartNumberingAfterBreak="0">
    <w:nsid w:val="2F7C5259"/>
    <w:multiLevelType w:val="hybridMultilevel"/>
    <w:tmpl w:val="D9B22372"/>
    <w:lvl w:ilvl="0" w:tplc="900A6DC6">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3F9254B"/>
    <w:multiLevelType w:val="hybridMultilevel"/>
    <w:tmpl w:val="54CED8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8326D3"/>
    <w:multiLevelType w:val="hybridMultilevel"/>
    <w:tmpl w:val="5EA441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948312F"/>
    <w:multiLevelType w:val="hybridMultilevel"/>
    <w:tmpl w:val="426C92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B8514F1"/>
    <w:multiLevelType w:val="hybridMultilevel"/>
    <w:tmpl w:val="60564A60"/>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BA31415"/>
    <w:multiLevelType w:val="hybridMultilevel"/>
    <w:tmpl w:val="89DE9FC4"/>
    <w:lvl w:ilvl="0" w:tplc="0809000F">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166298F"/>
    <w:multiLevelType w:val="multilevel"/>
    <w:tmpl w:val="2A5ED836"/>
    <w:lvl w:ilvl="0">
      <w:start w:val="1"/>
      <w:numFmt w:val="decimal"/>
      <w:lvlText w:val="%1."/>
      <w:lvlJc w:val="left"/>
      <w:pPr>
        <w:ind w:left="648" w:hanging="360"/>
      </w:pPr>
      <w:rPr>
        <w:rFonts w:hint="default"/>
      </w:rPr>
    </w:lvl>
    <w:lvl w:ilvl="1">
      <w:start w:val="2"/>
      <w:numFmt w:val="decimal"/>
      <w:isLgl/>
      <w:lvlText w:val="%1.%2"/>
      <w:lvlJc w:val="left"/>
      <w:pPr>
        <w:ind w:left="648" w:hanging="360"/>
      </w:pPr>
      <w:rPr>
        <w:rFonts w:hint="default"/>
      </w:rPr>
    </w:lvl>
    <w:lvl w:ilvl="2">
      <w:start w:val="1"/>
      <w:numFmt w:val="decimal"/>
      <w:isLgl/>
      <w:lvlText w:val="%1.%2.%3"/>
      <w:lvlJc w:val="left"/>
      <w:pPr>
        <w:ind w:left="1008" w:hanging="720"/>
      </w:pPr>
      <w:rPr>
        <w:rFonts w:hint="default"/>
      </w:rPr>
    </w:lvl>
    <w:lvl w:ilvl="3">
      <w:start w:val="1"/>
      <w:numFmt w:val="decimal"/>
      <w:isLgl/>
      <w:lvlText w:val="%1.%2.%3.%4"/>
      <w:lvlJc w:val="left"/>
      <w:pPr>
        <w:ind w:left="1008" w:hanging="720"/>
      </w:pPr>
      <w:rPr>
        <w:rFonts w:hint="default"/>
      </w:rPr>
    </w:lvl>
    <w:lvl w:ilvl="4">
      <w:start w:val="1"/>
      <w:numFmt w:val="decimal"/>
      <w:isLgl/>
      <w:lvlText w:val="%1.%2.%3.%4.%5"/>
      <w:lvlJc w:val="left"/>
      <w:pPr>
        <w:ind w:left="1368" w:hanging="1080"/>
      </w:pPr>
      <w:rPr>
        <w:rFonts w:hint="default"/>
      </w:rPr>
    </w:lvl>
    <w:lvl w:ilvl="5">
      <w:start w:val="1"/>
      <w:numFmt w:val="decimal"/>
      <w:isLgl/>
      <w:lvlText w:val="%1.%2.%3.%4.%5.%6"/>
      <w:lvlJc w:val="left"/>
      <w:pPr>
        <w:ind w:left="1368" w:hanging="1080"/>
      </w:pPr>
      <w:rPr>
        <w:rFonts w:hint="default"/>
      </w:rPr>
    </w:lvl>
    <w:lvl w:ilvl="6">
      <w:start w:val="1"/>
      <w:numFmt w:val="decimal"/>
      <w:isLgl/>
      <w:lvlText w:val="%1.%2.%3.%4.%5.%6.%7"/>
      <w:lvlJc w:val="left"/>
      <w:pPr>
        <w:ind w:left="1728" w:hanging="1440"/>
      </w:pPr>
      <w:rPr>
        <w:rFonts w:hint="default"/>
      </w:rPr>
    </w:lvl>
    <w:lvl w:ilvl="7">
      <w:start w:val="1"/>
      <w:numFmt w:val="decimal"/>
      <w:isLgl/>
      <w:lvlText w:val="%1.%2.%3.%4.%5.%6.%7.%8"/>
      <w:lvlJc w:val="left"/>
      <w:pPr>
        <w:ind w:left="1728" w:hanging="1440"/>
      </w:pPr>
      <w:rPr>
        <w:rFonts w:hint="default"/>
      </w:rPr>
    </w:lvl>
    <w:lvl w:ilvl="8">
      <w:start w:val="1"/>
      <w:numFmt w:val="decimal"/>
      <w:isLgl/>
      <w:lvlText w:val="%1.%2.%3.%4.%5.%6.%7.%8.%9"/>
      <w:lvlJc w:val="left"/>
      <w:pPr>
        <w:ind w:left="1728" w:hanging="1440"/>
      </w:pPr>
      <w:rPr>
        <w:rFonts w:hint="default"/>
      </w:rPr>
    </w:lvl>
  </w:abstractNum>
  <w:abstractNum w:abstractNumId="22" w15:restartNumberingAfterBreak="0">
    <w:nsid w:val="439E3AE3"/>
    <w:multiLevelType w:val="multilevel"/>
    <w:tmpl w:val="6AB29AA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46C36B7F"/>
    <w:multiLevelType w:val="hybridMultilevel"/>
    <w:tmpl w:val="8F82F2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F0E1967"/>
    <w:multiLevelType w:val="hybridMultilevel"/>
    <w:tmpl w:val="2A0C7C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15867AF"/>
    <w:multiLevelType w:val="hybridMultilevel"/>
    <w:tmpl w:val="07DCC550"/>
    <w:lvl w:ilvl="0" w:tplc="51F8F58E">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554914F7"/>
    <w:multiLevelType w:val="hybridMultilevel"/>
    <w:tmpl w:val="E54C1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5724A97"/>
    <w:multiLevelType w:val="hybridMultilevel"/>
    <w:tmpl w:val="963E54C8"/>
    <w:lvl w:ilvl="0" w:tplc="08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67C2740"/>
    <w:multiLevelType w:val="hybridMultilevel"/>
    <w:tmpl w:val="4A40E7A0"/>
    <w:lvl w:ilvl="0" w:tplc="CBA298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1E078F"/>
    <w:multiLevelType w:val="hybridMultilevel"/>
    <w:tmpl w:val="24CAC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1B533AF"/>
    <w:multiLevelType w:val="hybridMultilevel"/>
    <w:tmpl w:val="AD8ED11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EB2E2F"/>
    <w:multiLevelType w:val="multilevel"/>
    <w:tmpl w:val="7EFAB0A4"/>
    <w:lvl w:ilvl="0">
      <w:start w:val="1"/>
      <w:numFmt w:val="decimal"/>
      <w:lvlText w:val="%1"/>
      <w:lvlJc w:val="left"/>
      <w:pPr>
        <w:ind w:left="3126" w:hanging="432"/>
      </w:pPr>
      <w:rPr>
        <w:sz w:val="32"/>
        <w:szCs w:val="32"/>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64457E53"/>
    <w:multiLevelType w:val="multilevel"/>
    <w:tmpl w:val="2D822806"/>
    <w:lvl w:ilvl="0">
      <w:start w:val="4"/>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33" w15:restartNumberingAfterBreak="0">
    <w:nsid w:val="687D542C"/>
    <w:multiLevelType w:val="multilevel"/>
    <w:tmpl w:val="B858B1A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8C21650"/>
    <w:multiLevelType w:val="hybridMultilevel"/>
    <w:tmpl w:val="6D48E2AE"/>
    <w:lvl w:ilvl="0" w:tplc="CBA2980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A59287A"/>
    <w:multiLevelType w:val="multilevel"/>
    <w:tmpl w:val="5C9EB6B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6BE46511"/>
    <w:multiLevelType w:val="hybridMultilevel"/>
    <w:tmpl w:val="6A548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6735EB9"/>
    <w:multiLevelType w:val="multilevel"/>
    <w:tmpl w:val="55400598"/>
    <w:lvl w:ilvl="0">
      <w:numFmt w:val="decimal"/>
      <w:lvlText w:val="%1"/>
      <w:lvlJc w:val="left"/>
      <w:pPr>
        <w:ind w:left="570" w:hanging="570"/>
      </w:pPr>
      <w:rPr>
        <w:rFonts w:hint="default"/>
      </w:rPr>
    </w:lvl>
    <w:lvl w:ilvl="1">
      <w:start w:val="7928"/>
      <w:numFmt w:val="decimal"/>
      <w:lvlText w:val="%1.%2"/>
      <w:lvlJc w:val="left"/>
      <w:pPr>
        <w:ind w:left="858" w:hanging="57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584" w:hanging="72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520" w:hanging="108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456" w:hanging="1440"/>
      </w:pPr>
      <w:rPr>
        <w:rFonts w:hint="default"/>
      </w:rPr>
    </w:lvl>
    <w:lvl w:ilvl="8">
      <w:start w:val="1"/>
      <w:numFmt w:val="decimal"/>
      <w:lvlText w:val="%1.%2.%3.%4.%5.%6.%7.%8.%9"/>
      <w:lvlJc w:val="left"/>
      <w:pPr>
        <w:ind w:left="4104" w:hanging="1800"/>
      </w:pPr>
      <w:rPr>
        <w:rFonts w:hint="default"/>
      </w:rPr>
    </w:lvl>
  </w:abstractNum>
  <w:abstractNum w:abstractNumId="38" w15:restartNumberingAfterBreak="0">
    <w:nsid w:val="78290CEF"/>
    <w:multiLevelType w:val="hybridMultilevel"/>
    <w:tmpl w:val="8250CA1E"/>
    <w:lvl w:ilvl="0" w:tplc="E520A8F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B99754B"/>
    <w:multiLevelType w:val="multilevel"/>
    <w:tmpl w:val="2B1C5EC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0" w15:restartNumberingAfterBreak="0">
    <w:nsid w:val="7C981C14"/>
    <w:multiLevelType w:val="hybridMultilevel"/>
    <w:tmpl w:val="B56C6198"/>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D126A12"/>
    <w:multiLevelType w:val="multilevel"/>
    <w:tmpl w:val="080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8"/>
  </w:num>
  <w:num w:numId="2">
    <w:abstractNumId w:val="29"/>
  </w:num>
  <w:num w:numId="3">
    <w:abstractNumId w:val="27"/>
  </w:num>
  <w:num w:numId="4">
    <w:abstractNumId w:val="4"/>
  </w:num>
  <w:num w:numId="5">
    <w:abstractNumId w:val="40"/>
  </w:num>
  <w:num w:numId="6">
    <w:abstractNumId w:val="28"/>
  </w:num>
  <w:num w:numId="7">
    <w:abstractNumId w:val="34"/>
  </w:num>
  <w:num w:numId="8">
    <w:abstractNumId w:val="12"/>
  </w:num>
  <w:num w:numId="9">
    <w:abstractNumId w:val="5"/>
  </w:num>
  <w:num w:numId="10">
    <w:abstractNumId w:val="13"/>
  </w:num>
  <w:num w:numId="11">
    <w:abstractNumId w:val="38"/>
  </w:num>
  <w:num w:numId="12">
    <w:abstractNumId w:val="21"/>
  </w:num>
  <w:num w:numId="13">
    <w:abstractNumId w:val="1"/>
  </w:num>
  <w:num w:numId="14">
    <w:abstractNumId w:val="37"/>
  </w:num>
  <w:num w:numId="15">
    <w:abstractNumId w:val="9"/>
  </w:num>
  <w:num w:numId="16">
    <w:abstractNumId w:val="26"/>
  </w:num>
  <w:num w:numId="17">
    <w:abstractNumId w:val="16"/>
  </w:num>
  <w:num w:numId="18">
    <w:abstractNumId w:val="33"/>
  </w:num>
  <w:num w:numId="19">
    <w:abstractNumId w:val="24"/>
  </w:num>
  <w:num w:numId="20">
    <w:abstractNumId w:val="39"/>
  </w:num>
  <w:num w:numId="21">
    <w:abstractNumId w:val="30"/>
  </w:num>
  <w:num w:numId="22">
    <w:abstractNumId w:val="15"/>
  </w:num>
  <w:num w:numId="23">
    <w:abstractNumId w:val="25"/>
  </w:num>
  <w:num w:numId="24">
    <w:abstractNumId w:val="14"/>
  </w:num>
  <w:num w:numId="25">
    <w:abstractNumId w:val="32"/>
  </w:num>
  <w:num w:numId="26">
    <w:abstractNumId w:val="23"/>
  </w:num>
  <w:num w:numId="27">
    <w:abstractNumId w:val="18"/>
  </w:num>
  <w:num w:numId="28">
    <w:abstractNumId w:val="7"/>
  </w:num>
  <w:num w:numId="29">
    <w:abstractNumId w:val="19"/>
  </w:num>
  <w:num w:numId="30">
    <w:abstractNumId w:val="41"/>
  </w:num>
  <w:num w:numId="31">
    <w:abstractNumId w:val="3"/>
  </w:num>
  <w:num w:numId="32">
    <w:abstractNumId w:val="20"/>
  </w:num>
  <w:num w:numId="33">
    <w:abstractNumId w:val="0"/>
  </w:num>
  <w:num w:numId="34">
    <w:abstractNumId w:val="2"/>
  </w:num>
  <w:num w:numId="35">
    <w:abstractNumId w:val="17"/>
  </w:num>
  <w:num w:numId="36">
    <w:abstractNumId w:val="35"/>
  </w:num>
  <w:num w:numId="37">
    <w:abstractNumId w:val="22"/>
  </w:num>
  <w:num w:numId="38">
    <w:abstractNumId w:val="6"/>
  </w:num>
  <w:num w:numId="39">
    <w:abstractNumId w:val="10"/>
  </w:num>
  <w:num w:numId="40">
    <w:abstractNumId w:val="31"/>
  </w:num>
  <w:num w:numId="41">
    <w:abstractNumId w:val="36"/>
  </w:num>
  <w:num w:numId="4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297"/>
    <w:rsid w:val="00006390"/>
    <w:rsid w:val="0001044D"/>
    <w:rsid w:val="00012C5F"/>
    <w:rsid w:val="00013417"/>
    <w:rsid w:val="00016102"/>
    <w:rsid w:val="00016A1F"/>
    <w:rsid w:val="00017723"/>
    <w:rsid w:val="000213AF"/>
    <w:rsid w:val="00025555"/>
    <w:rsid w:val="000256AB"/>
    <w:rsid w:val="000409F3"/>
    <w:rsid w:val="0005778C"/>
    <w:rsid w:val="000713C1"/>
    <w:rsid w:val="00076FD0"/>
    <w:rsid w:val="00077FE9"/>
    <w:rsid w:val="000807CF"/>
    <w:rsid w:val="00092445"/>
    <w:rsid w:val="000A1297"/>
    <w:rsid w:val="000A1F6F"/>
    <w:rsid w:val="000A3D6D"/>
    <w:rsid w:val="000A429A"/>
    <w:rsid w:val="000B2036"/>
    <w:rsid w:val="000B4566"/>
    <w:rsid w:val="000B6775"/>
    <w:rsid w:val="000C123A"/>
    <w:rsid w:val="000C127D"/>
    <w:rsid w:val="000C314C"/>
    <w:rsid w:val="000D327D"/>
    <w:rsid w:val="000D3CA1"/>
    <w:rsid w:val="000D768D"/>
    <w:rsid w:val="000E3408"/>
    <w:rsid w:val="000E7129"/>
    <w:rsid w:val="000F19FE"/>
    <w:rsid w:val="000F35DD"/>
    <w:rsid w:val="00101BEE"/>
    <w:rsid w:val="001057BA"/>
    <w:rsid w:val="00110080"/>
    <w:rsid w:val="001101C3"/>
    <w:rsid w:val="00120E33"/>
    <w:rsid w:val="00126302"/>
    <w:rsid w:val="001304DB"/>
    <w:rsid w:val="00137A4C"/>
    <w:rsid w:val="00141D04"/>
    <w:rsid w:val="0014290F"/>
    <w:rsid w:val="001465FD"/>
    <w:rsid w:val="0015171D"/>
    <w:rsid w:val="00154030"/>
    <w:rsid w:val="00156C3F"/>
    <w:rsid w:val="001640F9"/>
    <w:rsid w:val="00165B0C"/>
    <w:rsid w:val="001733A4"/>
    <w:rsid w:val="00182B31"/>
    <w:rsid w:val="00186B35"/>
    <w:rsid w:val="0019633B"/>
    <w:rsid w:val="001A01B3"/>
    <w:rsid w:val="001A5452"/>
    <w:rsid w:val="001A74AE"/>
    <w:rsid w:val="001A7F8B"/>
    <w:rsid w:val="001B1095"/>
    <w:rsid w:val="001B3B9C"/>
    <w:rsid w:val="001B3F6C"/>
    <w:rsid w:val="001B3FB7"/>
    <w:rsid w:val="001B7B3F"/>
    <w:rsid w:val="001D0076"/>
    <w:rsid w:val="001D475F"/>
    <w:rsid w:val="001D714A"/>
    <w:rsid w:val="001E0DBB"/>
    <w:rsid w:val="001E4493"/>
    <w:rsid w:val="001E7B6A"/>
    <w:rsid w:val="001F4A5D"/>
    <w:rsid w:val="00200018"/>
    <w:rsid w:val="00201606"/>
    <w:rsid w:val="0020194E"/>
    <w:rsid w:val="00210BC4"/>
    <w:rsid w:val="00211441"/>
    <w:rsid w:val="00211DEA"/>
    <w:rsid w:val="00212FE7"/>
    <w:rsid w:val="00214214"/>
    <w:rsid w:val="002147D3"/>
    <w:rsid w:val="00214D2D"/>
    <w:rsid w:val="00217DC8"/>
    <w:rsid w:val="00221517"/>
    <w:rsid w:val="00221647"/>
    <w:rsid w:val="002275CE"/>
    <w:rsid w:val="002351E0"/>
    <w:rsid w:val="002354ED"/>
    <w:rsid w:val="0023569D"/>
    <w:rsid w:val="00237210"/>
    <w:rsid w:val="00245B5C"/>
    <w:rsid w:val="002645A8"/>
    <w:rsid w:val="00277F5A"/>
    <w:rsid w:val="00283E3B"/>
    <w:rsid w:val="00285084"/>
    <w:rsid w:val="00290CA8"/>
    <w:rsid w:val="0029126D"/>
    <w:rsid w:val="00296463"/>
    <w:rsid w:val="0029749B"/>
    <w:rsid w:val="0029756E"/>
    <w:rsid w:val="002A0AAA"/>
    <w:rsid w:val="002A4CD6"/>
    <w:rsid w:val="002B0B54"/>
    <w:rsid w:val="002B61AB"/>
    <w:rsid w:val="002B7F4B"/>
    <w:rsid w:val="002C5D79"/>
    <w:rsid w:val="002C78C6"/>
    <w:rsid w:val="002D03C9"/>
    <w:rsid w:val="002D2204"/>
    <w:rsid w:val="002D50C5"/>
    <w:rsid w:val="002D5B74"/>
    <w:rsid w:val="002D666F"/>
    <w:rsid w:val="002E0081"/>
    <w:rsid w:val="002E427E"/>
    <w:rsid w:val="002E496B"/>
    <w:rsid w:val="002F042C"/>
    <w:rsid w:val="00301529"/>
    <w:rsid w:val="003034FA"/>
    <w:rsid w:val="00304442"/>
    <w:rsid w:val="00304FC1"/>
    <w:rsid w:val="00314423"/>
    <w:rsid w:val="00320F96"/>
    <w:rsid w:val="00321F07"/>
    <w:rsid w:val="00321F74"/>
    <w:rsid w:val="00322EE1"/>
    <w:rsid w:val="00323F2C"/>
    <w:rsid w:val="00330429"/>
    <w:rsid w:val="0033210F"/>
    <w:rsid w:val="003352E5"/>
    <w:rsid w:val="00336A44"/>
    <w:rsid w:val="00336FE3"/>
    <w:rsid w:val="00345B5C"/>
    <w:rsid w:val="0035119D"/>
    <w:rsid w:val="00360A96"/>
    <w:rsid w:val="00363B52"/>
    <w:rsid w:val="00367EB1"/>
    <w:rsid w:val="00373B10"/>
    <w:rsid w:val="00376544"/>
    <w:rsid w:val="00385823"/>
    <w:rsid w:val="003867DA"/>
    <w:rsid w:val="00387E17"/>
    <w:rsid w:val="003913C1"/>
    <w:rsid w:val="003963CF"/>
    <w:rsid w:val="003A11DA"/>
    <w:rsid w:val="003A24B8"/>
    <w:rsid w:val="003A43E2"/>
    <w:rsid w:val="003A480C"/>
    <w:rsid w:val="003C0218"/>
    <w:rsid w:val="003C15E1"/>
    <w:rsid w:val="003C6953"/>
    <w:rsid w:val="003D1E0D"/>
    <w:rsid w:val="003D62C8"/>
    <w:rsid w:val="003D716D"/>
    <w:rsid w:val="003F07F7"/>
    <w:rsid w:val="0040138E"/>
    <w:rsid w:val="00401CA2"/>
    <w:rsid w:val="0041000F"/>
    <w:rsid w:val="00436E8D"/>
    <w:rsid w:val="00436EB8"/>
    <w:rsid w:val="00444ED0"/>
    <w:rsid w:val="004507F7"/>
    <w:rsid w:val="00453284"/>
    <w:rsid w:val="004715D4"/>
    <w:rsid w:val="00475A6B"/>
    <w:rsid w:val="0048672B"/>
    <w:rsid w:val="0049188E"/>
    <w:rsid w:val="00492AD8"/>
    <w:rsid w:val="0049316A"/>
    <w:rsid w:val="00493E7C"/>
    <w:rsid w:val="004975D1"/>
    <w:rsid w:val="004A14D4"/>
    <w:rsid w:val="004A17DD"/>
    <w:rsid w:val="004A6871"/>
    <w:rsid w:val="004B309F"/>
    <w:rsid w:val="004C172B"/>
    <w:rsid w:val="004C746E"/>
    <w:rsid w:val="004D0F8E"/>
    <w:rsid w:val="004D4998"/>
    <w:rsid w:val="004D6281"/>
    <w:rsid w:val="004D6C61"/>
    <w:rsid w:val="004E454E"/>
    <w:rsid w:val="004E5973"/>
    <w:rsid w:val="004E6C74"/>
    <w:rsid w:val="004F669A"/>
    <w:rsid w:val="005020C7"/>
    <w:rsid w:val="005128D5"/>
    <w:rsid w:val="0052183B"/>
    <w:rsid w:val="00524CDB"/>
    <w:rsid w:val="00526A75"/>
    <w:rsid w:val="00531889"/>
    <w:rsid w:val="0053651F"/>
    <w:rsid w:val="00545303"/>
    <w:rsid w:val="00551ED9"/>
    <w:rsid w:val="005565F0"/>
    <w:rsid w:val="00576597"/>
    <w:rsid w:val="00583251"/>
    <w:rsid w:val="0059629A"/>
    <w:rsid w:val="005A2113"/>
    <w:rsid w:val="005A797A"/>
    <w:rsid w:val="005B1DA3"/>
    <w:rsid w:val="005B21AE"/>
    <w:rsid w:val="005C33D9"/>
    <w:rsid w:val="005C3D37"/>
    <w:rsid w:val="005C57FA"/>
    <w:rsid w:val="005D181E"/>
    <w:rsid w:val="005D1B4D"/>
    <w:rsid w:val="005D75EA"/>
    <w:rsid w:val="005E0455"/>
    <w:rsid w:val="005E169A"/>
    <w:rsid w:val="005E340B"/>
    <w:rsid w:val="005E689D"/>
    <w:rsid w:val="005F2D12"/>
    <w:rsid w:val="00600F1B"/>
    <w:rsid w:val="00610042"/>
    <w:rsid w:val="00616A85"/>
    <w:rsid w:val="00617825"/>
    <w:rsid w:val="00620859"/>
    <w:rsid w:val="00621DF7"/>
    <w:rsid w:val="006230A9"/>
    <w:rsid w:val="00632685"/>
    <w:rsid w:val="00634EF4"/>
    <w:rsid w:val="00644524"/>
    <w:rsid w:val="00644946"/>
    <w:rsid w:val="006556CD"/>
    <w:rsid w:val="0065721F"/>
    <w:rsid w:val="0066216E"/>
    <w:rsid w:val="00664632"/>
    <w:rsid w:val="0066654A"/>
    <w:rsid w:val="0068275D"/>
    <w:rsid w:val="00684778"/>
    <w:rsid w:val="00685F1C"/>
    <w:rsid w:val="006938C8"/>
    <w:rsid w:val="006A3146"/>
    <w:rsid w:val="006A68CE"/>
    <w:rsid w:val="006C2A20"/>
    <w:rsid w:val="006C2F5E"/>
    <w:rsid w:val="006C325A"/>
    <w:rsid w:val="006C3E06"/>
    <w:rsid w:val="006D4F12"/>
    <w:rsid w:val="006D50FA"/>
    <w:rsid w:val="006E6AA4"/>
    <w:rsid w:val="006E7C3E"/>
    <w:rsid w:val="006F38AE"/>
    <w:rsid w:val="0070339F"/>
    <w:rsid w:val="007172D6"/>
    <w:rsid w:val="00720A61"/>
    <w:rsid w:val="007331C7"/>
    <w:rsid w:val="0073586E"/>
    <w:rsid w:val="00736803"/>
    <w:rsid w:val="00741D4D"/>
    <w:rsid w:val="00743F6E"/>
    <w:rsid w:val="007454C7"/>
    <w:rsid w:val="00747A84"/>
    <w:rsid w:val="00750EBB"/>
    <w:rsid w:val="00756740"/>
    <w:rsid w:val="0076089E"/>
    <w:rsid w:val="00767C05"/>
    <w:rsid w:val="007701C1"/>
    <w:rsid w:val="00770AF2"/>
    <w:rsid w:val="00776520"/>
    <w:rsid w:val="00784880"/>
    <w:rsid w:val="007865C4"/>
    <w:rsid w:val="007A0425"/>
    <w:rsid w:val="007A5F08"/>
    <w:rsid w:val="007A6877"/>
    <w:rsid w:val="007D10CD"/>
    <w:rsid w:val="007D27B6"/>
    <w:rsid w:val="007E055C"/>
    <w:rsid w:val="007E33D9"/>
    <w:rsid w:val="007E431E"/>
    <w:rsid w:val="007E4AF6"/>
    <w:rsid w:val="007E6F7F"/>
    <w:rsid w:val="0080293D"/>
    <w:rsid w:val="00806FE0"/>
    <w:rsid w:val="00807A6D"/>
    <w:rsid w:val="008153C4"/>
    <w:rsid w:val="008159AF"/>
    <w:rsid w:val="00821520"/>
    <w:rsid w:val="00827B7B"/>
    <w:rsid w:val="00832463"/>
    <w:rsid w:val="00836794"/>
    <w:rsid w:val="00837B3A"/>
    <w:rsid w:val="0084355F"/>
    <w:rsid w:val="0084478F"/>
    <w:rsid w:val="00856622"/>
    <w:rsid w:val="008639A9"/>
    <w:rsid w:val="00864BFD"/>
    <w:rsid w:val="0086526A"/>
    <w:rsid w:val="008728B8"/>
    <w:rsid w:val="00873295"/>
    <w:rsid w:val="0088043A"/>
    <w:rsid w:val="00880ECC"/>
    <w:rsid w:val="00882978"/>
    <w:rsid w:val="008916D7"/>
    <w:rsid w:val="00896460"/>
    <w:rsid w:val="00897D83"/>
    <w:rsid w:val="008A2569"/>
    <w:rsid w:val="008A26B2"/>
    <w:rsid w:val="008A66C3"/>
    <w:rsid w:val="008B16EE"/>
    <w:rsid w:val="008E4A16"/>
    <w:rsid w:val="008E6C51"/>
    <w:rsid w:val="008F0DFC"/>
    <w:rsid w:val="008F2D49"/>
    <w:rsid w:val="008F5C8D"/>
    <w:rsid w:val="00900CF0"/>
    <w:rsid w:val="00901C88"/>
    <w:rsid w:val="009218BF"/>
    <w:rsid w:val="0093058A"/>
    <w:rsid w:val="00930773"/>
    <w:rsid w:val="0093149B"/>
    <w:rsid w:val="00932E24"/>
    <w:rsid w:val="00944469"/>
    <w:rsid w:val="00944475"/>
    <w:rsid w:val="0094775B"/>
    <w:rsid w:val="00951DB5"/>
    <w:rsid w:val="00963C6B"/>
    <w:rsid w:val="0097110C"/>
    <w:rsid w:val="00976170"/>
    <w:rsid w:val="00985F31"/>
    <w:rsid w:val="0098706E"/>
    <w:rsid w:val="00987699"/>
    <w:rsid w:val="00993F11"/>
    <w:rsid w:val="0099783B"/>
    <w:rsid w:val="009A1ACE"/>
    <w:rsid w:val="009A4F3F"/>
    <w:rsid w:val="009C2E51"/>
    <w:rsid w:val="009C608D"/>
    <w:rsid w:val="009E3703"/>
    <w:rsid w:val="009F003B"/>
    <w:rsid w:val="00A011F3"/>
    <w:rsid w:val="00A22DC4"/>
    <w:rsid w:val="00A31710"/>
    <w:rsid w:val="00A35ECE"/>
    <w:rsid w:val="00A46639"/>
    <w:rsid w:val="00A51E00"/>
    <w:rsid w:val="00A54217"/>
    <w:rsid w:val="00A56AFA"/>
    <w:rsid w:val="00A57BC9"/>
    <w:rsid w:val="00A717F2"/>
    <w:rsid w:val="00A759D4"/>
    <w:rsid w:val="00A8029E"/>
    <w:rsid w:val="00A81414"/>
    <w:rsid w:val="00A91B7A"/>
    <w:rsid w:val="00A93E4C"/>
    <w:rsid w:val="00AA0380"/>
    <w:rsid w:val="00AB0341"/>
    <w:rsid w:val="00AB6160"/>
    <w:rsid w:val="00AC2311"/>
    <w:rsid w:val="00AC24BE"/>
    <w:rsid w:val="00AC3FFC"/>
    <w:rsid w:val="00AC412D"/>
    <w:rsid w:val="00AC5013"/>
    <w:rsid w:val="00AC5638"/>
    <w:rsid w:val="00AD7EFB"/>
    <w:rsid w:val="00AF00E5"/>
    <w:rsid w:val="00AF3C5B"/>
    <w:rsid w:val="00B05D79"/>
    <w:rsid w:val="00B06015"/>
    <w:rsid w:val="00B12AFB"/>
    <w:rsid w:val="00B14E10"/>
    <w:rsid w:val="00B165E0"/>
    <w:rsid w:val="00B270DC"/>
    <w:rsid w:val="00B40875"/>
    <w:rsid w:val="00B46061"/>
    <w:rsid w:val="00B50056"/>
    <w:rsid w:val="00B527F6"/>
    <w:rsid w:val="00B54D04"/>
    <w:rsid w:val="00B72F48"/>
    <w:rsid w:val="00B873FD"/>
    <w:rsid w:val="00BA2EDF"/>
    <w:rsid w:val="00BC0920"/>
    <w:rsid w:val="00BC6FBB"/>
    <w:rsid w:val="00BD1DD2"/>
    <w:rsid w:val="00BE2762"/>
    <w:rsid w:val="00BE3B1A"/>
    <w:rsid w:val="00BF19FB"/>
    <w:rsid w:val="00BF4645"/>
    <w:rsid w:val="00C0409B"/>
    <w:rsid w:val="00C1080E"/>
    <w:rsid w:val="00C10FA3"/>
    <w:rsid w:val="00C14BF7"/>
    <w:rsid w:val="00C24F68"/>
    <w:rsid w:val="00C266A6"/>
    <w:rsid w:val="00C33D83"/>
    <w:rsid w:val="00C41A2B"/>
    <w:rsid w:val="00C44EA9"/>
    <w:rsid w:val="00C53253"/>
    <w:rsid w:val="00C555CA"/>
    <w:rsid w:val="00C560D3"/>
    <w:rsid w:val="00C56266"/>
    <w:rsid w:val="00C61836"/>
    <w:rsid w:val="00C666E2"/>
    <w:rsid w:val="00C710CF"/>
    <w:rsid w:val="00C72670"/>
    <w:rsid w:val="00C76DE0"/>
    <w:rsid w:val="00C822B1"/>
    <w:rsid w:val="00C9164E"/>
    <w:rsid w:val="00C95649"/>
    <w:rsid w:val="00CA4D23"/>
    <w:rsid w:val="00CA6C80"/>
    <w:rsid w:val="00CB122A"/>
    <w:rsid w:val="00CB1990"/>
    <w:rsid w:val="00CB2FE7"/>
    <w:rsid w:val="00CB5406"/>
    <w:rsid w:val="00CC25B1"/>
    <w:rsid w:val="00CE0B27"/>
    <w:rsid w:val="00CE1238"/>
    <w:rsid w:val="00CE6E0D"/>
    <w:rsid w:val="00CF2505"/>
    <w:rsid w:val="00CF4FBB"/>
    <w:rsid w:val="00D003E1"/>
    <w:rsid w:val="00D14688"/>
    <w:rsid w:val="00D16D20"/>
    <w:rsid w:val="00D17A05"/>
    <w:rsid w:val="00D2203F"/>
    <w:rsid w:val="00D24849"/>
    <w:rsid w:val="00D31BCD"/>
    <w:rsid w:val="00D45040"/>
    <w:rsid w:val="00D4669D"/>
    <w:rsid w:val="00D47B0A"/>
    <w:rsid w:val="00D5587C"/>
    <w:rsid w:val="00D606C6"/>
    <w:rsid w:val="00D70173"/>
    <w:rsid w:val="00D77BE0"/>
    <w:rsid w:val="00D81155"/>
    <w:rsid w:val="00D843F1"/>
    <w:rsid w:val="00D8542B"/>
    <w:rsid w:val="00D9257D"/>
    <w:rsid w:val="00D950C2"/>
    <w:rsid w:val="00D96FE7"/>
    <w:rsid w:val="00D973A8"/>
    <w:rsid w:val="00DA21D8"/>
    <w:rsid w:val="00DA3449"/>
    <w:rsid w:val="00DA69B8"/>
    <w:rsid w:val="00DA79A3"/>
    <w:rsid w:val="00DB03E0"/>
    <w:rsid w:val="00DB10A3"/>
    <w:rsid w:val="00DB1C3B"/>
    <w:rsid w:val="00DB2681"/>
    <w:rsid w:val="00DC340E"/>
    <w:rsid w:val="00DC7982"/>
    <w:rsid w:val="00DC7A4D"/>
    <w:rsid w:val="00DD1AFE"/>
    <w:rsid w:val="00DF245E"/>
    <w:rsid w:val="00DF42E7"/>
    <w:rsid w:val="00DF48CF"/>
    <w:rsid w:val="00DF72E2"/>
    <w:rsid w:val="00E10BDE"/>
    <w:rsid w:val="00E111B2"/>
    <w:rsid w:val="00E148D8"/>
    <w:rsid w:val="00E231A1"/>
    <w:rsid w:val="00E32B41"/>
    <w:rsid w:val="00E3476F"/>
    <w:rsid w:val="00E34B8B"/>
    <w:rsid w:val="00E42887"/>
    <w:rsid w:val="00E44870"/>
    <w:rsid w:val="00E45334"/>
    <w:rsid w:val="00E546EF"/>
    <w:rsid w:val="00E552A3"/>
    <w:rsid w:val="00E67037"/>
    <w:rsid w:val="00E709EE"/>
    <w:rsid w:val="00E7278B"/>
    <w:rsid w:val="00E761F6"/>
    <w:rsid w:val="00EA1575"/>
    <w:rsid w:val="00EA1D73"/>
    <w:rsid w:val="00EA5F73"/>
    <w:rsid w:val="00EA6158"/>
    <w:rsid w:val="00EB07E6"/>
    <w:rsid w:val="00EB4EC1"/>
    <w:rsid w:val="00EB703A"/>
    <w:rsid w:val="00EC12AF"/>
    <w:rsid w:val="00EC3BE6"/>
    <w:rsid w:val="00EC61B1"/>
    <w:rsid w:val="00ED26A0"/>
    <w:rsid w:val="00ED3960"/>
    <w:rsid w:val="00ED6CCB"/>
    <w:rsid w:val="00ED799E"/>
    <w:rsid w:val="00EE1B27"/>
    <w:rsid w:val="00EE74BB"/>
    <w:rsid w:val="00EE7F1B"/>
    <w:rsid w:val="00EF086B"/>
    <w:rsid w:val="00F007FA"/>
    <w:rsid w:val="00F10828"/>
    <w:rsid w:val="00F1142F"/>
    <w:rsid w:val="00F148DD"/>
    <w:rsid w:val="00F16DBB"/>
    <w:rsid w:val="00F365B1"/>
    <w:rsid w:val="00F40584"/>
    <w:rsid w:val="00F42B32"/>
    <w:rsid w:val="00F50AC6"/>
    <w:rsid w:val="00F53C4E"/>
    <w:rsid w:val="00F56479"/>
    <w:rsid w:val="00F63BFB"/>
    <w:rsid w:val="00F85694"/>
    <w:rsid w:val="00F8632D"/>
    <w:rsid w:val="00F90D58"/>
    <w:rsid w:val="00F93455"/>
    <w:rsid w:val="00FA115E"/>
    <w:rsid w:val="00FA3C32"/>
    <w:rsid w:val="00FA6A20"/>
    <w:rsid w:val="00FB2CBF"/>
    <w:rsid w:val="00FB74BF"/>
    <w:rsid w:val="00FC4D2E"/>
    <w:rsid w:val="00FD025E"/>
    <w:rsid w:val="00FD69F7"/>
    <w:rsid w:val="00FD7297"/>
    <w:rsid w:val="00FE5125"/>
    <w:rsid w:val="00FE54F4"/>
    <w:rsid w:val="00FE5EDF"/>
    <w:rsid w:val="00FF39B5"/>
    <w:rsid w:val="00FF5086"/>
    <w:rsid w:val="00FF5E21"/>
    <w:rsid w:val="00FF6A9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A5D9E5"/>
  <w15:chartTrackingRefBased/>
  <w15:docId w15:val="{F5DEDDE5-7E57-431B-A8A1-ECB15A4A3A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7B0A"/>
    <w:rPr>
      <w:lang w:val="en-US"/>
    </w:rPr>
  </w:style>
  <w:style w:type="paragraph" w:styleId="Heading1">
    <w:name w:val="heading 1"/>
    <w:basedOn w:val="Normal"/>
    <w:next w:val="Normal"/>
    <w:link w:val="Heading1Char"/>
    <w:uiPriority w:val="9"/>
    <w:qFormat/>
    <w:rsid w:val="00F63BFB"/>
    <w:pPr>
      <w:keepNext/>
      <w:keepLines/>
      <w:spacing w:before="240" w:after="0" w:line="480" w:lineRule="auto"/>
      <w:jc w:val="both"/>
      <w:outlineLvl w:val="0"/>
    </w:pPr>
    <w:rPr>
      <w:rFonts w:ascii="Times New Roman" w:eastAsiaTheme="majorEastAsia" w:hAnsi="Times New Roman" w:cstheme="majorBidi"/>
      <w:b/>
      <w:color w:val="000000" w:themeColor="text1"/>
      <w:sz w:val="36"/>
      <w:szCs w:val="32"/>
    </w:rPr>
  </w:style>
  <w:style w:type="paragraph" w:styleId="Heading2">
    <w:name w:val="heading 2"/>
    <w:basedOn w:val="Normal"/>
    <w:next w:val="Normal"/>
    <w:link w:val="Heading2Char"/>
    <w:uiPriority w:val="9"/>
    <w:unhideWhenUsed/>
    <w:qFormat/>
    <w:rsid w:val="00A22DC4"/>
    <w:pPr>
      <w:keepNext/>
      <w:keepLines/>
      <w:spacing w:before="40" w:after="0" w:line="480" w:lineRule="auto"/>
      <w:jc w:val="both"/>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unhideWhenUsed/>
    <w:qFormat/>
    <w:rsid w:val="00882978"/>
    <w:pPr>
      <w:keepNext/>
      <w:keepLines/>
      <w:spacing w:before="40" w:after="0" w:line="480" w:lineRule="auto"/>
      <w:jc w:val="both"/>
      <w:outlineLvl w:val="2"/>
    </w:pPr>
    <w:rPr>
      <w:rFonts w:ascii="Times New Roman" w:eastAsiaTheme="majorEastAsia" w:hAnsi="Times New Roman" w:cstheme="majorBidi"/>
      <w:color w:val="000000" w:themeColor="text1"/>
      <w:sz w:val="24"/>
      <w:szCs w:val="24"/>
    </w:rPr>
  </w:style>
  <w:style w:type="paragraph" w:styleId="Heading4">
    <w:name w:val="heading 4"/>
    <w:basedOn w:val="Normal"/>
    <w:next w:val="Normal"/>
    <w:link w:val="Heading4Char"/>
    <w:uiPriority w:val="9"/>
    <w:unhideWhenUsed/>
    <w:qFormat/>
    <w:rsid w:val="00882978"/>
    <w:pPr>
      <w:keepNext/>
      <w:keepLines/>
      <w:spacing w:before="40" w:after="0" w:line="480" w:lineRule="auto"/>
      <w:jc w:val="both"/>
      <w:outlineLvl w:val="3"/>
    </w:pPr>
    <w:rPr>
      <w:rFonts w:ascii="Times New Roman" w:eastAsiaTheme="majorEastAsia" w:hAnsi="Times New Roman" w:cstheme="majorBidi"/>
      <w:i/>
      <w:iCs/>
      <w:sz w:val="24"/>
    </w:rPr>
  </w:style>
  <w:style w:type="paragraph" w:styleId="Heading5">
    <w:name w:val="heading 5"/>
    <w:basedOn w:val="Normal"/>
    <w:next w:val="Normal"/>
    <w:link w:val="Heading5Char"/>
    <w:uiPriority w:val="9"/>
    <w:semiHidden/>
    <w:unhideWhenUsed/>
    <w:qFormat/>
    <w:rsid w:val="006F38AE"/>
    <w:pPr>
      <w:keepNext/>
      <w:keepLines/>
      <w:spacing w:before="40" w:after="0"/>
      <w:outlineLvl w:val="4"/>
    </w:pPr>
    <w:rPr>
      <w:rFonts w:ascii="Calibri Light" w:eastAsia="DengXian Light" w:hAnsi="Calibri Light" w:cs="Times New Roman"/>
      <w:color w:val="2E74B5"/>
      <w:lang w:val="en-GB"/>
    </w:rPr>
  </w:style>
  <w:style w:type="paragraph" w:styleId="Heading6">
    <w:name w:val="heading 6"/>
    <w:basedOn w:val="Normal"/>
    <w:next w:val="Normal"/>
    <w:link w:val="Heading6Char"/>
    <w:uiPriority w:val="9"/>
    <w:semiHidden/>
    <w:unhideWhenUsed/>
    <w:qFormat/>
    <w:rsid w:val="003C6953"/>
    <w:pPr>
      <w:keepNext/>
      <w:keepLines/>
      <w:spacing w:before="40" w:after="0" w:line="276" w:lineRule="auto"/>
      <w:ind w:left="1152" w:hanging="1152"/>
      <w:outlineLvl w:val="5"/>
    </w:pPr>
    <w:rPr>
      <w:rFonts w:asciiTheme="majorHAnsi" w:eastAsiaTheme="majorEastAsia" w:hAnsiTheme="majorHAnsi" w:cstheme="majorBidi"/>
      <w:color w:val="1F4D78" w:themeColor="accent1" w:themeShade="7F"/>
      <w:lang w:val="en-GB"/>
    </w:rPr>
  </w:style>
  <w:style w:type="paragraph" w:styleId="Heading7">
    <w:name w:val="heading 7"/>
    <w:basedOn w:val="Normal"/>
    <w:next w:val="Normal"/>
    <w:link w:val="Heading7Char"/>
    <w:uiPriority w:val="9"/>
    <w:semiHidden/>
    <w:unhideWhenUsed/>
    <w:qFormat/>
    <w:rsid w:val="003C6953"/>
    <w:pPr>
      <w:keepNext/>
      <w:keepLines/>
      <w:spacing w:before="40" w:after="0" w:line="276" w:lineRule="auto"/>
      <w:ind w:left="1296" w:hanging="1296"/>
      <w:outlineLvl w:val="6"/>
    </w:pPr>
    <w:rPr>
      <w:rFonts w:asciiTheme="majorHAnsi" w:eastAsiaTheme="majorEastAsia" w:hAnsiTheme="majorHAnsi" w:cstheme="majorBidi"/>
      <w:i/>
      <w:iCs/>
      <w:color w:val="1F4D78" w:themeColor="accent1" w:themeShade="7F"/>
      <w:lang w:val="en-GB"/>
    </w:rPr>
  </w:style>
  <w:style w:type="paragraph" w:styleId="Heading8">
    <w:name w:val="heading 8"/>
    <w:basedOn w:val="Normal"/>
    <w:next w:val="Normal"/>
    <w:link w:val="Heading8Char"/>
    <w:uiPriority w:val="9"/>
    <w:semiHidden/>
    <w:unhideWhenUsed/>
    <w:qFormat/>
    <w:rsid w:val="003C6953"/>
    <w:pPr>
      <w:keepNext/>
      <w:keepLines/>
      <w:spacing w:before="40" w:after="0" w:line="276" w:lineRule="auto"/>
      <w:ind w:left="1440" w:hanging="1440"/>
      <w:outlineLvl w:val="7"/>
    </w:pPr>
    <w:rPr>
      <w:rFonts w:asciiTheme="majorHAnsi" w:eastAsiaTheme="majorEastAsia" w:hAnsiTheme="majorHAnsi" w:cstheme="majorBidi"/>
      <w:color w:val="272727" w:themeColor="text1" w:themeTint="D8"/>
      <w:sz w:val="21"/>
      <w:szCs w:val="21"/>
      <w:lang w:val="en-GB"/>
    </w:rPr>
  </w:style>
  <w:style w:type="paragraph" w:styleId="Heading9">
    <w:name w:val="heading 9"/>
    <w:basedOn w:val="Normal"/>
    <w:next w:val="Normal"/>
    <w:link w:val="Heading9Char"/>
    <w:uiPriority w:val="9"/>
    <w:semiHidden/>
    <w:unhideWhenUsed/>
    <w:qFormat/>
    <w:rsid w:val="003C6953"/>
    <w:pPr>
      <w:keepNext/>
      <w:keepLines/>
      <w:spacing w:before="40" w:after="0" w:line="276" w:lineRule="auto"/>
      <w:ind w:left="1584" w:hanging="1584"/>
      <w:outlineLvl w:val="8"/>
    </w:pPr>
    <w:rPr>
      <w:rFonts w:asciiTheme="majorHAnsi" w:eastAsiaTheme="majorEastAsia" w:hAnsiTheme="majorHAnsi" w:cstheme="majorBidi"/>
      <w:i/>
      <w:iCs/>
      <w:color w:val="272727" w:themeColor="text1" w:themeTint="D8"/>
      <w:sz w:val="21"/>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3BFB"/>
    <w:rPr>
      <w:rFonts w:ascii="Times New Roman" w:eastAsiaTheme="majorEastAsia" w:hAnsi="Times New Roman" w:cstheme="majorBidi"/>
      <w:b/>
      <w:color w:val="000000" w:themeColor="text1"/>
      <w:sz w:val="36"/>
      <w:szCs w:val="32"/>
      <w:lang w:val="en-US"/>
    </w:rPr>
  </w:style>
  <w:style w:type="character" w:customStyle="1" w:styleId="Heading2Char">
    <w:name w:val="Heading 2 Char"/>
    <w:basedOn w:val="DefaultParagraphFont"/>
    <w:link w:val="Heading2"/>
    <w:uiPriority w:val="9"/>
    <w:rsid w:val="00A22DC4"/>
    <w:rPr>
      <w:rFonts w:ascii="Times New Roman" w:eastAsiaTheme="majorEastAsia" w:hAnsi="Times New Roman" w:cstheme="majorBidi"/>
      <w:b/>
      <w:color w:val="000000" w:themeColor="text1"/>
      <w:sz w:val="24"/>
      <w:szCs w:val="26"/>
      <w:lang w:val="en-US"/>
    </w:rPr>
  </w:style>
  <w:style w:type="character" w:customStyle="1" w:styleId="Heading3Char">
    <w:name w:val="Heading 3 Char"/>
    <w:basedOn w:val="DefaultParagraphFont"/>
    <w:link w:val="Heading3"/>
    <w:uiPriority w:val="9"/>
    <w:rsid w:val="00882978"/>
    <w:rPr>
      <w:rFonts w:ascii="Times New Roman" w:eastAsiaTheme="majorEastAsia" w:hAnsi="Times New Roman" w:cstheme="majorBidi"/>
      <w:color w:val="000000" w:themeColor="text1"/>
      <w:sz w:val="24"/>
      <w:szCs w:val="24"/>
      <w:lang w:val="en-US"/>
    </w:rPr>
  </w:style>
  <w:style w:type="character" w:customStyle="1" w:styleId="Heading4Char">
    <w:name w:val="Heading 4 Char"/>
    <w:basedOn w:val="DefaultParagraphFont"/>
    <w:link w:val="Heading4"/>
    <w:uiPriority w:val="9"/>
    <w:rsid w:val="00882978"/>
    <w:rPr>
      <w:rFonts w:ascii="Times New Roman" w:eastAsiaTheme="majorEastAsia" w:hAnsi="Times New Roman" w:cstheme="majorBidi"/>
      <w:i/>
      <w:iCs/>
      <w:sz w:val="24"/>
      <w:lang w:val="en-US"/>
    </w:rPr>
  </w:style>
  <w:style w:type="paragraph" w:customStyle="1" w:styleId="Heading31">
    <w:name w:val="Heading 31"/>
    <w:basedOn w:val="Normal"/>
    <w:link w:val="heading3Char0"/>
    <w:qFormat/>
    <w:rsid w:val="00882978"/>
    <w:rPr>
      <w:rFonts w:ascii="Times New Roman" w:hAnsi="Times New Roman" w:cs="Times New Roman"/>
      <w:color w:val="000000" w:themeColor="text1"/>
      <w:sz w:val="24"/>
    </w:rPr>
  </w:style>
  <w:style w:type="character" w:customStyle="1" w:styleId="heading3Char0">
    <w:name w:val="heading 3 Char"/>
    <w:basedOn w:val="DefaultParagraphFont"/>
    <w:link w:val="Heading31"/>
    <w:rsid w:val="00882978"/>
    <w:rPr>
      <w:rFonts w:ascii="Times New Roman" w:hAnsi="Times New Roman" w:cs="Times New Roman"/>
      <w:color w:val="000000" w:themeColor="text1"/>
      <w:sz w:val="24"/>
      <w:lang w:val="en-US"/>
    </w:rPr>
  </w:style>
  <w:style w:type="paragraph" w:styleId="Title">
    <w:name w:val="Title"/>
    <w:basedOn w:val="Normal"/>
    <w:next w:val="Normal"/>
    <w:link w:val="TitleChar"/>
    <w:uiPriority w:val="10"/>
    <w:qFormat/>
    <w:rsid w:val="00882978"/>
    <w:pPr>
      <w:spacing w:after="0" w:line="240" w:lineRule="auto"/>
      <w:contextualSpacing/>
      <w:jc w:val="center"/>
    </w:pPr>
    <w:rPr>
      <w:rFonts w:ascii="Times New Roman" w:eastAsiaTheme="majorEastAsia" w:hAnsi="Times New Roman" w:cstheme="majorBidi"/>
      <w:b/>
      <w:spacing w:val="-10"/>
      <w:kern w:val="28"/>
      <w:sz w:val="44"/>
      <w:szCs w:val="56"/>
    </w:rPr>
  </w:style>
  <w:style w:type="character" w:customStyle="1" w:styleId="TitleChar">
    <w:name w:val="Title Char"/>
    <w:basedOn w:val="DefaultParagraphFont"/>
    <w:link w:val="Title"/>
    <w:uiPriority w:val="10"/>
    <w:rsid w:val="00882978"/>
    <w:rPr>
      <w:rFonts w:ascii="Times New Roman" w:eastAsiaTheme="majorEastAsia" w:hAnsi="Times New Roman" w:cstheme="majorBidi"/>
      <w:b/>
      <w:spacing w:val="-10"/>
      <w:kern w:val="28"/>
      <w:sz w:val="44"/>
      <w:szCs w:val="56"/>
      <w:lang w:val="en-US"/>
    </w:rPr>
  </w:style>
  <w:style w:type="table" w:styleId="TableGrid">
    <w:name w:val="Table Grid"/>
    <w:basedOn w:val="TableNormal"/>
    <w:uiPriority w:val="39"/>
    <w:rsid w:val="0088297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82978"/>
    <w:rPr>
      <w:color w:val="808080"/>
    </w:rPr>
  </w:style>
  <w:style w:type="paragraph" w:styleId="Header">
    <w:name w:val="header"/>
    <w:basedOn w:val="Normal"/>
    <w:link w:val="HeaderChar"/>
    <w:uiPriority w:val="99"/>
    <w:unhideWhenUsed/>
    <w:rsid w:val="008829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2978"/>
    <w:rPr>
      <w:lang w:val="en-US"/>
    </w:rPr>
  </w:style>
  <w:style w:type="paragraph" w:styleId="Footer">
    <w:name w:val="footer"/>
    <w:basedOn w:val="Normal"/>
    <w:link w:val="FooterChar"/>
    <w:uiPriority w:val="99"/>
    <w:unhideWhenUsed/>
    <w:rsid w:val="008829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2978"/>
    <w:rPr>
      <w:lang w:val="en-US"/>
    </w:rPr>
  </w:style>
  <w:style w:type="paragraph" w:styleId="BalloonText">
    <w:name w:val="Balloon Text"/>
    <w:basedOn w:val="Normal"/>
    <w:link w:val="BalloonTextChar"/>
    <w:uiPriority w:val="99"/>
    <w:semiHidden/>
    <w:unhideWhenUsed/>
    <w:rsid w:val="008829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2978"/>
    <w:rPr>
      <w:rFonts w:ascii="Segoe UI" w:hAnsi="Segoe UI" w:cs="Segoe UI"/>
      <w:sz w:val="18"/>
      <w:szCs w:val="18"/>
      <w:lang w:val="en-US"/>
    </w:rPr>
  </w:style>
  <w:style w:type="paragraph" w:styleId="Revision">
    <w:name w:val="Revision"/>
    <w:hidden/>
    <w:uiPriority w:val="99"/>
    <w:semiHidden/>
    <w:rsid w:val="00882978"/>
    <w:pPr>
      <w:spacing w:after="0" w:line="240" w:lineRule="auto"/>
    </w:pPr>
    <w:rPr>
      <w:lang w:val="en-US"/>
    </w:rPr>
  </w:style>
  <w:style w:type="table" w:styleId="GridTable1Light-Accent5">
    <w:name w:val="Grid Table 1 Light Accent 5"/>
    <w:basedOn w:val="TableNormal"/>
    <w:uiPriority w:val="46"/>
    <w:rsid w:val="006F38AE"/>
    <w:pPr>
      <w:spacing w:after="0" w:line="240" w:lineRule="auto"/>
    </w:pPr>
    <w:rPr>
      <w:lang w:val="en-US"/>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6F38A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51">
    <w:name w:val="Heading 51"/>
    <w:basedOn w:val="Normal"/>
    <w:next w:val="Normal"/>
    <w:uiPriority w:val="9"/>
    <w:semiHidden/>
    <w:unhideWhenUsed/>
    <w:qFormat/>
    <w:rsid w:val="006F38AE"/>
    <w:pPr>
      <w:keepNext/>
      <w:keepLines/>
      <w:spacing w:before="40" w:after="0" w:line="480" w:lineRule="auto"/>
      <w:ind w:firstLine="288"/>
      <w:jc w:val="both"/>
      <w:outlineLvl w:val="4"/>
    </w:pPr>
    <w:rPr>
      <w:rFonts w:ascii="Calibri Light" w:eastAsia="DengXian Light" w:hAnsi="Calibri Light" w:cs="Times New Roman"/>
      <w:color w:val="2E74B5"/>
    </w:rPr>
  </w:style>
  <w:style w:type="numbering" w:customStyle="1" w:styleId="NoList1">
    <w:name w:val="No List1"/>
    <w:next w:val="NoList"/>
    <w:uiPriority w:val="99"/>
    <w:semiHidden/>
    <w:unhideWhenUsed/>
    <w:rsid w:val="006F38AE"/>
  </w:style>
  <w:style w:type="character" w:customStyle="1" w:styleId="Heading5Char">
    <w:name w:val="Heading 5 Char"/>
    <w:basedOn w:val="DefaultParagraphFont"/>
    <w:link w:val="Heading5"/>
    <w:uiPriority w:val="9"/>
    <w:semiHidden/>
    <w:rsid w:val="006F38AE"/>
    <w:rPr>
      <w:rFonts w:ascii="Calibri Light" w:eastAsia="DengXian Light" w:hAnsi="Calibri Light" w:cs="Times New Roman"/>
      <w:color w:val="2E74B5"/>
    </w:rPr>
  </w:style>
  <w:style w:type="paragraph" w:customStyle="1" w:styleId="ListParagraph1">
    <w:name w:val="List Paragraph1"/>
    <w:basedOn w:val="Normal"/>
    <w:next w:val="ListParagraph"/>
    <w:uiPriority w:val="34"/>
    <w:qFormat/>
    <w:rsid w:val="006F38AE"/>
    <w:pPr>
      <w:spacing w:line="480" w:lineRule="auto"/>
      <w:ind w:left="720" w:firstLine="288"/>
      <w:contextualSpacing/>
      <w:jc w:val="both"/>
    </w:pPr>
  </w:style>
  <w:style w:type="table" w:customStyle="1" w:styleId="Calendar1">
    <w:name w:val="Calendar 1"/>
    <w:basedOn w:val="TableNormal"/>
    <w:uiPriority w:val="99"/>
    <w:qFormat/>
    <w:rsid w:val="006F38AE"/>
    <w:pPr>
      <w:spacing w:after="0" w:line="240" w:lineRule="auto"/>
      <w:ind w:firstLine="288"/>
      <w:jc w:val="both"/>
    </w:pPr>
    <w:rPr>
      <w:lang w:val="en-US" w:eastAsia="en-US"/>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TableGrid2">
    <w:name w:val="Table Grid2"/>
    <w:basedOn w:val="TableNormal"/>
    <w:next w:val="TableGrid"/>
    <w:uiPriority w:val="39"/>
    <w:rsid w:val="006F38AE"/>
    <w:pPr>
      <w:spacing w:after="0" w:line="240" w:lineRule="auto"/>
      <w:ind w:firstLine="288"/>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qFormat/>
    <w:rsid w:val="006F38AE"/>
    <w:pPr>
      <w:spacing w:after="200" w:line="240" w:lineRule="auto"/>
      <w:ind w:firstLine="288"/>
      <w:jc w:val="both"/>
    </w:pPr>
    <w:rPr>
      <w:i/>
      <w:iCs/>
      <w:color w:val="44546A"/>
      <w:sz w:val="18"/>
      <w:szCs w:val="18"/>
    </w:rPr>
  </w:style>
  <w:style w:type="character" w:customStyle="1" w:styleId="Heading5Char1">
    <w:name w:val="Heading 5 Char1"/>
    <w:basedOn w:val="DefaultParagraphFont"/>
    <w:uiPriority w:val="9"/>
    <w:semiHidden/>
    <w:rsid w:val="006F38AE"/>
    <w:rPr>
      <w:rFonts w:asciiTheme="majorHAnsi" w:eastAsiaTheme="majorEastAsia" w:hAnsiTheme="majorHAnsi" w:cstheme="majorBidi"/>
      <w:color w:val="2E74B5" w:themeColor="accent1" w:themeShade="BF"/>
      <w:lang w:val="en-US"/>
    </w:rPr>
  </w:style>
  <w:style w:type="paragraph" w:styleId="ListParagraph">
    <w:name w:val="List Paragraph"/>
    <w:basedOn w:val="Normal"/>
    <w:uiPriority w:val="34"/>
    <w:qFormat/>
    <w:rsid w:val="006F38AE"/>
    <w:pPr>
      <w:ind w:left="720"/>
      <w:contextualSpacing/>
    </w:pPr>
  </w:style>
  <w:style w:type="character" w:styleId="CommentReference">
    <w:name w:val="annotation reference"/>
    <w:basedOn w:val="DefaultParagraphFont"/>
    <w:uiPriority w:val="99"/>
    <w:semiHidden/>
    <w:unhideWhenUsed/>
    <w:rsid w:val="00296463"/>
    <w:rPr>
      <w:sz w:val="16"/>
      <w:szCs w:val="16"/>
    </w:rPr>
  </w:style>
  <w:style w:type="paragraph" w:styleId="CommentText">
    <w:name w:val="annotation text"/>
    <w:basedOn w:val="Normal"/>
    <w:link w:val="CommentTextChar"/>
    <w:uiPriority w:val="99"/>
    <w:semiHidden/>
    <w:unhideWhenUsed/>
    <w:rsid w:val="00296463"/>
    <w:pPr>
      <w:spacing w:line="240" w:lineRule="auto"/>
    </w:pPr>
    <w:rPr>
      <w:sz w:val="20"/>
      <w:szCs w:val="20"/>
    </w:rPr>
  </w:style>
  <w:style w:type="character" w:customStyle="1" w:styleId="CommentTextChar">
    <w:name w:val="Comment Text Char"/>
    <w:basedOn w:val="DefaultParagraphFont"/>
    <w:link w:val="CommentText"/>
    <w:uiPriority w:val="99"/>
    <w:semiHidden/>
    <w:rsid w:val="00296463"/>
    <w:rPr>
      <w:sz w:val="20"/>
      <w:szCs w:val="20"/>
      <w:lang w:val="en-US"/>
    </w:rPr>
  </w:style>
  <w:style w:type="paragraph" w:styleId="CommentSubject">
    <w:name w:val="annotation subject"/>
    <w:basedOn w:val="CommentText"/>
    <w:next w:val="CommentText"/>
    <w:link w:val="CommentSubjectChar"/>
    <w:uiPriority w:val="99"/>
    <w:semiHidden/>
    <w:unhideWhenUsed/>
    <w:rsid w:val="00296463"/>
    <w:rPr>
      <w:b/>
      <w:bCs/>
    </w:rPr>
  </w:style>
  <w:style w:type="character" w:customStyle="1" w:styleId="CommentSubjectChar">
    <w:name w:val="Comment Subject Char"/>
    <w:basedOn w:val="CommentTextChar"/>
    <w:link w:val="CommentSubject"/>
    <w:uiPriority w:val="99"/>
    <w:semiHidden/>
    <w:rsid w:val="00296463"/>
    <w:rPr>
      <w:b/>
      <w:bCs/>
      <w:sz w:val="20"/>
      <w:szCs w:val="20"/>
      <w:lang w:val="en-US"/>
    </w:rPr>
  </w:style>
  <w:style w:type="numbering" w:customStyle="1" w:styleId="NoList2">
    <w:name w:val="No List2"/>
    <w:next w:val="NoList"/>
    <w:uiPriority w:val="99"/>
    <w:semiHidden/>
    <w:unhideWhenUsed/>
    <w:rsid w:val="00D003E1"/>
  </w:style>
  <w:style w:type="paragraph" w:customStyle="1" w:styleId="NormalWeb1">
    <w:name w:val="Normal (Web)1"/>
    <w:basedOn w:val="Normal"/>
    <w:next w:val="NormalWeb"/>
    <w:uiPriority w:val="99"/>
    <w:unhideWhenUsed/>
    <w:rsid w:val="00D003E1"/>
    <w:pPr>
      <w:spacing w:before="100" w:beforeAutospacing="1" w:after="100" w:afterAutospacing="1" w:line="240" w:lineRule="auto"/>
      <w:ind w:firstLine="284"/>
    </w:pPr>
    <w:rPr>
      <w:rFonts w:ascii="Times New Roman" w:hAnsi="Times New Roman" w:cs="Times New Roman"/>
      <w:sz w:val="24"/>
      <w:szCs w:val="24"/>
      <w:lang w:val="en-GB"/>
    </w:rPr>
  </w:style>
  <w:style w:type="paragraph" w:customStyle="1" w:styleId="Date1">
    <w:name w:val="Date1"/>
    <w:basedOn w:val="Normal"/>
    <w:next w:val="Normal"/>
    <w:uiPriority w:val="99"/>
    <w:semiHidden/>
    <w:unhideWhenUsed/>
    <w:rsid w:val="00D003E1"/>
    <w:pPr>
      <w:spacing w:after="200" w:line="480" w:lineRule="auto"/>
      <w:ind w:firstLine="284"/>
    </w:pPr>
    <w:rPr>
      <w:rFonts w:ascii="Times New Roman" w:hAnsi="Times New Roman"/>
      <w:sz w:val="24"/>
      <w:lang w:val="en-GB"/>
    </w:rPr>
  </w:style>
  <w:style w:type="character" w:customStyle="1" w:styleId="DateChar">
    <w:name w:val="Date Char"/>
    <w:basedOn w:val="DefaultParagraphFont"/>
    <w:link w:val="Date"/>
    <w:uiPriority w:val="99"/>
    <w:semiHidden/>
    <w:rsid w:val="00D003E1"/>
    <w:rPr>
      <w:rFonts w:ascii="Times New Roman" w:hAnsi="Times New Roman"/>
      <w:sz w:val="24"/>
    </w:rPr>
  </w:style>
  <w:style w:type="table" w:customStyle="1" w:styleId="TableGrid3">
    <w:name w:val="Table Grid3"/>
    <w:basedOn w:val="TableNormal"/>
    <w:next w:val="TableGrid"/>
    <w:uiPriority w:val="39"/>
    <w:rsid w:val="00D003E1"/>
    <w:pPr>
      <w:spacing w:after="0" w:line="240" w:lineRule="auto"/>
    </w:pPr>
    <w:rPr>
      <w:kern w:val="2"/>
      <w:sz w:val="21"/>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alendar11">
    <w:name w:val="Calendar 11"/>
    <w:basedOn w:val="TableNormal"/>
    <w:uiPriority w:val="99"/>
    <w:qFormat/>
    <w:rsid w:val="00D003E1"/>
    <w:pPr>
      <w:spacing w:after="0" w:line="240" w:lineRule="auto"/>
    </w:pPr>
    <w:rPr>
      <w:lang w:val="en-US" w:eastAsia="ja-JP"/>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LightShading1">
    <w:name w:val="Light Shading1"/>
    <w:basedOn w:val="TableNormal"/>
    <w:next w:val="LightShading"/>
    <w:uiPriority w:val="60"/>
    <w:rsid w:val="00D003E1"/>
    <w:pPr>
      <w:spacing w:after="0" w:line="240" w:lineRule="auto"/>
      <w:ind w:firstLine="284"/>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41">
    <w:name w:val="Light Shading - Accent 41"/>
    <w:basedOn w:val="TableNormal"/>
    <w:next w:val="LightShading-Accent4"/>
    <w:uiPriority w:val="60"/>
    <w:rsid w:val="00D003E1"/>
    <w:pPr>
      <w:spacing w:after="0" w:line="240" w:lineRule="auto"/>
      <w:ind w:firstLine="284"/>
      <w:jc w:val="center"/>
    </w:pPr>
    <w:rPr>
      <w:rFonts w:ascii="Times New Roman" w:hAnsi="Times New Roman"/>
      <w:b/>
      <w:color w:val="000000"/>
    </w:rPr>
    <w:tblPr>
      <w:tblStyleRowBandSize w:val="1"/>
      <w:tblStyleColBandSize w:val="1"/>
      <w:tblBorders>
        <w:top w:val="single" w:sz="12" w:space="0" w:color="000000"/>
        <w:bottom w:val="single" w:sz="12" w:space="0" w:color="000000"/>
      </w:tblBorders>
    </w:tblPr>
    <w:tcPr>
      <w:shd w:val="clear" w:color="auto" w:fill="FFFFFF"/>
      <w:vAlign w:val="center"/>
    </w:tc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Caption2">
    <w:name w:val="Caption2"/>
    <w:basedOn w:val="Normal"/>
    <w:next w:val="Normal"/>
    <w:uiPriority w:val="35"/>
    <w:unhideWhenUsed/>
    <w:qFormat/>
    <w:rsid w:val="00D003E1"/>
    <w:pPr>
      <w:spacing w:after="200" w:line="240" w:lineRule="auto"/>
      <w:ind w:firstLine="284"/>
    </w:pPr>
    <w:rPr>
      <w:rFonts w:ascii="Times New Roman" w:hAnsi="Times New Roman"/>
      <w:bCs/>
      <w:sz w:val="24"/>
      <w:szCs w:val="18"/>
      <w:lang w:val="en-GB"/>
    </w:rPr>
  </w:style>
  <w:style w:type="character" w:customStyle="1" w:styleId="Hyperlink1">
    <w:name w:val="Hyperlink1"/>
    <w:basedOn w:val="DefaultParagraphFont"/>
    <w:uiPriority w:val="99"/>
    <w:unhideWhenUsed/>
    <w:rsid w:val="00D003E1"/>
    <w:rPr>
      <w:color w:val="0000FF"/>
      <w:u w:val="single"/>
    </w:rPr>
  </w:style>
  <w:style w:type="paragraph" w:customStyle="1" w:styleId="TableofFigures1">
    <w:name w:val="Table of Figures1"/>
    <w:basedOn w:val="Normal"/>
    <w:next w:val="Normal"/>
    <w:uiPriority w:val="99"/>
    <w:unhideWhenUsed/>
    <w:rsid w:val="00D003E1"/>
    <w:pPr>
      <w:spacing w:after="0" w:line="480" w:lineRule="auto"/>
      <w:ind w:left="480" w:hanging="480"/>
    </w:pPr>
    <w:rPr>
      <w:smallCaps/>
      <w:sz w:val="20"/>
      <w:szCs w:val="20"/>
      <w:lang w:val="en-GB"/>
    </w:rPr>
  </w:style>
  <w:style w:type="table" w:customStyle="1" w:styleId="TableGrid11">
    <w:name w:val="Table Grid11"/>
    <w:basedOn w:val="TableNormal"/>
    <w:next w:val="TableGrid"/>
    <w:uiPriority w:val="39"/>
    <w:rsid w:val="00D003E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003E1"/>
    <w:rPr>
      <w:rFonts w:ascii="Times New Roman" w:hAnsi="Times New Roman" w:cs="Times New Roman"/>
      <w:sz w:val="24"/>
      <w:szCs w:val="24"/>
    </w:rPr>
  </w:style>
  <w:style w:type="paragraph" w:styleId="Date">
    <w:name w:val="Date"/>
    <w:basedOn w:val="Normal"/>
    <w:next w:val="Normal"/>
    <w:link w:val="DateChar"/>
    <w:uiPriority w:val="99"/>
    <w:semiHidden/>
    <w:unhideWhenUsed/>
    <w:rsid w:val="00D003E1"/>
    <w:rPr>
      <w:rFonts w:ascii="Times New Roman" w:hAnsi="Times New Roman"/>
      <w:sz w:val="24"/>
      <w:lang w:val="en-GB"/>
    </w:rPr>
  </w:style>
  <w:style w:type="character" w:customStyle="1" w:styleId="DateChar1">
    <w:name w:val="Date Char1"/>
    <w:basedOn w:val="DefaultParagraphFont"/>
    <w:uiPriority w:val="99"/>
    <w:semiHidden/>
    <w:rsid w:val="00D003E1"/>
    <w:rPr>
      <w:lang w:val="en-US"/>
    </w:rPr>
  </w:style>
  <w:style w:type="table" w:styleId="LightShading">
    <w:name w:val="Light Shading"/>
    <w:basedOn w:val="TableNormal"/>
    <w:uiPriority w:val="60"/>
    <w:semiHidden/>
    <w:unhideWhenUsed/>
    <w:rsid w:val="00D003E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4">
    <w:name w:val="Light Shading Accent 4"/>
    <w:basedOn w:val="TableNormal"/>
    <w:uiPriority w:val="60"/>
    <w:semiHidden/>
    <w:unhideWhenUsed/>
    <w:rsid w:val="00D003E1"/>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styleId="Hyperlink">
    <w:name w:val="Hyperlink"/>
    <w:basedOn w:val="DefaultParagraphFont"/>
    <w:uiPriority w:val="99"/>
    <w:unhideWhenUsed/>
    <w:rsid w:val="00D003E1"/>
    <w:rPr>
      <w:color w:val="0563C1" w:themeColor="hyperlink"/>
      <w:u w:val="single"/>
    </w:rPr>
  </w:style>
  <w:style w:type="character" w:customStyle="1" w:styleId="Heading6Char">
    <w:name w:val="Heading 6 Char"/>
    <w:basedOn w:val="DefaultParagraphFont"/>
    <w:link w:val="Heading6"/>
    <w:uiPriority w:val="9"/>
    <w:semiHidden/>
    <w:rsid w:val="003C6953"/>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3C6953"/>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3C695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C6953"/>
    <w:rPr>
      <w:rFonts w:asciiTheme="majorHAnsi" w:eastAsiaTheme="majorEastAsia" w:hAnsiTheme="majorHAnsi" w:cstheme="majorBidi"/>
      <w:i/>
      <w:iCs/>
      <w:color w:val="272727" w:themeColor="text1" w:themeTint="D8"/>
      <w:sz w:val="21"/>
      <w:szCs w:val="21"/>
    </w:rPr>
  </w:style>
  <w:style w:type="character" w:styleId="FollowedHyperlink">
    <w:name w:val="FollowedHyperlink"/>
    <w:basedOn w:val="DefaultParagraphFont"/>
    <w:uiPriority w:val="99"/>
    <w:semiHidden/>
    <w:unhideWhenUsed/>
    <w:rsid w:val="003C6953"/>
    <w:rPr>
      <w:color w:val="954F72" w:themeColor="followedHyperlink"/>
      <w:u w:val="single"/>
    </w:rPr>
  </w:style>
  <w:style w:type="paragraph" w:styleId="TOCHeading">
    <w:name w:val="TOC Heading"/>
    <w:basedOn w:val="Heading1"/>
    <w:next w:val="Normal"/>
    <w:uiPriority w:val="39"/>
    <w:unhideWhenUsed/>
    <w:qFormat/>
    <w:rsid w:val="003C6953"/>
    <w:pPr>
      <w:spacing w:line="259" w:lineRule="auto"/>
      <w:outlineLvl w:val="9"/>
    </w:pPr>
    <w:rPr>
      <w:lang w:eastAsia="en-US"/>
    </w:rPr>
  </w:style>
  <w:style w:type="paragraph" w:styleId="TOC1">
    <w:name w:val="toc 1"/>
    <w:basedOn w:val="Normal"/>
    <w:next w:val="Normal"/>
    <w:autoRedefine/>
    <w:uiPriority w:val="39"/>
    <w:unhideWhenUsed/>
    <w:rsid w:val="00E709EE"/>
    <w:pPr>
      <w:tabs>
        <w:tab w:val="right" w:leader="dot" w:pos="9350"/>
      </w:tabs>
      <w:spacing w:after="100" w:line="276" w:lineRule="auto"/>
    </w:pPr>
    <w:rPr>
      <w:lang w:val="en-GB"/>
    </w:rPr>
  </w:style>
  <w:style w:type="paragraph" w:styleId="TOC2">
    <w:name w:val="toc 2"/>
    <w:basedOn w:val="Normal"/>
    <w:next w:val="Normal"/>
    <w:autoRedefine/>
    <w:uiPriority w:val="39"/>
    <w:unhideWhenUsed/>
    <w:rsid w:val="003C6953"/>
    <w:pPr>
      <w:spacing w:after="100" w:line="276" w:lineRule="auto"/>
      <w:ind w:left="220"/>
    </w:pPr>
    <w:rPr>
      <w:lang w:val="en-GB"/>
    </w:rPr>
  </w:style>
  <w:style w:type="paragraph" w:styleId="Subtitle">
    <w:name w:val="Subtitle"/>
    <w:aliases w:val="heading 4"/>
    <w:basedOn w:val="Normal"/>
    <w:next w:val="Normal"/>
    <w:link w:val="SubtitleChar"/>
    <w:autoRedefine/>
    <w:uiPriority w:val="11"/>
    <w:qFormat/>
    <w:rsid w:val="0005778C"/>
    <w:pPr>
      <w:numPr>
        <w:ilvl w:val="1"/>
      </w:numPr>
      <w:spacing w:after="0" w:line="480" w:lineRule="auto"/>
      <w:jc w:val="both"/>
    </w:pPr>
    <w:rPr>
      <w:rFonts w:ascii="Times New Roman" w:hAnsi="Times New Roman"/>
      <w:i/>
      <w:spacing w:val="15"/>
      <w:sz w:val="24"/>
      <w:lang w:val="en-GB"/>
    </w:rPr>
  </w:style>
  <w:style w:type="character" w:customStyle="1" w:styleId="SubtitleChar">
    <w:name w:val="Subtitle Char"/>
    <w:aliases w:val="heading 4 Char"/>
    <w:basedOn w:val="DefaultParagraphFont"/>
    <w:link w:val="Subtitle"/>
    <w:uiPriority w:val="11"/>
    <w:rsid w:val="0005778C"/>
    <w:rPr>
      <w:rFonts w:ascii="Times New Roman" w:hAnsi="Times New Roman"/>
      <w:i/>
      <w:spacing w:val="15"/>
      <w:sz w:val="24"/>
    </w:rPr>
  </w:style>
  <w:style w:type="paragraph" w:styleId="NoSpacing">
    <w:name w:val="No Spacing"/>
    <w:aliases w:val="TITILES"/>
    <w:basedOn w:val="Normal"/>
    <w:link w:val="NoSpacingChar"/>
    <w:autoRedefine/>
    <w:uiPriority w:val="1"/>
    <w:qFormat/>
    <w:rsid w:val="00492AD8"/>
    <w:pPr>
      <w:spacing w:after="0" w:line="360" w:lineRule="auto"/>
      <w:jc w:val="both"/>
    </w:pPr>
    <w:rPr>
      <w:rFonts w:ascii="Times New Roman" w:eastAsiaTheme="majorEastAsia" w:hAnsi="Times New Roman" w:cstheme="majorBidi"/>
      <w:b/>
      <w:color w:val="000000" w:themeColor="text1"/>
      <w:sz w:val="48"/>
      <w:szCs w:val="48"/>
    </w:rPr>
  </w:style>
  <w:style w:type="character" w:customStyle="1" w:styleId="NoSpacingChar">
    <w:name w:val="No Spacing Char"/>
    <w:aliases w:val="TITILES Char"/>
    <w:basedOn w:val="Heading1Char"/>
    <w:link w:val="NoSpacing"/>
    <w:uiPriority w:val="1"/>
    <w:rsid w:val="00492AD8"/>
    <w:rPr>
      <w:rFonts w:ascii="Times New Roman" w:eastAsiaTheme="majorEastAsia" w:hAnsi="Times New Roman" w:cstheme="majorBidi"/>
      <w:b/>
      <w:color w:val="000000" w:themeColor="text1"/>
      <w:sz w:val="48"/>
      <w:szCs w:val="48"/>
      <w:lang w:val="en-US"/>
    </w:rPr>
  </w:style>
  <w:style w:type="paragraph" w:styleId="Caption">
    <w:name w:val="caption"/>
    <w:basedOn w:val="Caption1"/>
    <w:next w:val="Normal"/>
    <w:uiPriority w:val="35"/>
    <w:unhideWhenUsed/>
    <w:qFormat/>
    <w:rsid w:val="00741D4D"/>
    <w:pPr>
      <w:spacing w:line="360" w:lineRule="auto"/>
      <w:jc w:val="left"/>
    </w:pPr>
    <w:rPr>
      <w:rFonts w:ascii="Times New Roman" w:hAnsi="Times New Roman"/>
      <w:b/>
      <w:i w:val="0"/>
      <w:iCs w:val="0"/>
      <w:color w:val="000000" w:themeColor="text1"/>
      <w:sz w:val="24"/>
    </w:rPr>
  </w:style>
  <w:style w:type="paragraph" w:styleId="TOC3">
    <w:name w:val="toc 3"/>
    <w:basedOn w:val="Normal"/>
    <w:next w:val="Normal"/>
    <w:autoRedefine/>
    <w:uiPriority w:val="39"/>
    <w:unhideWhenUsed/>
    <w:rsid w:val="00E709EE"/>
    <w:pPr>
      <w:spacing w:after="100"/>
      <w:ind w:left="440"/>
    </w:pPr>
  </w:style>
  <w:style w:type="paragraph" w:styleId="TOC4">
    <w:name w:val="toc 4"/>
    <w:basedOn w:val="Normal"/>
    <w:next w:val="Normal"/>
    <w:autoRedefine/>
    <w:uiPriority w:val="39"/>
    <w:unhideWhenUsed/>
    <w:rsid w:val="00E709EE"/>
    <w:pPr>
      <w:spacing w:after="100"/>
      <w:ind w:left="660"/>
    </w:pPr>
    <w:rPr>
      <w:lang w:val="en-GB"/>
    </w:rPr>
  </w:style>
  <w:style w:type="paragraph" w:styleId="TOC5">
    <w:name w:val="toc 5"/>
    <w:basedOn w:val="Normal"/>
    <w:next w:val="Normal"/>
    <w:autoRedefine/>
    <w:uiPriority w:val="39"/>
    <w:unhideWhenUsed/>
    <w:rsid w:val="00E709EE"/>
    <w:pPr>
      <w:spacing w:after="100"/>
      <w:ind w:left="880"/>
    </w:pPr>
    <w:rPr>
      <w:lang w:val="en-GB"/>
    </w:rPr>
  </w:style>
  <w:style w:type="paragraph" w:styleId="TOC6">
    <w:name w:val="toc 6"/>
    <w:basedOn w:val="Normal"/>
    <w:next w:val="Normal"/>
    <w:autoRedefine/>
    <w:uiPriority w:val="39"/>
    <w:unhideWhenUsed/>
    <w:rsid w:val="00E709EE"/>
    <w:pPr>
      <w:spacing w:after="100"/>
      <w:ind w:left="1100"/>
    </w:pPr>
    <w:rPr>
      <w:lang w:val="en-GB"/>
    </w:rPr>
  </w:style>
  <w:style w:type="paragraph" w:styleId="TOC7">
    <w:name w:val="toc 7"/>
    <w:basedOn w:val="Normal"/>
    <w:next w:val="Normal"/>
    <w:autoRedefine/>
    <w:uiPriority w:val="39"/>
    <w:unhideWhenUsed/>
    <w:rsid w:val="00E709EE"/>
    <w:pPr>
      <w:spacing w:after="100"/>
      <w:ind w:left="1320"/>
    </w:pPr>
    <w:rPr>
      <w:lang w:val="en-GB"/>
    </w:rPr>
  </w:style>
  <w:style w:type="paragraph" w:styleId="TOC8">
    <w:name w:val="toc 8"/>
    <w:basedOn w:val="Normal"/>
    <w:next w:val="Normal"/>
    <w:autoRedefine/>
    <w:uiPriority w:val="39"/>
    <w:unhideWhenUsed/>
    <w:rsid w:val="00E709EE"/>
    <w:pPr>
      <w:spacing w:after="100"/>
      <w:ind w:left="1540"/>
    </w:pPr>
    <w:rPr>
      <w:lang w:val="en-GB"/>
    </w:rPr>
  </w:style>
  <w:style w:type="paragraph" w:styleId="TOC9">
    <w:name w:val="toc 9"/>
    <w:basedOn w:val="Normal"/>
    <w:next w:val="Normal"/>
    <w:autoRedefine/>
    <w:uiPriority w:val="39"/>
    <w:unhideWhenUsed/>
    <w:rsid w:val="00E709EE"/>
    <w:pPr>
      <w:spacing w:after="100"/>
      <w:ind w:left="1760"/>
    </w:pPr>
    <w:rPr>
      <w:lang w:val="en-GB"/>
    </w:rPr>
  </w:style>
  <w:style w:type="paragraph" w:styleId="TableofFigures">
    <w:name w:val="table of figures"/>
    <w:basedOn w:val="Normal"/>
    <w:next w:val="Normal"/>
    <w:uiPriority w:val="99"/>
    <w:unhideWhenUsed/>
    <w:rsid w:val="003D716D"/>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2.png"/><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8F180A-BBB2-4A69-A574-313B95288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204</Pages>
  <Words>206486</Words>
  <Characters>1176975</Characters>
  <Application>Microsoft Office Word</Application>
  <DocSecurity>0</DocSecurity>
  <Lines>9808</Lines>
  <Paragraphs>2761</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
      <vt:lpstr/>
      <vt:lpstr>Chapter 1: Introduction</vt:lpstr>
      <vt:lpstr>Chapter 2: Literature review</vt:lpstr>
      <vt:lpstr>2.1. Composite material and polymer composites</vt:lpstr>
      <vt:lpstr>2.2. Polymer nanocomposites</vt:lpstr>
      <vt:lpstr>2.3. Graphene and graphene derivative</vt:lpstr>
      <vt:lpstr>    2.3.1. Graphene</vt:lpstr>
    </vt:vector>
  </TitlesOfParts>
  <Company/>
  <LinksUpToDate>false</LinksUpToDate>
  <CharactersWithSpaces>1380700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cassie wen</dc:creator>
  <cp:keywords/>
  <dc:description/>
  <cp:lastModifiedBy>cassie wen</cp:lastModifiedBy>
  <cp:revision>7</cp:revision>
  <cp:lastPrinted>2018-01-02T14:57:00Z</cp:lastPrinted>
  <dcterms:created xsi:type="dcterms:W3CDTF">2018-07-08T13:15:00Z</dcterms:created>
  <dcterms:modified xsi:type="dcterms:W3CDTF">2018-07-08T13:47:00Z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http://csl.mendeley.com/styles/6896373/ieee-2-test</vt:lpwstr>
  </property>
  <property fmtid="{D5CDD505-2E9C-101B-9397-08002B2CF9AE}" pid="17" name="Mendeley Recent Style Name 7_1">
    <vt:lpwstr>IEEE - Richard Justin</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7th edition</vt:lpwstr>
  </property>
  <property fmtid="{D5CDD505-2E9C-101B-9397-08002B2CF9AE}" pid="22" name="Mendeley Document_1">
    <vt:lpwstr>True</vt:lpwstr>
  </property>
  <property fmtid="{D5CDD505-2E9C-101B-9397-08002B2CF9AE}" pid="23" name="Mendeley Unique User Id_1">
    <vt:lpwstr>54ac5913-334b-36ca-8a70-f0fae0fead59</vt:lpwstr>
  </property>
  <property fmtid="{D5CDD505-2E9C-101B-9397-08002B2CF9AE}" pid="24" name="Mendeley Citation Style_1">
    <vt:lpwstr>http://csl.mendeley.com/styles/6896373/ieee-2-test</vt:lpwstr>
  </property>
</Properties>
</file>